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38D73">
      <w:pPr>
        <w:pStyle w:val="2"/>
        <w:spacing w:line="280" w:lineRule="auto"/>
        <w:rPr>
          <w:rFonts w:ascii="Times New Roman" w:hAnsi="Times New Roman" w:cs="Times New Roman"/>
        </w:rPr>
      </w:pPr>
      <w:bookmarkStart w:id="0" w:name="ENCS5323 – Real-World Spectrum Sensing a"/>
      <w:bookmarkEnd w:id="0"/>
      <w:bookmarkStart w:id="1" w:name="_Hlk204111738"/>
      <w:bookmarkEnd w:id="1"/>
      <w:r>
        <w:rPr>
          <w:rFonts w:ascii="Times New Roman" w:hAnsi="Times New Roman" w:cs="Times New Roman"/>
        </w:rPr>
        <w:drawing>
          <wp:inline distT="0" distB="0" distL="0" distR="0">
            <wp:extent cx="5381625" cy="2087245"/>
            <wp:effectExtent l="0" t="0" r="133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381625" cy="2115453"/>
                    </a:xfrm>
                    <a:prstGeom prst="rect">
                      <a:avLst/>
                    </a:prstGeom>
                    <a:noFill/>
                    <a:ln>
                      <a:noFill/>
                    </a:ln>
                  </pic:spPr>
                </pic:pic>
              </a:graphicData>
            </a:graphic>
          </wp:inline>
        </w:drawing>
      </w:r>
    </w:p>
    <w:p w14:paraId="643457D3">
      <w:pPr>
        <w:pStyle w:val="2"/>
        <w:spacing w:line="280" w:lineRule="auto"/>
        <w:rPr>
          <w:rFonts w:ascii="Times New Roman" w:hAnsi="Times New Roman" w:cs="Times New Roman"/>
        </w:rPr>
      </w:pPr>
    </w:p>
    <w:p w14:paraId="7922DBB7">
      <w:pPr>
        <w:pStyle w:val="7"/>
        <w:spacing w:before="240" w:line="348" w:lineRule="auto"/>
        <w:ind w:left="1156" w:right="1510" w:firstLine="7"/>
        <w:jc w:val="center"/>
        <w:rPr>
          <w:rFonts w:ascii="Times New Roman" w:hAnsi="Times New Roman" w:cs="Times New Roman"/>
          <w:b/>
          <w:bCs/>
          <w:color w:val="333333"/>
          <w:sz w:val="36"/>
          <w:szCs w:val="36"/>
        </w:rPr>
      </w:pPr>
    </w:p>
    <w:p w14:paraId="5125E952">
      <w:pPr>
        <w:pStyle w:val="7"/>
        <w:spacing w:before="240" w:line="348" w:lineRule="auto"/>
        <w:ind w:left="1156" w:right="1510" w:firstLine="7"/>
        <w:jc w:val="center"/>
        <w:rPr>
          <w:rFonts w:ascii="Times New Roman" w:hAnsi="Times New Roman" w:cs="Times New Roman"/>
        </w:rPr>
      </w:pPr>
      <w:r>
        <w:rPr>
          <w:rFonts w:ascii="Times New Roman" w:hAnsi="Times New Roman" w:cs="Times New Roman"/>
          <w:b/>
          <w:bCs/>
          <w:color w:val="333333"/>
          <w:sz w:val="36"/>
          <w:szCs w:val="36"/>
        </w:rPr>
        <w:t>Faculty of Engineering and Technology</w:t>
      </w:r>
      <w:r>
        <w:rPr>
          <w:rFonts w:ascii="Times New Roman" w:hAnsi="Times New Roman" w:cs="Times New Roman"/>
          <w:b/>
          <w:bCs/>
          <w:color w:val="333333"/>
          <w:spacing w:val="40"/>
        </w:rPr>
        <w:t xml:space="preserve"> </w:t>
      </w:r>
    </w:p>
    <w:p w14:paraId="0060480E">
      <w:pPr>
        <w:pStyle w:val="2"/>
        <w:spacing w:line="280" w:lineRule="auto"/>
        <w:rPr>
          <w:sz w:val="32"/>
          <w:szCs w:val="32"/>
        </w:rPr>
      </w:pPr>
      <w:r>
        <w:rPr>
          <w:sz w:val="32"/>
          <w:szCs w:val="32"/>
        </w:rPr>
        <w:t>ENCS5323</w:t>
      </w:r>
      <w:r>
        <w:rPr>
          <w:spacing w:val="-8"/>
          <w:sz w:val="32"/>
          <w:szCs w:val="32"/>
        </w:rPr>
        <w:t xml:space="preserve"> </w:t>
      </w:r>
      <w:r>
        <w:rPr>
          <w:sz w:val="32"/>
          <w:szCs w:val="32"/>
        </w:rPr>
        <w:t>–</w:t>
      </w:r>
      <w:r>
        <w:rPr>
          <w:spacing w:val="-8"/>
          <w:sz w:val="32"/>
          <w:szCs w:val="32"/>
        </w:rPr>
        <w:t xml:space="preserve"> </w:t>
      </w:r>
      <w:r>
        <w:rPr>
          <w:sz w:val="32"/>
          <w:szCs w:val="32"/>
        </w:rPr>
        <w:t>Real-World</w:t>
      </w:r>
      <w:r>
        <w:rPr>
          <w:spacing w:val="-9"/>
          <w:sz w:val="32"/>
          <w:szCs w:val="32"/>
        </w:rPr>
        <w:t xml:space="preserve"> </w:t>
      </w:r>
      <w:r>
        <w:rPr>
          <w:sz w:val="32"/>
          <w:szCs w:val="32"/>
        </w:rPr>
        <w:t>Spectrum</w:t>
      </w:r>
      <w:r>
        <w:rPr>
          <w:spacing w:val="-8"/>
          <w:sz w:val="32"/>
          <w:szCs w:val="32"/>
        </w:rPr>
        <w:t xml:space="preserve"> </w:t>
      </w:r>
      <w:r>
        <w:rPr>
          <w:sz w:val="32"/>
          <w:szCs w:val="32"/>
        </w:rPr>
        <w:t>Sensing</w:t>
      </w:r>
      <w:r>
        <w:rPr>
          <w:spacing w:val="-8"/>
          <w:sz w:val="32"/>
          <w:szCs w:val="32"/>
        </w:rPr>
        <w:t xml:space="preserve"> </w:t>
      </w:r>
      <w:r>
        <w:rPr>
          <w:sz w:val="32"/>
          <w:szCs w:val="32"/>
        </w:rPr>
        <w:t>and</w:t>
      </w:r>
      <w:r>
        <w:rPr>
          <w:spacing w:val="-9"/>
          <w:sz w:val="32"/>
          <w:szCs w:val="32"/>
        </w:rPr>
        <w:t xml:space="preserve"> </w:t>
      </w:r>
      <w:r>
        <w:rPr>
          <w:sz w:val="32"/>
          <w:szCs w:val="32"/>
        </w:rPr>
        <w:t>Controlled</w:t>
      </w:r>
      <w:r>
        <w:rPr>
          <w:spacing w:val="-9"/>
          <w:sz w:val="32"/>
          <w:szCs w:val="32"/>
        </w:rPr>
        <w:t xml:space="preserve"> </w:t>
      </w:r>
      <w:r>
        <w:rPr>
          <w:sz w:val="32"/>
          <w:szCs w:val="32"/>
        </w:rPr>
        <w:t>RF Analysis Using SDR</w:t>
      </w:r>
    </w:p>
    <w:p w14:paraId="437E2345">
      <w:pPr>
        <w:pStyle w:val="2"/>
        <w:spacing w:line="280" w:lineRule="auto"/>
        <w:rPr>
          <w:sz w:val="32"/>
          <w:szCs w:val="32"/>
        </w:rPr>
      </w:pPr>
    </w:p>
    <w:p w14:paraId="3DAB45E5">
      <w:pPr>
        <w:pStyle w:val="2"/>
        <w:spacing w:line="280" w:lineRule="auto"/>
        <w:rPr>
          <w:sz w:val="32"/>
          <w:szCs w:val="32"/>
        </w:rPr>
      </w:pPr>
    </w:p>
    <w:p w14:paraId="371E8F5E">
      <w:pPr>
        <w:pStyle w:val="2"/>
        <w:spacing w:line="280" w:lineRule="auto"/>
        <w:rPr>
          <w:sz w:val="32"/>
          <w:szCs w:val="32"/>
        </w:rPr>
      </w:pPr>
    </w:p>
    <w:p w14:paraId="1C0D8FD3">
      <w:pPr>
        <w:pStyle w:val="2"/>
        <w:spacing w:line="280" w:lineRule="auto"/>
        <w:rPr>
          <w:sz w:val="32"/>
          <w:szCs w:val="32"/>
        </w:rPr>
      </w:pPr>
    </w:p>
    <w:p w14:paraId="588257B8">
      <w:pPr>
        <w:pStyle w:val="2"/>
        <w:spacing w:line="280" w:lineRule="auto"/>
        <w:rPr>
          <w:rFonts w:hint="cs" w:cs="Times New Roman"/>
          <w:sz w:val="32"/>
          <w:szCs w:val="32"/>
          <w:lang w:bidi="ar-SA"/>
        </w:rPr>
      </w:pPr>
    </w:p>
    <w:p w14:paraId="2D263ADD">
      <w:pPr>
        <w:pStyle w:val="2"/>
        <w:spacing w:line="280" w:lineRule="auto"/>
        <w:ind w:left="0" w:leftChars="0" w:firstLine="0" w:firstLineChars="0"/>
        <w:rPr>
          <w:sz w:val="36"/>
          <w:szCs w:val="36"/>
        </w:rPr>
      </w:pPr>
    </w:p>
    <w:p w14:paraId="200BCC25">
      <w:pPr>
        <w:pStyle w:val="7"/>
        <w:spacing w:before="76" w:line="280" w:lineRule="auto"/>
        <w:ind w:right="140"/>
        <w:jc w:val="both"/>
        <w:rPr>
          <w:b/>
          <w:bCs w:val="0"/>
          <w:spacing w:val="-5"/>
          <w:sz w:val="28"/>
          <w:szCs w:val="28"/>
        </w:rPr>
      </w:pPr>
      <w:r>
        <w:rPr>
          <w:b/>
          <w:bCs w:val="0"/>
          <w:sz w:val="28"/>
          <w:szCs w:val="28"/>
        </w:rPr>
        <w:t>Course:</w:t>
      </w:r>
      <w:r>
        <w:rPr>
          <w:b/>
          <w:bCs w:val="0"/>
          <w:spacing w:val="-5"/>
          <w:sz w:val="28"/>
          <w:szCs w:val="28"/>
        </w:rPr>
        <w:t xml:space="preserve"> </w:t>
      </w:r>
      <w:r>
        <w:rPr>
          <w:b/>
          <w:bCs w:val="0"/>
          <w:sz w:val="28"/>
          <w:szCs w:val="28"/>
        </w:rPr>
        <w:t>Wireless</w:t>
      </w:r>
      <w:r>
        <w:rPr>
          <w:b/>
          <w:bCs w:val="0"/>
          <w:spacing w:val="-6"/>
          <w:sz w:val="28"/>
          <w:szCs w:val="28"/>
        </w:rPr>
        <w:t xml:space="preserve"> </w:t>
      </w:r>
      <w:r>
        <w:rPr>
          <w:b/>
          <w:bCs w:val="0"/>
          <w:sz w:val="28"/>
          <w:szCs w:val="28"/>
        </w:rPr>
        <w:t>and</w:t>
      </w:r>
      <w:r>
        <w:rPr>
          <w:b/>
          <w:bCs w:val="0"/>
          <w:spacing w:val="-5"/>
          <w:sz w:val="28"/>
          <w:szCs w:val="28"/>
        </w:rPr>
        <w:t xml:space="preserve"> </w:t>
      </w:r>
      <w:r>
        <w:rPr>
          <w:b/>
          <w:bCs w:val="0"/>
          <w:sz w:val="28"/>
          <w:szCs w:val="28"/>
        </w:rPr>
        <w:t>Mobile</w:t>
      </w:r>
      <w:r>
        <w:rPr>
          <w:b/>
          <w:bCs w:val="0"/>
          <w:spacing w:val="-5"/>
          <w:sz w:val="28"/>
          <w:szCs w:val="28"/>
        </w:rPr>
        <w:t xml:space="preserve"> </w:t>
      </w:r>
      <w:r>
        <w:rPr>
          <w:b/>
          <w:bCs w:val="0"/>
          <w:sz w:val="28"/>
          <w:szCs w:val="28"/>
        </w:rPr>
        <w:t>Networks</w:t>
      </w:r>
      <w:r>
        <w:rPr>
          <w:b/>
          <w:bCs w:val="0"/>
          <w:spacing w:val="-6"/>
          <w:sz w:val="28"/>
          <w:szCs w:val="28"/>
        </w:rPr>
        <w:t xml:space="preserve"> </w:t>
      </w:r>
      <w:r>
        <w:rPr>
          <w:b/>
          <w:bCs w:val="0"/>
          <w:sz w:val="28"/>
          <w:szCs w:val="28"/>
        </w:rPr>
        <w:t>(ENCS5323)</w:t>
      </w:r>
      <w:r>
        <w:rPr>
          <w:b/>
          <w:bCs w:val="0"/>
          <w:spacing w:val="-5"/>
          <w:sz w:val="28"/>
          <w:szCs w:val="28"/>
        </w:rPr>
        <w:t xml:space="preserve"> </w:t>
      </w:r>
    </w:p>
    <w:p w14:paraId="4BAB5395">
      <w:pPr>
        <w:pStyle w:val="7"/>
        <w:spacing w:before="76" w:line="280" w:lineRule="auto"/>
        <w:ind w:right="140"/>
        <w:jc w:val="both"/>
        <w:rPr>
          <w:spacing w:val="-9"/>
          <w:sz w:val="28"/>
          <w:szCs w:val="28"/>
        </w:rPr>
      </w:pPr>
      <w:r>
        <w:rPr>
          <w:b/>
          <w:bCs/>
          <w:sz w:val="28"/>
          <w:szCs w:val="28"/>
        </w:rPr>
        <w:t>Dr.</w:t>
      </w:r>
      <w:r>
        <w:rPr>
          <w:b/>
          <w:bCs/>
          <w:spacing w:val="-5"/>
          <w:sz w:val="28"/>
          <w:szCs w:val="28"/>
        </w:rPr>
        <w:t xml:space="preserve"> </w:t>
      </w:r>
      <w:r>
        <w:rPr>
          <w:b/>
          <w:bCs/>
          <w:sz w:val="28"/>
          <w:szCs w:val="28"/>
        </w:rPr>
        <w:t>Mohammad</w:t>
      </w:r>
      <w:r>
        <w:rPr>
          <w:b/>
          <w:bCs/>
          <w:spacing w:val="-5"/>
          <w:sz w:val="28"/>
          <w:szCs w:val="28"/>
        </w:rPr>
        <w:t xml:space="preserve"> </w:t>
      </w:r>
      <w:r>
        <w:rPr>
          <w:b/>
          <w:bCs/>
          <w:sz w:val="28"/>
          <w:szCs w:val="28"/>
        </w:rPr>
        <w:t>K.</w:t>
      </w:r>
      <w:r>
        <w:rPr>
          <w:b/>
          <w:bCs/>
          <w:spacing w:val="-5"/>
          <w:sz w:val="28"/>
          <w:szCs w:val="28"/>
        </w:rPr>
        <w:t xml:space="preserve"> </w:t>
      </w:r>
      <w:r>
        <w:rPr>
          <w:b/>
          <w:bCs/>
          <w:sz w:val="28"/>
          <w:szCs w:val="28"/>
        </w:rPr>
        <w:t>Jubran</w:t>
      </w:r>
      <w:r>
        <w:rPr>
          <w:spacing w:val="-9"/>
          <w:sz w:val="28"/>
          <w:szCs w:val="28"/>
        </w:rPr>
        <w:t xml:space="preserve"> </w:t>
      </w:r>
    </w:p>
    <w:p w14:paraId="5BFCF070">
      <w:pPr>
        <w:pStyle w:val="7"/>
        <w:spacing w:before="76" w:line="280" w:lineRule="auto"/>
        <w:ind w:right="140"/>
        <w:jc w:val="both"/>
        <w:rPr>
          <w:b/>
          <w:sz w:val="28"/>
          <w:szCs w:val="28"/>
        </w:rPr>
      </w:pPr>
      <w:r>
        <w:rPr>
          <w:b/>
          <w:sz w:val="28"/>
          <w:szCs w:val="28"/>
        </w:rPr>
        <w:t xml:space="preserve">Group Members: </w:t>
      </w:r>
    </w:p>
    <w:p w14:paraId="60F0ABCA">
      <w:pPr>
        <w:pStyle w:val="7"/>
        <w:spacing w:before="76" w:line="280" w:lineRule="auto"/>
        <w:ind w:right="140"/>
        <w:jc w:val="both"/>
        <w:rPr>
          <w:rFonts w:hint="default"/>
          <w:b/>
          <w:sz w:val="28"/>
          <w:szCs w:val="28"/>
          <w:lang w:val="en-US"/>
        </w:rPr>
      </w:pPr>
      <w:r>
        <w:rPr>
          <w:rFonts w:hint="default"/>
          <w:b/>
          <w:sz w:val="28"/>
          <w:szCs w:val="28"/>
          <w:lang w:val="en-US"/>
        </w:rPr>
        <w:t>Qusai abo sondos               1221082</w:t>
      </w:r>
    </w:p>
    <w:p w14:paraId="4291DCE3">
      <w:pPr>
        <w:pStyle w:val="7"/>
        <w:spacing w:before="76" w:line="280" w:lineRule="auto"/>
        <w:ind w:right="140"/>
        <w:jc w:val="both"/>
        <w:rPr>
          <w:rFonts w:hint="default"/>
          <w:b/>
          <w:sz w:val="28"/>
          <w:szCs w:val="28"/>
          <w:lang w:val="en-US"/>
        </w:rPr>
      </w:pPr>
      <w:r>
        <w:rPr>
          <w:rFonts w:hint="default"/>
          <w:b/>
          <w:sz w:val="28"/>
          <w:szCs w:val="28"/>
          <w:lang w:val="en-US"/>
        </w:rPr>
        <w:t>Yousef</w:t>
      </w:r>
    </w:p>
    <w:p w14:paraId="1489E012">
      <w:pPr>
        <w:pStyle w:val="7"/>
        <w:spacing w:before="76" w:line="280" w:lineRule="auto"/>
        <w:ind w:right="140"/>
        <w:jc w:val="both"/>
        <w:rPr>
          <w:rFonts w:hint="default"/>
          <w:b/>
          <w:sz w:val="28"/>
          <w:szCs w:val="28"/>
          <w:lang w:val="en-US"/>
        </w:rPr>
      </w:pPr>
      <w:r>
        <w:rPr>
          <w:rFonts w:hint="default"/>
          <w:b/>
          <w:sz w:val="28"/>
          <w:szCs w:val="28"/>
          <w:lang w:val="en-US"/>
        </w:rPr>
        <w:t>Amro</w:t>
      </w:r>
      <w:bookmarkStart w:id="14" w:name="_GoBack"/>
      <w:bookmarkEnd w:id="14"/>
    </w:p>
    <w:p w14:paraId="71F0363A">
      <w:pPr>
        <w:pStyle w:val="7"/>
        <w:spacing w:before="76" w:line="280" w:lineRule="auto"/>
        <w:ind w:right="140"/>
        <w:jc w:val="both"/>
        <w:rPr>
          <w:sz w:val="28"/>
          <w:szCs w:val="28"/>
        </w:rPr>
      </w:pPr>
      <w:r>
        <w:rPr>
          <w:rFonts w:hint="default"/>
          <w:b/>
          <w:sz w:val="28"/>
          <w:szCs w:val="28"/>
          <w:lang w:val="en-US"/>
        </w:rPr>
        <w:t>Hashem</w:t>
      </w:r>
      <w:r>
        <w:rPr>
          <w:sz w:val="28"/>
          <w:szCs w:val="28"/>
        </w:rPr>
        <w:t xml:space="preserve"> </w:t>
      </w:r>
    </w:p>
    <w:p w14:paraId="37AA0B27">
      <w:pPr>
        <w:pStyle w:val="7"/>
        <w:spacing w:before="76" w:line="280" w:lineRule="auto"/>
        <w:ind w:right="140"/>
        <w:jc w:val="both"/>
        <w:rPr>
          <w:rFonts w:hint="default"/>
          <w:b/>
          <w:sz w:val="28"/>
          <w:szCs w:val="28"/>
          <w:lang w:val="en-US"/>
        </w:rPr>
      </w:pPr>
      <w:r>
        <w:rPr>
          <w:b/>
          <w:sz w:val="28"/>
          <w:szCs w:val="28"/>
        </w:rPr>
        <w:t>Date:</w:t>
      </w:r>
      <w:r>
        <w:rPr>
          <w:rFonts w:hint="default"/>
          <w:b/>
          <w:sz w:val="28"/>
          <w:szCs w:val="28"/>
          <w:lang w:val="en-US"/>
        </w:rPr>
        <w:t>18/6/2026</w:t>
      </w:r>
    </w:p>
    <w:p w14:paraId="1C4D9092">
      <w:pPr>
        <w:pStyle w:val="7"/>
        <w:spacing w:before="11"/>
        <w:rPr>
          <w:b/>
          <w:sz w:val="15"/>
          <w:szCs w:val="28"/>
        </w:rPr>
      </w:pPr>
      <w:r>
        <w:rPr>
          <w:b/>
          <w:sz w:val="15"/>
          <w:szCs w:val="28"/>
        </w:rPr>
        <mc:AlternateContent>
          <mc:Choice Requires="wps">
            <w:drawing>
              <wp:anchor distT="0" distB="0" distL="0" distR="0" simplePos="0" relativeHeight="251660288" behindDoc="1" locked="0" layoutInCell="1" allowOverlap="1">
                <wp:simplePos x="0" y="0"/>
                <wp:positionH relativeFrom="page">
                  <wp:posOffset>990600</wp:posOffset>
                </wp:positionH>
                <wp:positionV relativeFrom="paragraph">
                  <wp:posOffset>116840</wp:posOffset>
                </wp:positionV>
                <wp:extent cx="557911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AAAAAA"/>
                        </a:solidFill>
                      </wps:spPr>
                      <wps:bodyPr wrap="square" lIns="0" tIns="0" rIns="0" bIns="0" rtlCol="0">
                        <a:noAutofit/>
                      </wps:bodyPr>
                    </wps:wsp>
                  </a:graphicData>
                </a:graphic>
              </wp:anchor>
            </w:drawing>
          </mc:Choice>
          <mc:Fallback>
            <w:pict>
              <v:shape id="Graphic 2" o:spid="_x0000_s1026" o:spt="100" style="position:absolute;left:0pt;margin-left:78pt;margin-top:9.2pt;height:0.75pt;width:439.3pt;mso-position-horizontal-relative:page;mso-wrap-distance-bottom:0pt;mso-wrap-distance-top:0pt;z-index:-251656192;mso-width-relative:page;mso-height-relative:page;" fillcolor="#AAAAAA" filled="t" stroked="f" coordsize="5579110,9525" o:gfxdata="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1Q8NgAAAAK&#10;AQAADwAAAAAAAAABACAAAAAiAAAAZHJzL2Rvd25yZXYueG1sUEsBAhQAFAAAAAgAh07iQPau7PMc&#10;AgAA3wQAAA4AAAAAAAAAAQAgAAAAJwEAAGRycy9lMm9Eb2MueG1sUEsFBgAAAAAGAAYAWQEAALUF&#10;AAAAAA==&#10;" path="m5578800,9525l0,9525,0,0,5578800,0,5578800,9525xe">
                <v:fill on="t" focussize="0,0"/>
                <v:stroke on="f"/>
                <v:imagedata o:title=""/>
                <o:lock v:ext="edit" aspectratio="f"/>
                <v:textbox inset="0mm,0mm,0mm,0mm"/>
                <w10:wrap type="topAndBottom"/>
              </v:shape>
            </w:pict>
          </mc:Fallback>
        </mc:AlternateContent>
      </w:r>
    </w:p>
    <w:p w14:paraId="26753ECC">
      <w:pPr>
        <w:pStyle w:val="7"/>
        <w:spacing w:before="64"/>
        <w:rPr>
          <w:b/>
        </w:rPr>
      </w:pPr>
    </w:p>
    <w:p w14:paraId="25DDD968">
      <w:pPr>
        <w:pStyle w:val="7"/>
        <w:spacing w:before="64"/>
        <w:rPr>
          <w:b/>
        </w:rPr>
      </w:pPr>
    </w:p>
    <w:p w14:paraId="2B3FA96C">
      <w:pPr>
        <w:pStyle w:val="7"/>
        <w:spacing w:before="64"/>
        <w:rPr>
          <w:b/>
        </w:rPr>
      </w:pPr>
    </w:p>
    <w:p w14:paraId="3FC815E5">
      <w:pPr>
        <w:pStyle w:val="7"/>
        <w:spacing w:before="64"/>
        <w:rPr>
          <w:b/>
        </w:rPr>
      </w:pPr>
    </w:p>
    <w:p w14:paraId="2FFF3CAB">
      <w:pPr>
        <w:pStyle w:val="3"/>
        <w:numPr>
          <w:ilvl w:val="0"/>
          <w:numId w:val="1"/>
        </w:numPr>
        <w:tabs>
          <w:tab w:val="left" w:pos="260"/>
        </w:tabs>
        <w:spacing w:before="0" w:after="0" w:line="240" w:lineRule="auto"/>
        <w:ind w:left="260" w:right="0" w:hanging="260"/>
        <w:jc w:val="both"/>
      </w:pPr>
      <w:bookmarkStart w:id="2" w:name="1. Introduction"/>
      <w:bookmarkEnd w:id="2"/>
      <w:r>
        <w:rPr>
          <w:spacing w:val="-2"/>
        </w:rPr>
        <w:t>Introduction</w:t>
      </w:r>
    </w:p>
    <w:p w14:paraId="3F64908C">
      <w:pPr>
        <w:pStyle w:val="7"/>
        <w:spacing w:before="2"/>
        <w:rPr>
          <w:b/>
          <w:sz w:val="4"/>
        </w:rPr>
      </w:pPr>
      <w:r>
        <w:rPr>
          <w:b/>
          <w:sz w:val="4"/>
        </w:rPr>
        <mc:AlternateContent>
          <mc:Choice Requires="wps">
            <w:drawing>
              <wp:anchor distT="0" distB="0" distL="0" distR="0" simplePos="0" relativeHeight="251660288" behindDoc="1" locked="0" layoutInCell="1" allowOverlap="1">
                <wp:simplePos x="0" y="0"/>
                <wp:positionH relativeFrom="page">
                  <wp:posOffset>990600</wp:posOffset>
                </wp:positionH>
                <wp:positionV relativeFrom="paragraph">
                  <wp:posOffset>45720</wp:posOffset>
                </wp:positionV>
                <wp:extent cx="5579110" cy="9525"/>
                <wp:effectExtent l="0" t="0" r="0" b="0"/>
                <wp:wrapTopAndBottom/>
                <wp:docPr id="3" name="Graphic 3"/>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878787"/>
                        </a:solidFill>
                      </wps:spPr>
                      <wps:bodyPr wrap="square" lIns="0" tIns="0" rIns="0" bIns="0" rtlCol="0">
                        <a:noAutofit/>
                      </wps:bodyPr>
                    </wps:wsp>
                  </a:graphicData>
                </a:graphic>
              </wp:anchor>
            </w:drawing>
          </mc:Choice>
          <mc:Fallback>
            <w:pict>
              <v:shape id="Graphic 3" o:spid="_x0000_s1026" o:spt="100" style="position:absolute;left:0pt;margin-left:78pt;margin-top:3.6pt;height:0.75pt;width:439.3pt;mso-position-horizontal-relative:page;mso-wrap-distance-bottom:0pt;mso-wrap-distance-top:0pt;z-index:-251656192;mso-width-relative:page;mso-height-relative:page;" fillcolor="#878787" filled="t" stroked="f" coordsize="5579110,9525" o:gfxdata="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LP9bI1gAAAAgB&#10;AAAPAAAAAAAAAAEAIAAAACIAAABkcnMvZG93bnJldi54bWxQSwECFAAUAAAACACHTuJAI5e+hR0C&#10;AADfBAAADgAAAAAAAAABACAAAAAlAQAAZHJzL2Uyb0RvYy54bWxQSwUGAAAAAAYABgBZAQAAtAUA&#10;AAAA&#10;" path="m5578800,9525l0,9525,0,0,5578800,0,5578800,9525xe">
                <v:fill on="t" focussize="0,0"/>
                <v:stroke on="f"/>
                <v:imagedata o:title=""/>
                <o:lock v:ext="edit" aspectratio="f"/>
                <v:textbox inset="0mm,0mm,0mm,0mm"/>
                <w10:wrap type="topAndBottom"/>
              </v:shape>
            </w:pict>
          </mc:Fallback>
        </mc:AlternateContent>
      </w:r>
    </w:p>
    <w:p w14:paraId="146F1A7A">
      <w:pPr>
        <w:pStyle w:val="7"/>
        <w:spacing w:before="139" w:line="280" w:lineRule="auto"/>
        <w:ind w:right="128"/>
        <w:jc w:val="both"/>
      </w:pPr>
      <w:r>
        <w:t xml:space="preserve">This project implements two complementary SDR-based subsystems using two ADALM-PLUTO units: (1) a </w:t>
      </w:r>
      <w:r>
        <w:rPr>
          <w:b/>
        </w:rPr>
        <w:t xml:space="preserve">spectrum sensing system </w:t>
      </w:r>
      <w:r>
        <w:t xml:space="preserve">that captures and visualizes live RF activity across GSM 900, GSM 1800, UMTS 2100, and the 2.4 GHz ISM band, and (2) a </w:t>
      </w:r>
      <w:r>
        <w:rPr>
          <w:b/>
        </w:rPr>
        <w:t xml:space="preserve">controlled interference generator </w:t>
      </w:r>
      <w:r>
        <w:t>that quantifies the impact of in-band RF interference</w:t>
      </w:r>
      <w:r>
        <w:rPr>
          <w:spacing w:val="80"/>
        </w:rPr>
        <w:t xml:space="preserve"> </w:t>
      </w:r>
      <w:r>
        <w:t>on an active 2.4 GHz wireless link. Both subsystems can run independently or</w:t>
      </w:r>
      <w:r>
        <w:rPr>
          <w:spacing w:val="40"/>
        </w:rPr>
        <w:t xml:space="preserve"> </w:t>
      </w:r>
      <w:r>
        <w:t>concurrently, with PLUTO #1 dedicated to sensing (RX) and PLUTO #2 dedicated to interference (TX).</w:t>
      </w:r>
    </w:p>
    <w:p w14:paraId="0C98A000">
      <w:pPr>
        <w:pStyle w:val="7"/>
        <w:spacing w:before="53"/>
      </w:pPr>
    </w:p>
    <w:p w14:paraId="2BE18DAB">
      <w:pPr>
        <w:pStyle w:val="3"/>
        <w:numPr>
          <w:ilvl w:val="0"/>
          <w:numId w:val="1"/>
        </w:numPr>
        <w:tabs>
          <w:tab w:val="left" w:pos="260"/>
        </w:tabs>
        <w:spacing w:before="0" w:after="0" w:line="240" w:lineRule="auto"/>
        <w:ind w:left="260" w:right="0" w:hanging="260"/>
        <w:jc w:val="both"/>
      </w:pPr>
      <w:bookmarkStart w:id="3" w:name="2. Component 1 – Spectrum Sensing"/>
      <w:bookmarkEnd w:id="3"/>
      <w:r>
        <w:t>Component</w:t>
      </w:r>
      <w:r>
        <w:rPr>
          <w:spacing w:val="-2"/>
        </w:rPr>
        <w:t xml:space="preserve"> </w:t>
      </w:r>
      <w:r>
        <w:t>1</w:t>
      </w:r>
      <w:r>
        <w:rPr>
          <w:spacing w:val="-2"/>
        </w:rPr>
        <w:t xml:space="preserve"> </w:t>
      </w:r>
      <w:r>
        <w:t>–</w:t>
      </w:r>
      <w:r>
        <w:rPr>
          <w:spacing w:val="-2"/>
        </w:rPr>
        <w:t xml:space="preserve"> </w:t>
      </w:r>
      <w:r>
        <w:t>Spectrum</w:t>
      </w:r>
      <w:r>
        <w:rPr>
          <w:spacing w:val="-1"/>
        </w:rPr>
        <w:t xml:space="preserve"> </w:t>
      </w:r>
      <w:r>
        <w:rPr>
          <w:spacing w:val="-2"/>
        </w:rPr>
        <w:t>Sensing</w:t>
      </w:r>
    </w:p>
    <w:p w14:paraId="014858F2">
      <w:pPr>
        <w:pStyle w:val="7"/>
        <w:rPr>
          <w:b/>
          <w:sz w:val="4"/>
        </w:rPr>
      </w:pPr>
      <w:r>
        <w:rPr>
          <w:b/>
          <w:sz w:val="4"/>
        </w:rPr>
        <mc:AlternateContent>
          <mc:Choice Requires="wps">
            <w:drawing>
              <wp:anchor distT="0" distB="0" distL="0" distR="0" simplePos="0" relativeHeight="251661312" behindDoc="1" locked="0" layoutInCell="1" allowOverlap="1">
                <wp:simplePos x="0" y="0"/>
                <wp:positionH relativeFrom="page">
                  <wp:posOffset>990600</wp:posOffset>
                </wp:positionH>
                <wp:positionV relativeFrom="paragraph">
                  <wp:posOffset>45085</wp:posOffset>
                </wp:positionV>
                <wp:extent cx="5579110" cy="9525"/>
                <wp:effectExtent l="0" t="0" r="0" b="0"/>
                <wp:wrapTopAndBottom/>
                <wp:docPr id="4" name="Graphic 4"/>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878787"/>
                        </a:solidFill>
                      </wps:spPr>
                      <wps:bodyPr wrap="square" lIns="0" tIns="0" rIns="0" bIns="0" rtlCol="0">
                        <a:noAutofit/>
                      </wps:bodyPr>
                    </wps:wsp>
                  </a:graphicData>
                </a:graphic>
              </wp:anchor>
            </w:drawing>
          </mc:Choice>
          <mc:Fallback>
            <w:pict>
              <v:shape id="Graphic 4" o:spid="_x0000_s1026" o:spt="100" style="position:absolute;left:0pt;margin-left:78pt;margin-top:3.55pt;height:0.75pt;width:439.3pt;mso-position-horizontal-relative:page;mso-wrap-distance-bottom:0pt;mso-wrap-distance-top:0pt;z-index:-251655168;mso-width-relative:page;mso-height-relative:page;" fillcolor="#878787" filled="t" stroked="f" coordsize="5579110,9525" o:gfxdata="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xNR71gAAAAgB&#10;AAAPAAAAAAAAAAEAIAAAACIAAABkcnMvZG93bnJldi54bWxQSwECFAAUAAAACACHTuJAUnxJ5x0C&#10;AADfBAAADgAAAAAAAAABACAAAAAlAQAAZHJzL2Uyb0RvYy54bWxQSwUGAAAAAAYABgBZAQAAtAUA&#10;AAAA&#10;" path="m5578800,9525l0,9525,0,0,5578800,0,5578800,9525xe">
                <v:fill on="t" focussize="0,0"/>
                <v:stroke on="f"/>
                <v:imagedata o:title=""/>
                <o:lock v:ext="edit" aspectratio="f"/>
                <v:textbox inset="0mm,0mm,0mm,0mm"/>
                <w10:wrap type="topAndBottom"/>
              </v:shape>
            </w:pict>
          </mc:Fallback>
        </mc:AlternateContent>
      </w:r>
    </w:p>
    <w:p w14:paraId="52EC8B27">
      <w:pPr>
        <w:pStyle w:val="4"/>
        <w:numPr>
          <w:ilvl w:val="1"/>
          <w:numId w:val="1"/>
        </w:numPr>
        <w:tabs>
          <w:tab w:val="left" w:pos="360"/>
        </w:tabs>
        <w:spacing w:before="219" w:after="0" w:line="240" w:lineRule="auto"/>
        <w:ind w:left="360" w:right="0" w:hanging="360"/>
        <w:jc w:val="both"/>
      </w:pPr>
      <w:bookmarkStart w:id="4" w:name="2.1 Method (brief)"/>
      <w:bookmarkEnd w:id="4"/>
      <w:r>
        <w:t>Method</w:t>
      </w:r>
      <w:r>
        <w:rPr>
          <w:spacing w:val="-2"/>
        </w:rPr>
        <w:t xml:space="preserve"> (brief)</w:t>
      </w:r>
    </w:p>
    <w:p w14:paraId="0EDD92C2">
      <w:pPr>
        <w:pStyle w:val="7"/>
        <w:spacing w:before="128" w:line="280" w:lineRule="auto"/>
        <w:ind w:right="114"/>
        <w:jc w:val="both"/>
      </w:pPr>
      <w:r>
        <w:t>Each band is swept by stepping the PlutoSDR’s local oscillator across overlapping 20 MHz windows (the device’s instantaneous sample rate), capturing IQ samples per step, applying a Hanning-windowed FFT (1024 bins), averaging 20 frames per step to reduce noise variance, and stitching the resulting power spectral density (PSD) segments into a single sweep.</w:t>
      </w:r>
      <w:r>
        <w:rPr>
          <w:spacing w:val="40"/>
        </w:rPr>
        <w:t xml:space="preserve"> </w:t>
      </w:r>
      <w:r>
        <w:t>Power</w:t>
      </w:r>
      <w:r>
        <w:rPr>
          <w:spacing w:val="40"/>
        </w:rPr>
        <w:t xml:space="preserve"> </w:t>
      </w:r>
      <w:r>
        <w:t>is</w:t>
      </w:r>
      <w:r>
        <w:rPr>
          <w:spacing w:val="40"/>
        </w:rPr>
        <w:t xml:space="preserve"> </w:t>
      </w:r>
      <w:r>
        <w:t>reported</w:t>
      </w:r>
      <w:r>
        <w:rPr>
          <w:spacing w:val="40"/>
        </w:rPr>
        <w:t xml:space="preserve"> </w:t>
      </w:r>
      <w:r>
        <w:t>in</w:t>
      </w:r>
      <w:r>
        <w:rPr>
          <w:spacing w:val="40"/>
        </w:rPr>
        <w:t xml:space="preserve"> </w:t>
      </w:r>
      <w:r>
        <w:rPr>
          <w:b/>
        </w:rPr>
        <w:t>relative</w:t>
      </w:r>
      <w:r>
        <w:rPr>
          <w:b/>
          <w:spacing w:val="40"/>
        </w:rPr>
        <w:t xml:space="preserve"> </w:t>
      </w:r>
      <w:r>
        <w:rPr>
          <w:b/>
        </w:rPr>
        <w:t>dB</w:t>
      </w:r>
      <w:r>
        <w:rPr>
          <w:b/>
          <w:spacing w:val="40"/>
        </w:rPr>
        <w:t xml:space="preserve"> </w:t>
      </w:r>
      <w:r>
        <w:t>(uncalibrated</w:t>
      </w:r>
      <w:r>
        <w:rPr>
          <w:spacing w:val="40"/>
        </w:rPr>
        <w:t xml:space="preserve"> </w:t>
      </w:r>
      <w:r>
        <w:t>ADC</w:t>
      </w:r>
      <w:r>
        <w:rPr>
          <w:spacing w:val="40"/>
        </w:rPr>
        <w:t xml:space="preserve"> </w:t>
      </w:r>
      <w:r>
        <w:t>power</w:t>
      </w:r>
      <w:r>
        <w:rPr>
          <w:spacing w:val="40"/>
        </w:rPr>
        <w:t xml:space="preserve"> </w:t>
      </w:r>
      <w:r>
        <w:t>referenced</w:t>
      </w:r>
      <w:r>
        <w:rPr>
          <w:spacing w:val="40"/>
        </w:rPr>
        <w:t xml:space="preserve"> </w:t>
      </w:r>
      <w:r>
        <w:t>to</w:t>
      </w:r>
      <w:r>
        <w:rPr>
          <w:spacing w:val="40"/>
        </w:rPr>
        <w:t xml:space="preserve"> </w:t>
      </w:r>
      <w:r>
        <w:t>full-scale), since no absolute dBm calibration step was performed — this is sufficient for evaluating channel structure, occupancy, and relative power differences. A live mode additionally renders a real-time PSD line and scrolling waterfall for temporal variability.</w:t>
      </w:r>
    </w:p>
    <w:p w14:paraId="70B0B8FA">
      <w:pPr>
        <w:pStyle w:val="4"/>
        <w:numPr>
          <w:ilvl w:val="1"/>
          <w:numId w:val="1"/>
        </w:numPr>
        <w:tabs>
          <w:tab w:val="left" w:pos="360"/>
        </w:tabs>
        <w:spacing w:before="208" w:after="0" w:line="240" w:lineRule="auto"/>
        <w:ind w:left="360" w:right="0" w:hanging="360"/>
        <w:jc w:val="both"/>
      </w:pPr>
      <w:bookmarkStart w:id="5" w:name="2.2 Results and Interpretation"/>
      <w:bookmarkEnd w:id="5"/>
      <w:r>
        <w:t>Results</w:t>
      </w:r>
      <w:r>
        <w:rPr>
          <w:spacing w:val="-5"/>
        </w:rPr>
        <w:t xml:space="preserve"> </w:t>
      </w:r>
      <w:r>
        <w:t>and</w:t>
      </w:r>
      <w:r>
        <w:rPr>
          <w:spacing w:val="-2"/>
        </w:rPr>
        <w:t xml:space="preserve"> Interpretation</w:t>
      </w:r>
    </w:p>
    <w:p w14:paraId="21CB2D46">
      <w:pPr>
        <w:pStyle w:val="7"/>
        <w:spacing w:before="129" w:line="280" w:lineRule="auto"/>
        <w:ind w:right="128"/>
        <w:jc w:val="both"/>
      </w:pPr>
      <w:r>
        <w:rPr>
          <w:b/>
        </w:rPr>
        <w:t xml:space="preserve">GSM 900 Downlink (935–960 MHz). </w:t>
      </w:r>
      <w:r>
        <w:t>Mean relative power −23.3 dB. The sweep shows a dominant narrow carrier near 945 MHz (~31 dB above noise floor) immediately adjacent</w:t>
      </w:r>
      <w:r>
        <w:rPr>
          <w:spacing w:val="80"/>
        </w:rPr>
        <w:t xml:space="preserve"> </w:t>
      </w:r>
      <w:r>
        <w:t>to a second, smaller carrier near 946 MHz, plus weaker activity near 944 MHz and 952 MHz. This is consistent with multiple GSM base stations transmitting adjacent 200 kHz FDMA carriers within the downlink block — exactly the channelized structure the assignment asks us to demonstrate.</w:t>
      </w:r>
    </w:p>
    <w:p w14:paraId="59AA91F2">
      <w:pPr>
        <w:pStyle w:val="7"/>
        <w:spacing w:before="129" w:line="280" w:lineRule="auto"/>
        <w:ind w:right="128"/>
        <w:jc w:val="both"/>
      </w:pPr>
      <w:r>
        <w:drawing>
          <wp:inline distT="0" distB="0" distL="114300" distR="114300">
            <wp:extent cx="3204845" cy="1925320"/>
            <wp:effectExtent l="0" t="0" r="10795" b="1016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3204845" cy="1925320"/>
                    </a:xfrm>
                    <a:prstGeom prst="rect">
                      <a:avLst/>
                    </a:prstGeom>
                    <a:noFill/>
                    <a:ln>
                      <a:noFill/>
                    </a:ln>
                  </pic:spPr>
                </pic:pic>
              </a:graphicData>
            </a:graphic>
          </wp:inline>
        </w:drawing>
      </w:r>
    </w:p>
    <w:p w14:paraId="7B2851A2">
      <w:pPr>
        <w:pStyle w:val="7"/>
        <w:spacing w:before="129" w:line="280" w:lineRule="auto"/>
        <w:ind w:right="128"/>
        <w:jc w:val="both"/>
      </w:pPr>
    </w:p>
    <w:p w14:paraId="310E03A8">
      <w:pPr>
        <w:pStyle w:val="7"/>
        <w:spacing w:before="129" w:line="280" w:lineRule="auto"/>
        <w:ind w:right="128"/>
        <w:jc w:val="both"/>
      </w:pPr>
    </w:p>
    <w:p w14:paraId="4AFF90B9">
      <w:pPr>
        <w:pStyle w:val="7"/>
        <w:spacing w:before="129" w:line="280" w:lineRule="auto"/>
        <w:ind w:right="128"/>
        <w:jc w:val="both"/>
      </w:pPr>
    </w:p>
    <w:p w14:paraId="122996A6">
      <w:pPr>
        <w:pStyle w:val="7"/>
        <w:spacing w:before="166" w:line="280" w:lineRule="auto"/>
        <w:ind w:right="135"/>
        <w:jc w:val="both"/>
        <w:rPr>
          <w:rFonts w:hint="default"/>
          <w:lang w:val="en-US"/>
        </w:rPr>
      </w:pPr>
      <w:r/>
      <w:r>
        <w:t>GSM 1800 Downlink (1805–1880 MHz). Mean relative power −22.5 dB. Six distinct narrowband peaks (−12 to −14 dB) are visible, each sitting on top of a broader raised "shoulder" of elevated activity (−15 to −20 dB) rather than a flat noise floor. The discrete peaks correspond to individual GSM carriers (likely BCCH/control channels, which transmit continuously at near-constant power), while the broader shoulders reflect traffic channels whose occupancy varies with call/data load — direct visual evidence of frequency-domain multiplexing plus load-dependent occupancy.</w:t>
      </w:r>
    </w:p>
    <w:p w14:paraId="46AD95CB">
      <w:pPr>
        <w:pStyle w:val="7"/>
        <w:spacing w:before="166" w:line="280" w:lineRule="auto"/>
        <w:ind w:right="135"/>
        <w:jc w:val="both"/>
        <w:rPr>
          <w:rFonts w:hint="default"/>
          <w:lang w:val="en-US"/>
        </w:rPr>
      </w:pPr>
    </w:p>
    <w:p w14:paraId="440B411B">
      <w:pPr>
        <w:pStyle w:val="7"/>
        <w:spacing w:before="166" w:line="280" w:lineRule="auto"/>
        <w:ind w:right="135"/>
        <w:jc w:val="both"/>
        <w:rPr>
          <w:rFonts w:hint="default"/>
          <w:lang w:val="en-US"/>
        </w:rPr>
      </w:pPr>
      <w:r>
        <w:rPr>
          <w:rFonts w:hint="default"/>
          <w:lang w:val="en-US"/>
        </w:rPr>
        <w:drawing>
          <wp:inline distT="0" distB="0" distL="114300" distR="114300">
            <wp:extent cx="3938270" cy="1780540"/>
            <wp:effectExtent l="0" t="0" r="8890" b="2540"/>
            <wp:docPr id="11" name="Picture 11" descr="Screenshot 2026-06-18 18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18 182048"/>
                    <pic:cNvPicPr>
                      <a:picLocks noChangeAspect="1"/>
                    </pic:cNvPicPr>
                  </pic:nvPicPr>
                  <pic:blipFill>
                    <a:blip r:embed="rId9"/>
                    <a:stretch>
                      <a:fillRect/>
                    </a:stretch>
                  </pic:blipFill>
                  <pic:spPr>
                    <a:xfrm>
                      <a:off x="0" y="0"/>
                      <a:ext cx="3938270" cy="1780540"/>
                    </a:xfrm>
                    <a:prstGeom prst="rect">
                      <a:avLst/>
                    </a:prstGeom>
                  </pic:spPr>
                </pic:pic>
              </a:graphicData>
            </a:graphic>
          </wp:inline>
        </w:drawing>
      </w:r>
    </w:p>
    <w:p w14:paraId="04AE80A6">
      <w:pPr>
        <w:pStyle w:val="7"/>
        <w:spacing w:before="166" w:line="280" w:lineRule="auto"/>
        <w:ind w:right="135"/>
        <w:jc w:val="both"/>
        <w:rPr>
          <w:rFonts w:hint="default"/>
          <w:lang w:val="en-US"/>
        </w:rPr>
      </w:pPr>
    </w:p>
    <w:p w14:paraId="10B8BC19">
      <w:pPr>
        <w:pStyle w:val="7"/>
        <w:spacing w:before="162" w:line="280" w:lineRule="auto"/>
        <w:ind w:right="137"/>
        <w:jc w:val="both"/>
      </w:pPr>
      <w:r>
        <w:rPr>
          <w:b/>
        </w:rPr>
        <w:t xml:space="preserve">UMTS 2100 Downlink (2110–2170 MHz). </w:t>
      </w:r>
      <w:r>
        <w:t>Mean relative power +2.3 dB — the most information-dense capture of the four. The spectrum shows a clear repeating pattern of ~5 MHz-wide</w:t>
      </w:r>
      <w:r>
        <w:rPr>
          <w:spacing w:val="10"/>
        </w:rPr>
        <w:t xml:space="preserve"> </w:t>
      </w:r>
      <w:r>
        <w:t>raised</w:t>
      </w:r>
      <w:r>
        <w:rPr>
          <w:spacing w:val="12"/>
        </w:rPr>
        <w:t xml:space="preserve"> </w:t>
      </w:r>
      <w:r>
        <w:t>“domes”</w:t>
      </w:r>
      <w:r>
        <w:rPr>
          <w:spacing w:val="12"/>
        </w:rPr>
        <w:t xml:space="preserve"> </w:t>
      </w:r>
      <w:r>
        <w:t>(peaking</w:t>
      </w:r>
      <w:r>
        <w:rPr>
          <w:spacing w:val="12"/>
        </w:rPr>
        <w:t xml:space="preserve"> </w:t>
      </w:r>
      <w:r>
        <w:t>10–14</w:t>
      </w:r>
      <w:r>
        <w:rPr>
          <w:spacing w:val="12"/>
        </w:rPr>
        <w:t xml:space="preserve"> </w:t>
      </w:r>
      <w:r>
        <w:t>dB)</w:t>
      </w:r>
      <w:r>
        <w:rPr>
          <w:spacing w:val="13"/>
        </w:rPr>
        <w:t xml:space="preserve"> </w:t>
      </w:r>
      <w:r>
        <w:t>separated</w:t>
      </w:r>
      <w:r>
        <w:rPr>
          <w:spacing w:val="12"/>
        </w:rPr>
        <w:t xml:space="preserve"> </w:t>
      </w:r>
      <w:r>
        <w:t>by</w:t>
      </w:r>
      <w:r>
        <w:rPr>
          <w:spacing w:val="12"/>
        </w:rPr>
        <w:t xml:space="preserve"> </w:t>
      </w:r>
      <w:r>
        <w:t>sharp</w:t>
      </w:r>
      <w:r>
        <w:rPr>
          <w:spacing w:val="12"/>
        </w:rPr>
        <w:t xml:space="preserve"> </w:t>
      </w:r>
      <w:r>
        <w:t>deep</w:t>
      </w:r>
      <w:r>
        <w:rPr>
          <w:spacing w:val="12"/>
        </w:rPr>
        <w:t xml:space="preserve"> </w:t>
      </w:r>
      <w:r>
        <w:t>notches</w:t>
      </w:r>
      <w:r>
        <w:rPr>
          <w:spacing w:val="12"/>
        </w:rPr>
        <w:t xml:space="preserve"> </w:t>
      </w:r>
      <w:r>
        <w:t>(down</w:t>
      </w:r>
      <w:r>
        <w:rPr>
          <w:spacing w:val="13"/>
        </w:rPr>
        <w:t xml:space="preserve"> </w:t>
      </w:r>
      <w:r>
        <w:rPr>
          <w:spacing w:val="-5"/>
        </w:rPr>
        <w:t>to</w:t>
      </w:r>
    </w:p>
    <w:p w14:paraId="152B9364">
      <w:pPr>
        <w:pStyle w:val="7"/>
        <w:spacing w:before="3" w:line="280" w:lineRule="auto"/>
        <w:ind w:right="138"/>
        <w:jc w:val="both"/>
      </w:pPr>
      <w:r>
        <w:t xml:space="preserve">−25 to −32 dB), yielding roughly 10–12 repeating structures across the 60 MHz span. This is the textbook signature of </w:t>
      </w:r>
      <w:r>
        <w:rPr>
          <w:b/>
        </w:rPr>
        <w:t>WCDMA</w:t>
      </w:r>
      <w:r>
        <w:t>: each UMTS carrier occupies a fixed 5 MHz</w:t>
      </w:r>
      <w:r>
        <w:rPr>
          <w:spacing w:val="40"/>
        </w:rPr>
        <w:t xml:space="preserve"> </w:t>
      </w:r>
      <w:r>
        <w:t>channel raster, and because all users within a carrier are code-multiplexed (not frequency-multiplexed),</w:t>
      </w:r>
      <w:r>
        <w:rPr>
          <w:spacing w:val="4"/>
        </w:rPr>
        <w:t xml:space="preserve"> </w:t>
      </w:r>
      <w:r>
        <w:t>the</w:t>
      </w:r>
      <w:r>
        <w:rPr>
          <w:spacing w:val="7"/>
        </w:rPr>
        <w:t xml:space="preserve"> </w:t>
      </w:r>
      <w:r>
        <w:t>carrier</w:t>
      </w:r>
      <w:r>
        <w:rPr>
          <w:spacing w:val="7"/>
        </w:rPr>
        <w:t xml:space="preserve"> </w:t>
      </w:r>
      <w:r>
        <w:t>appears</w:t>
      </w:r>
      <w:r>
        <w:rPr>
          <w:spacing w:val="7"/>
        </w:rPr>
        <w:t xml:space="preserve"> </w:t>
      </w:r>
      <w:r>
        <w:t>as</w:t>
      </w:r>
      <w:r>
        <w:rPr>
          <w:spacing w:val="7"/>
        </w:rPr>
        <w:t xml:space="preserve"> </w:t>
      </w:r>
      <w:r>
        <w:t>a</w:t>
      </w:r>
      <w:r>
        <w:rPr>
          <w:spacing w:val="7"/>
        </w:rPr>
        <w:t xml:space="preserve"> </w:t>
      </w:r>
      <w:r>
        <w:t>flat-topped</w:t>
      </w:r>
      <w:r>
        <w:rPr>
          <w:spacing w:val="7"/>
        </w:rPr>
        <w:t xml:space="preserve"> </w:t>
      </w:r>
      <w:r>
        <w:t>“dome”</w:t>
      </w:r>
      <w:r>
        <w:rPr>
          <w:spacing w:val="6"/>
        </w:rPr>
        <w:t xml:space="preserve"> </w:t>
      </w:r>
      <w:r>
        <w:t>rather</w:t>
      </w:r>
      <w:r>
        <w:rPr>
          <w:spacing w:val="7"/>
        </w:rPr>
        <w:t xml:space="preserve"> </w:t>
      </w:r>
      <w:r>
        <w:t>than</w:t>
      </w:r>
      <w:r>
        <w:rPr>
          <w:spacing w:val="7"/>
        </w:rPr>
        <w:t xml:space="preserve"> </w:t>
      </w:r>
      <w:r>
        <w:t>a</w:t>
      </w:r>
      <w:r>
        <w:rPr>
          <w:spacing w:val="7"/>
        </w:rPr>
        <w:t xml:space="preserve"> </w:t>
      </w:r>
      <w:r>
        <w:t>set</w:t>
      </w:r>
      <w:r>
        <w:rPr>
          <w:spacing w:val="7"/>
        </w:rPr>
        <w:t xml:space="preserve"> </w:t>
      </w:r>
      <w:r>
        <w:t>of</w:t>
      </w:r>
      <w:r>
        <w:rPr>
          <w:spacing w:val="7"/>
        </w:rPr>
        <w:t xml:space="preserve"> </w:t>
      </w:r>
      <w:r>
        <w:t>discrete</w:t>
      </w:r>
      <w:r>
        <w:rPr>
          <w:spacing w:val="7"/>
        </w:rPr>
        <w:t xml:space="preserve"> </w:t>
      </w:r>
      <w:r>
        <w:rPr>
          <w:spacing w:val="-2"/>
        </w:rPr>
        <w:t>tones</w:t>
      </w:r>
    </w:p>
    <w:p w14:paraId="32D13D21">
      <w:pPr>
        <w:pStyle w:val="7"/>
        <w:spacing w:before="5" w:line="280" w:lineRule="auto"/>
        <w:ind w:right="123"/>
        <w:jc w:val="both"/>
      </w:pPr>
      <w:r>
        <w:t>— in sharp contrast to the narrowband FDMA carriers seen in the GSM bands. This single plot is strong evidence for relating an empirical measurement directly to the multiple-access theory covered in the course.</w:t>
      </w:r>
    </w:p>
    <w:p w14:paraId="678F324C">
      <w:pPr>
        <w:pStyle w:val="7"/>
        <w:spacing w:before="5" w:line="280" w:lineRule="auto"/>
        <w:ind w:right="123"/>
        <w:jc w:val="both"/>
        <w:rPr>
          <w:rFonts w:hint="cs" w:cs="Times New Roman"/>
          <w:lang w:bidi="ar-SA"/>
        </w:rPr>
      </w:pPr>
      <w:r>
        <w:rPr>
          <w:rFonts w:hint="cs" w:cs="Times New Roman"/>
          <w:lang w:bidi="ar-SA"/>
        </w:rPr>
        <w:drawing>
          <wp:inline distT="0" distB="0" distL="114300" distR="114300">
            <wp:extent cx="4892040" cy="2230755"/>
            <wp:effectExtent l="0" t="0" r="0" b="9525"/>
            <wp:docPr id="14" name="Picture 14" descr="Screenshot 2026-06-18 18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18 184158"/>
                    <pic:cNvPicPr>
                      <a:picLocks noChangeAspect="1"/>
                    </pic:cNvPicPr>
                  </pic:nvPicPr>
                  <pic:blipFill>
                    <a:blip r:embed="rId10"/>
                    <a:stretch>
                      <a:fillRect/>
                    </a:stretch>
                  </pic:blipFill>
                  <pic:spPr>
                    <a:xfrm>
                      <a:off x="0" y="0"/>
                      <a:ext cx="4892040" cy="2230755"/>
                    </a:xfrm>
                    <a:prstGeom prst="rect">
                      <a:avLst/>
                    </a:prstGeom>
                  </pic:spPr>
                </pic:pic>
              </a:graphicData>
            </a:graphic>
          </wp:inline>
        </w:drawing>
      </w:r>
    </w:p>
    <w:p w14:paraId="07F17938">
      <w:pPr>
        <w:pStyle w:val="7"/>
        <w:spacing w:before="163" w:line="280" w:lineRule="auto"/>
        <w:ind w:right="124"/>
        <w:jc w:val="both"/>
      </w:pPr>
      <w:r/>
      <w:r>
        <w:t>2.4 GHz ISM Band (2400–2500 MHz). Mean relative power −20.9 dB. The spectrum shows three broad elevated blocks (~10–15 MHz wide, reaching −5 to −7 dB) centred near 2333, 2447, and 2470 MHz — consistent with active 20 MHz-wide Wi-Fi channels — together with several narrow, isolated spikes (0 to +3 dB) at points such as 2412, 2428, 2438, and 2459 MHz, consistent with short Bluetooth/BLE advertising bursts hopping across the band. Unlike the cellular bands, the ISM band is unlicensed and contention-based (CSMA/CA for Wi-Fi, FHSS for Bluetooth), so it shows a clear mix of wideband, continuous-looking activity (Wi-Fi) and narrowband, intermittent activity (Bluetooth) rather than the fixed channel raster seen in GSM/UMTS — itself a useful contrast to highlight.</w:t>
      </w:r>
    </w:p>
    <w:p w14:paraId="54D2FB28">
      <w:pPr>
        <w:pStyle w:val="7"/>
        <w:spacing w:before="163" w:line="280" w:lineRule="auto"/>
        <w:ind w:right="124"/>
        <w:jc w:val="both"/>
      </w:pPr>
      <w:r>
        <w:drawing>
          <wp:inline distT="0" distB="0" distL="114300" distR="114300">
            <wp:extent cx="5052060" cy="2227580"/>
            <wp:effectExtent l="0" t="0" r="7620" b="1270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1"/>
                    <a:stretch>
                      <a:fillRect/>
                    </a:stretch>
                  </pic:blipFill>
                  <pic:spPr>
                    <a:xfrm>
                      <a:off x="0" y="0"/>
                      <a:ext cx="5052060" cy="2227580"/>
                    </a:xfrm>
                    <a:prstGeom prst="rect">
                      <a:avLst/>
                    </a:prstGeom>
                    <a:noFill/>
                    <a:ln>
                      <a:noFill/>
                    </a:ln>
                  </pic:spPr>
                </pic:pic>
              </a:graphicData>
            </a:graphic>
          </wp:inline>
        </w:drawing>
      </w:r>
    </w:p>
    <w:p w14:paraId="174C3C7B">
      <w:pPr>
        <w:pStyle w:val="4"/>
        <w:numPr>
          <w:ilvl w:val="1"/>
          <w:numId w:val="1"/>
        </w:numPr>
        <w:tabs>
          <w:tab w:val="left" w:pos="360"/>
        </w:tabs>
        <w:spacing w:before="208" w:after="0" w:line="240" w:lineRule="auto"/>
        <w:ind w:left="360" w:right="0" w:hanging="360"/>
        <w:jc w:val="left"/>
      </w:pPr>
      <w:bookmarkStart w:id="6" w:name="2.3 Temporal Variability"/>
      <w:bookmarkEnd w:id="6"/>
      <w:r>
        <w:rPr>
          <w:spacing w:val="-2"/>
        </w:rPr>
        <w:t>Temporal</w:t>
      </w:r>
      <w:r>
        <w:rPr>
          <w:spacing w:val="-11"/>
        </w:rPr>
        <w:t xml:space="preserve"> </w:t>
      </w:r>
      <w:r>
        <w:rPr>
          <w:spacing w:val="-2"/>
        </w:rPr>
        <w:t>Variability</w:t>
      </w:r>
    </w:p>
    <w:p w14:paraId="10933699">
      <w:pPr>
        <w:pStyle w:val="7"/>
        <w:spacing w:before="128" w:line="280" w:lineRule="auto"/>
        <w:ind w:right="135"/>
        <w:jc w:val="both"/>
      </w:pPr>
      <w:r>
        <w:t>The live/waterfall mode (separately captured for the ISM band) shows frame-to-frame fluctuation in carrier power and intermittent appearance/disappearance of bursts, consistent with the packet-based, contention-driven nature of Wi-Fi/Bluetooth traffic, as opposed to the near-continuous carriers observed on the cellular downlinks.</w:t>
      </w:r>
    </w:p>
    <w:p w14:paraId="6795F3AF">
      <w:pPr>
        <w:pStyle w:val="7"/>
        <w:spacing w:before="164" w:line="280" w:lineRule="auto"/>
        <w:ind w:right="140"/>
        <w:jc w:val="both"/>
      </w:pPr>
      <w:r>
        <w:rPr>
          <w:b/>
        </w:rPr>
        <w:t xml:space="preserve">Discussion point for the live session: </w:t>
      </w:r>
      <w:r>
        <w:t xml:space="preserve">be ready to explain </w:t>
      </w:r>
      <w:r>
        <w:rPr>
          <w:i/>
        </w:rPr>
        <w:t xml:space="preserve">why </w:t>
      </w:r>
      <w:r>
        <w:t>GSM/UMTS carriers look “static” (continuously transmitted control channels / dedicated spectrum) while ISM activity is bursty (shared unlicensed spectrum, contention-based MAC).</w:t>
      </w:r>
    </w:p>
    <w:p w14:paraId="7AD7FDDF">
      <w:pPr>
        <w:pStyle w:val="7"/>
        <w:spacing w:before="49"/>
      </w:pPr>
    </w:p>
    <w:p w14:paraId="25A78F8D">
      <w:pPr>
        <w:pStyle w:val="3"/>
        <w:numPr>
          <w:ilvl w:val="0"/>
          <w:numId w:val="1"/>
        </w:numPr>
        <w:tabs>
          <w:tab w:val="left" w:pos="260"/>
        </w:tabs>
        <w:spacing w:before="0" w:after="0" w:line="240" w:lineRule="auto"/>
        <w:ind w:left="260" w:right="0" w:hanging="260"/>
        <w:jc w:val="left"/>
      </w:pPr>
      <w:bookmarkStart w:id="7" w:name="3. Component 2 – Controlled Interference"/>
      <w:bookmarkEnd w:id="7"/>
      <w:r>
        <w:t>Component</w:t>
      </w:r>
      <w:r>
        <w:rPr>
          <w:spacing w:val="-4"/>
        </w:rPr>
        <w:t xml:space="preserve"> </w:t>
      </w:r>
      <w:r>
        <w:t>2</w:t>
      </w:r>
      <w:r>
        <w:rPr>
          <w:spacing w:val="-4"/>
        </w:rPr>
        <w:t xml:space="preserve"> </w:t>
      </w:r>
      <w:r>
        <w:t>–</w:t>
      </w:r>
      <w:r>
        <w:rPr>
          <w:spacing w:val="-4"/>
        </w:rPr>
        <w:t xml:space="preserve"> </w:t>
      </w:r>
      <w:r>
        <w:t>Controlled</w:t>
      </w:r>
      <w:r>
        <w:rPr>
          <w:spacing w:val="-5"/>
        </w:rPr>
        <w:t xml:space="preserve"> </w:t>
      </w:r>
      <w:r>
        <w:t>Interference</w:t>
      </w:r>
      <w:r>
        <w:rPr>
          <w:spacing w:val="-3"/>
        </w:rPr>
        <w:t xml:space="preserve"> </w:t>
      </w:r>
      <w:r>
        <w:rPr>
          <w:spacing w:val="-2"/>
        </w:rPr>
        <w:t>Generation</w:t>
      </w:r>
    </w:p>
    <w:p w14:paraId="3367846E">
      <w:pPr>
        <w:pStyle w:val="7"/>
        <w:spacing w:before="2"/>
        <w:rPr>
          <w:b/>
          <w:sz w:val="4"/>
        </w:rPr>
      </w:pPr>
      <w:r>
        <w:rPr>
          <w:b/>
          <w:sz w:val="4"/>
        </w:rPr>
        <mc:AlternateContent>
          <mc:Choice Requires="wps">
            <w:drawing>
              <wp:anchor distT="0" distB="0" distL="0" distR="0" simplePos="0" relativeHeight="251661312" behindDoc="1" locked="0" layoutInCell="1" allowOverlap="1">
                <wp:simplePos x="0" y="0"/>
                <wp:positionH relativeFrom="page">
                  <wp:posOffset>990600</wp:posOffset>
                </wp:positionH>
                <wp:positionV relativeFrom="paragraph">
                  <wp:posOffset>45720</wp:posOffset>
                </wp:positionV>
                <wp:extent cx="5579110" cy="9525"/>
                <wp:effectExtent l="0" t="0" r="0" b="0"/>
                <wp:wrapTopAndBottom/>
                <wp:docPr id="5" name="Graphic 5"/>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878787"/>
                        </a:solidFill>
                      </wps:spPr>
                      <wps:bodyPr wrap="square" lIns="0" tIns="0" rIns="0" bIns="0" rtlCol="0">
                        <a:noAutofit/>
                      </wps:bodyPr>
                    </wps:wsp>
                  </a:graphicData>
                </a:graphic>
              </wp:anchor>
            </w:drawing>
          </mc:Choice>
          <mc:Fallback>
            <w:pict>
              <v:shape id="Graphic 5" o:spid="_x0000_s1026" o:spt="100" style="position:absolute;left:0pt;margin-left:78pt;margin-top:3.6pt;height:0.75pt;width:439.3pt;mso-position-horizontal-relative:page;mso-wrap-distance-bottom:0pt;mso-wrap-distance-top:0pt;z-index:-251655168;mso-width-relative:page;mso-height-relative:page;" fillcolor="#878787" filled="t" stroked="f" coordsize="5579110,9525" o:gfxdata="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WyNYAAAAI&#10;AQAADwAAAAAAAAABACAAAAAiAAAAZHJzL2Rvd25yZXYueG1sUEsBAhQAFAAAAAgAh07iQLQxXj4e&#10;AgAA3wQAAA4AAAAAAAAAAQAgAAAAJQEAAGRycy9lMm9Eb2MueG1sUEsFBgAAAAAGAAYAWQEAALUF&#10;AAAAAA==&#10;" path="m5578800,9525l0,9525,0,0,5578800,0,5578800,9525xe">
                <v:fill on="t" focussize="0,0"/>
                <v:stroke on="f"/>
                <v:imagedata o:title=""/>
                <o:lock v:ext="edit" aspectratio="f"/>
                <v:textbox inset="0mm,0mm,0mm,0mm"/>
                <w10:wrap type="topAndBottom"/>
              </v:shape>
            </w:pict>
          </mc:Fallback>
        </mc:AlternateContent>
      </w:r>
    </w:p>
    <w:p w14:paraId="3300170A">
      <w:pPr>
        <w:pStyle w:val="4"/>
        <w:numPr>
          <w:ilvl w:val="1"/>
          <w:numId w:val="1"/>
        </w:numPr>
        <w:tabs>
          <w:tab w:val="left" w:pos="360"/>
        </w:tabs>
        <w:spacing w:before="219" w:after="0" w:line="240" w:lineRule="auto"/>
        <w:ind w:left="360" w:right="0" w:hanging="360"/>
        <w:jc w:val="both"/>
      </w:pPr>
      <w:bookmarkStart w:id="8" w:name="3.1 Method (brief)"/>
      <w:bookmarkEnd w:id="8"/>
      <w:r>
        <w:t>Method</w:t>
      </w:r>
      <w:r>
        <w:rPr>
          <w:spacing w:val="-2"/>
        </w:rPr>
        <w:t xml:space="preserve"> (brief)</w:t>
      </w:r>
    </w:p>
    <w:p w14:paraId="35D7236A">
      <w:pPr>
        <w:pStyle w:val="7"/>
        <w:spacing w:before="128" w:line="280" w:lineRule="auto"/>
        <w:ind w:right="92"/>
        <w:jc w:val="both"/>
      </w:pPr>
      <w:r>
        <w:t xml:space="preserve">PLUTO #2 transmits a band-limited Gaussian-noise (or CW tone) interference signal centered on the </w:t>
      </w:r>
      <w:r>
        <w:rPr>
          <w:b/>
        </w:rPr>
        <w:t xml:space="preserve">router’s actual operating Wi-Fi channel </w:t>
      </w:r>
      <w:r>
        <w:t>(determined from the router’s admin page rather than assumed), at maximum PlutoSDR TX output power (0 dB attenuation). A target device (smartphone) associated with that AP is continuously pinged (2 s interval) before and during each 30-second interference exposure; packet loss and average RTT are logged and compared against a no-interference baseline.</w:t>
      </w:r>
    </w:p>
    <w:p w14:paraId="7D6B3432">
      <w:pPr>
        <w:spacing w:before="166" w:line="280" w:lineRule="auto"/>
        <w:ind w:left="0" w:right="139" w:firstLine="0"/>
        <w:jc w:val="both"/>
        <w:rPr>
          <w:sz w:val="24"/>
        </w:rPr>
      </w:pPr>
      <w:r>
        <w:rPr>
          <w:b/>
          <w:sz w:val="24"/>
        </w:rPr>
        <w:t xml:space="preserve">Critical methodological note (worth including — it demonstrates understanding): </w:t>
      </w:r>
      <w:r>
        <w:rPr>
          <w:sz w:val="24"/>
        </w:rPr>
        <w:t>an early attempt at this experiment, transmitting at the default channel-6 frequency (2437 MHz)</w:t>
      </w:r>
      <w:r>
        <w:rPr>
          <w:spacing w:val="45"/>
          <w:sz w:val="24"/>
        </w:rPr>
        <w:t xml:space="preserve"> </w:t>
      </w:r>
      <w:r>
        <w:rPr>
          <w:sz w:val="24"/>
        </w:rPr>
        <w:t>while</w:t>
      </w:r>
      <w:r>
        <w:rPr>
          <w:spacing w:val="45"/>
          <w:sz w:val="24"/>
        </w:rPr>
        <w:t xml:space="preserve"> </w:t>
      </w:r>
      <w:r>
        <w:rPr>
          <w:sz w:val="24"/>
        </w:rPr>
        <w:t>the</w:t>
      </w:r>
      <w:r>
        <w:rPr>
          <w:spacing w:val="45"/>
          <w:sz w:val="24"/>
        </w:rPr>
        <w:t xml:space="preserve"> </w:t>
      </w:r>
      <w:r>
        <w:rPr>
          <w:sz w:val="24"/>
        </w:rPr>
        <w:t>router</w:t>
      </w:r>
      <w:r>
        <w:rPr>
          <w:spacing w:val="46"/>
          <w:sz w:val="24"/>
        </w:rPr>
        <w:t xml:space="preserve"> </w:t>
      </w:r>
      <w:r>
        <w:rPr>
          <w:sz w:val="24"/>
        </w:rPr>
        <w:t>actually</w:t>
      </w:r>
      <w:r>
        <w:rPr>
          <w:spacing w:val="45"/>
          <w:sz w:val="24"/>
        </w:rPr>
        <w:t xml:space="preserve"> </w:t>
      </w:r>
      <w:r>
        <w:rPr>
          <w:sz w:val="24"/>
        </w:rPr>
        <w:t>operated</w:t>
      </w:r>
      <w:r>
        <w:rPr>
          <w:spacing w:val="45"/>
          <w:sz w:val="24"/>
        </w:rPr>
        <w:t xml:space="preserve"> </w:t>
      </w:r>
      <w:r>
        <w:rPr>
          <w:sz w:val="24"/>
        </w:rPr>
        <w:t>on</w:t>
      </w:r>
      <w:r>
        <w:rPr>
          <w:spacing w:val="45"/>
          <w:sz w:val="24"/>
        </w:rPr>
        <w:t xml:space="preserve"> </w:t>
      </w:r>
      <w:r>
        <w:rPr>
          <w:b/>
          <w:sz w:val="24"/>
        </w:rPr>
        <w:t>channel</w:t>
      </w:r>
      <w:r>
        <w:rPr>
          <w:b/>
          <w:spacing w:val="45"/>
          <w:sz w:val="24"/>
        </w:rPr>
        <w:t xml:space="preserve"> </w:t>
      </w:r>
      <w:r>
        <w:rPr>
          <w:b/>
          <w:sz w:val="24"/>
        </w:rPr>
        <w:t>1</w:t>
      </w:r>
      <w:r>
        <w:rPr>
          <w:b/>
          <w:spacing w:val="45"/>
          <w:sz w:val="24"/>
        </w:rPr>
        <w:t xml:space="preserve"> </w:t>
      </w:r>
      <w:r>
        <w:rPr>
          <w:sz w:val="24"/>
        </w:rPr>
        <w:t>(2412</w:t>
      </w:r>
      <w:r>
        <w:rPr>
          <w:spacing w:val="46"/>
          <w:sz w:val="24"/>
        </w:rPr>
        <w:t xml:space="preserve"> </w:t>
      </w:r>
      <w:r>
        <w:rPr>
          <w:sz w:val="24"/>
        </w:rPr>
        <w:t>MHz,</w:t>
      </w:r>
      <w:r>
        <w:rPr>
          <w:spacing w:val="45"/>
          <w:sz w:val="24"/>
        </w:rPr>
        <w:t xml:space="preserve"> </w:t>
      </w:r>
      <w:r>
        <w:rPr>
          <w:sz w:val="24"/>
        </w:rPr>
        <w:t>confirmed</w:t>
      </w:r>
      <w:r>
        <w:rPr>
          <w:spacing w:val="45"/>
          <w:sz w:val="24"/>
        </w:rPr>
        <w:t xml:space="preserve"> </w:t>
      </w:r>
      <w:r>
        <w:rPr>
          <w:sz w:val="24"/>
        </w:rPr>
        <w:t>via</w:t>
      </w:r>
      <w:r>
        <w:rPr>
          <w:spacing w:val="46"/>
          <w:sz w:val="24"/>
        </w:rPr>
        <w:t xml:space="preserve"> </w:t>
      </w:r>
      <w:r>
        <w:rPr>
          <w:spacing w:val="-5"/>
          <w:sz w:val="24"/>
        </w:rPr>
        <w:t>the</w:t>
      </w:r>
    </w:p>
    <w:p w14:paraId="62C3F788">
      <w:pPr>
        <w:spacing w:after="0" w:line="280" w:lineRule="auto"/>
        <w:jc w:val="both"/>
        <w:rPr>
          <w:sz w:val="24"/>
        </w:rPr>
        <w:sectPr>
          <w:footerReference r:id="rId5" w:type="default"/>
          <w:pgSz w:w="11910" w:h="16840"/>
          <w:pgMar w:top="1380" w:right="1417" w:bottom="820" w:left="1559" w:header="0" w:footer="631" w:gutter="0"/>
          <w:cols w:space="720" w:num="1"/>
        </w:sectPr>
      </w:pPr>
    </w:p>
    <w:p w14:paraId="0545BF04">
      <w:pPr>
        <w:spacing w:before="61" w:line="280" w:lineRule="auto"/>
        <w:ind w:left="0" w:right="139" w:firstLine="0"/>
        <w:jc w:val="both"/>
        <w:rPr>
          <w:sz w:val="24"/>
        </w:rPr>
      </w:pPr>
      <w:r>
        <w:rPr>
          <w:sz w:val="24"/>
        </w:rPr>
        <w:t xml:space="preserve">router’s status page), produced </w:t>
      </w:r>
      <w:r>
        <w:rPr>
          <w:i/>
          <w:sz w:val="24"/>
        </w:rPr>
        <w:t>no measurable degradation despite verified maximum TX power</w:t>
      </w:r>
      <w:r>
        <w:rPr>
          <w:i/>
          <w:spacing w:val="-3"/>
          <w:sz w:val="24"/>
        </w:rPr>
        <w:t xml:space="preserve"> </w:t>
      </w:r>
      <w:r>
        <w:rPr>
          <w:sz w:val="24"/>
        </w:rPr>
        <w:t>—</w:t>
      </w:r>
      <w:r>
        <w:rPr>
          <w:spacing w:val="-3"/>
          <w:sz w:val="24"/>
        </w:rPr>
        <w:t xml:space="preserve"> </w:t>
      </w:r>
      <w:r>
        <w:rPr>
          <w:sz w:val="24"/>
        </w:rPr>
        <w:t>confirmed</w:t>
      </w:r>
      <w:r>
        <w:rPr>
          <w:spacing w:val="-3"/>
          <w:sz w:val="24"/>
        </w:rPr>
        <w:t xml:space="preserve"> </w:t>
      </w:r>
      <w:r>
        <w:rPr>
          <w:sz w:val="24"/>
        </w:rPr>
        <w:t>independently</w:t>
      </w:r>
      <w:r>
        <w:rPr>
          <w:spacing w:val="-3"/>
          <w:sz w:val="24"/>
        </w:rPr>
        <w:t xml:space="preserve"> </w:t>
      </w:r>
      <w:r>
        <w:rPr>
          <w:sz w:val="24"/>
        </w:rPr>
        <w:t>via</w:t>
      </w:r>
      <w:r>
        <w:rPr>
          <w:spacing w:val="-3"/>
          <w:sz w:val="24"/>
        </w:rPr>
        <w:t xml:space="preserve"> </w:t>
      </w:r>
      <w:r>
        <w:rPr>
          <w:sz w:val="24"/>
        </w:rPr>
        <w:t>the</w:t>
      </w:r>
      <w:r>
        <w:rPr>
          <w:spacing w:val="-3"/>
          <w:sz w:val="24"/>
        </w:rPr>
        <w:t xml:space="preserve"> </w:t>
      </w:r>
      <w:r>
        <w:rPr>
          <w:sz w:val="24"/>
        </w:rPr>
        <w:t>concurrent</w:t>
      </w:r>
      <w:r>
        <w:rPr>
          <w:spacing w:val="-3"/>
          <w:sz w:val="24"/>
        </w:rPr>
        <w:t xml:space="preserve"> </w:t>
      </w:r>
      <w:r>
        <w:rPr>
          <w:sz w:val="24"/>
        </w:rPr>
        <w:t>spectrum</w:t>
      </w:r>
      <w:r>
        <w:rPr>
          <w:spacing w:val="-3"/>
          <w:sz w:val="24"/>
        </w:rPr>
        <w:t xml:space="preserve"> </w:t>
      </w:r>
      <w:r>
        <w:rPr>
          <w:sz w:val="24"/>
        </w:rPr>
        <w:t>view,</w:t>
      </w:r>
      <w:r>
        <w:rPr>
          <w:spacing w:val="-3"/>
          <w:sz w:val="24"/>
        </w:rPr>
        <w:t xml:space="preserve"> </w:t>
      </w:r>
      <w:r>
        <w:rPr>
          <w:sz w:val="24"/>
        </w:rPr>
        <w:t>which</w:t>
      </w:r>
      <w:r>
        <w:rPr>
          <w:spacing w:val="-3"/>
          <w:sz w:val="24"/>
        </w:rPr>
        <w:t xml:space="preserve"> </w:t>
      </w:r>
      <w:r>
        <w:rPr>
          <w:sz w:val="24"/>
        </w:rPr>
        <w:t>showed</w:t>
      </w:r>
      <w:r>
        <w:rPr>
          <w:spacing w:val="-3"/>
          <w:sz w:val="24"/>
        </w:rPr>
        <w:t xml:space="preserve"> </w:t>
      </w:r>
      <w:r>
        <w:rPr>
          <w:sz w:val="24"/>
        </w:rPr>
        <w:t xml:space="preserve">strong broadband interference energy that simply did not overlap the active link’s frequency. Correcting the center frequency to match the router’s real channel immediately produced large, repeatable degradation. This is itself a meaningful result: </w:t>
      </w:r>
      <w:r>
        <w:rPr>
          <w:b/>
          <w:sz w:val="24"/>
        </w:rPr>
        <w:t xml:space="preserve">even high-power interference has zero effect outside the victim channel’s occupied bandwidth </w:t>
      </w:r>
      <w:r>
        <w:rPr>
          <w:sz w:val="24"/>
        </w:rPr>
        <w:t>— direct empirical confirmation of frequency-selective interference and the importance of in-band overlap for jamming/co-channel interference analysis.</w:t>
      </w:r>
    </w:p>
    <w:p w14:paraId="105F68DF">
      <w:pPr>
        <w:pStyle w:val="4"/>
        <w:numPr>
          <w:ilvl w:val="1"/>
          <w:numId w:val="1"/>
        </w:numPr>
        <w:tabs>
          <w:tab w:val="left" w:pos="360"/>
        </w:tabs>
        <w:spacing w:before="209" w:after="0" w:line="240" w:lineRule="auto"/>
        <w:ind w:left="360" w:right="0" w:hanging="360"/>
        <w:jc w:val="left"/>
      </w:pPr>
      <w:bookmarkStart w:id="9" w:name="3.2 Results"/>
      <w:bookmarkEnd w:id="9"/>
      <w:r>
        <w:rPr>
          <w:spacing w:val="-2"/>
        </w:rPr>
        <w:t>Results</w:t>
      </w:r>
    </w:p>
    <w:p w14:paraId="53C7C5A4">
      <w:pPr>
        <w:pStyle w:val="7"/>
        <w:spacing w:before="5"/>
        <w:rPr>
          <w:b/>
          <w:i/>
          <w:sz w:val="16"/>
        </w:rPr>
      </w:pPr>
    </w:p>
    <w:tbl>
      <w:tblPr>
        <w:tblStyle w:val="6"/>
        <w:tblW w:w="0" w:type="auto"/>
        <w:tblInd w:w="16"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2151"/>
        <w:gridCol w:w="1294"/>
        <w:gridCol w:w="1037"/>
        <w:gridCol w:w="1625"/>
        <w:gridCol w:w="1037"/>
        <w:gridCol w:w="1625"/>
      </w:tblGrid>
      <w:tr w14:paraId="44159E5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54" w:hRule="atLeast"/>
        </w:trPr>
        <w:tc>
          <w:tcPr>
            <w:tcW w:w="2151" w:type="dxa"/>
            <w:shd w:val="clear" w:color="auto" w:fill="E8E8E8"/>
          </w:tcPr>
          <w:p w14:paraId="048D3524">
            <w:pPr>
              <w:pStyle w:val="10"/>
              <w:ind w:left="409"/>
              <w:jc w:val="left"/>
              <w:rPr>
                <w:b/>
                <w:sz w:val="22"/>
              </w:rPr>
            </w:pPr>
            <w:r>
              <w:rPr>
                <w:b/>
                <w:spacing w:val="-2"/>
                <w:sz w:val="22"/>
              </w:rPr>
              <w:t>Configuration</w:t>
            </w:r>
          </w:p>
        </w:tc>
        <w:tc>
          <w:tcPr>
            <w:tcW w:w="1294" w:type="dxa"/>
            <w:shd w:val="clear" w:color="auto" w:fill="E8E8E8"/>
          </w:tcPr>
          <w:p w14:paraId="009F4BD4">
            <w:pPr>
              <w:pStyle w:val="10"/>
              <w:ind w:left="15"/>
              <w:rPr>
                <w:b/>
                <w:sz w:val="22"/>
              </w:rPr>
            </w:pPr>
            <w:r>
              <w:rPr>
                <w:b/>
                <w:spacing w:val="-2"/>
                <w:sz w:val="22"/>
              </w:rPr>
              <w:t>Bandwidth</w:t>
            </w:r>
          </w:p>
        </w:tc>
        <w:tc>
          <w:tcPr>
            <w:tcW w:w="1037" w:type="dxa"/>
            <w:shd w:val="clear" w:color="auto" w:fill="E8E8E8"/>
          </w:tcPr>
          <w:p w14:paraId="15DC6980">
            <w:pPr>
              <w:pStyle w:val="10"/>
              <w:spacing w:before="97" w:line="280" w:lineRule="auto"/>
              <w:ind w:left="347" w:right="108" w:hanging="220"/>
              <w:jc w:val="left"/>
              <w:rPr>
                <w:b/>
                <w:sz w:val="22"/>
              </w:rPr>
            </w:pPr>
            <w:r>
              <w:rPr>
                <w:b/>
                <w:spacing w:val="-2"/>
                <w:sz w:val="22"/>
              </w:rPr>
              <w:t xml:space="preserve">Baseline </w:t>
            </w:r>
            <w:r>
              <w:rPr>
                <w:b/>
                <w:spacing w:val="-4"/>
                <w:sz w:val="22"/>
              </w:rPr>
              <w:t>loss</w:t>
            </w:r>
          </w:p>
        </w:tc>
        <w:tc>
          <w:tcPr>
            <w:tcW w:w="1625" w:type="dxa"/>
            <w:shd w:val="clear" w:color="auto" w:fill="E8E8E8"/>
          </w:tcPr>
          <w:p w14:paraId="49A665D6">
            <w:pPr>
              <w:pStyle w:val="10"/>
              <w:spacing w:before="97" w:line="280" w:lineRule="auto"/>
              <w:ind w:left="247" w:firstLine="6"/>
              <w:jc w:val="left"/>
              <w:rPr>
                <w:b/>
                <w:sz w:val="22"/>
              </w:rPr>
            </w:pPr>
            <w:r>
              <w:rPr>
                <w:b/>
                <w:sz w:val="22"/>
              </w:rPr>
              <w:t>Loss</w:t>
            </w:r>
            <w:r>
              <w:rPr>
                <w:b/>
                <w:spacing w:val="-14"/>
                <w:sz w:val="22"/>
              </w:rPr>
              <w:t xml:space="preserve"> </w:t>
            </w:r>
            <w:r>
              <w:rPr>
                <w:b/>
                <w:sz w:val="22"/>
              </w:rPr>
              <w:t xml:space="preserve">during </w:t>
            </w:r>
            <w:r>
              <w:rPr>
                <w:b/>
                <w:spacing w:val="-2"/>
                <w:sz w:val="22"/>
              </w:rPr>
              <w:t>interference</w:t>
            </w:r>
          </w:p>
        </w:tc>
        <w:tc>
          <w:tcPr>
            <w:tcW w:w="1037" w:type="dxa"/>
            <w:shd w:val="clear" w:color="auto" w:fill="E8E8E8"/>
          </w:tcPr>
          <w:p w14:paraId="489F4498">
            <w:pPr>
              <w:pStyle w:val="10"/>
              <w:spacing w:before="97" w:line="280" w:lineRule="auto"/>
              <w:ind w:left="297" w:right="107" w:hanging="169"/>
              <w:jc w:val="left"/>
              <w:rPr>
                <w:b/>
                <w:sz w:val="22"/>
              </w:rPr>
            </w:pPr>
            <w:r>
              <w:rPr>
                <w:b/>
                <w:spacing w:val="-2"/>
                <w:sz w:val="22"/>
              </w:rPr>
              <w:t xml:space="preserve">Baseline </w:t>
            </w:r>
            <w:r>
              <w:rPr>
                <w:b/>
                <w:spacing w:val="-4"/>
                <w:sz w:val="22"/>
              </w:rPr>
              <w:t>RTT</w:t>
            </w:r>
          </w:p>
        </w:tc>
        <w:tc>
          <w:tcPr>
            <w:tcW w:w="1625" w:type="dxa"/>
            <w:shd w:val="clear" w:color="auto" w:fill="E8E8E8"/>
          </w:tcPr>
          <w:p w14:paraId="1633DBB4">
            <w:pPr>
              <w:pStyle w:val="10"/>
              <w:spacing w:before="97" w:line="280" w:lineRule="auto"/>
              <w:ind w:left="247"/>
              <w:jc w:val="left"/>
              <w:rPr>
                <w:b/>
                <w:sz w:val="22"/>
              </w:rPr>
            </w:pPr>
            <w:r>
              <w:rPr>
                <w:b/>
                <w:spacing w:val="-2"/>
                <w:sz w:val="22"/>
              </w:rPr>
              <w:t>RTT</w:t>
            </w:r>
            <w:r>
              <w:rPr>
                <w:b/>
                <w:spacing w:val="-12"/>
                <w:sz w:val="22"/>
              </w:rPr>
              <w:t xml:space="preserve"> </w:t>
            </w:r>
            <w:r>
              <w:rPr>
                <w:b/>
                <w:spacing w:val="-2"/>
                <w:sz w:val="22"/>
              </w:rPr>
              <w:t>during interference</w:t>
            </w:r>
          </w:p>
        </w:tc>
      </w:tr>
      <w:tr w14:paraId="31F2BB7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53" w:hRule="atLeast"/>
        </w:trPr>
        <w:tc>
          <w:tcPr>
            <w:tcW w:w="2151" w:type="dxa"/>
          </w:tcPr>
          <w:p w14:paraId="51D7B782">
            <w:pPr>
              <w:pStyle w:val="10"/>
              <w:spacing w:before="97" w:line="280" w:lineRule="auto"/>
              <w:ind w:left="553" w:hanging="199"/>
              <w:jc w:val="left"/>
              <w:rPr>
                <w:sz w:val="22"/>
              </w:rPr>
            </w:pPr>
            <w:r>
              <w:rPr>
                <w:sz w:val="22"/>
              </w:rPr>
              <w:t>Full</w:t>
            </w:r>
            <w:r>
              <w:rPr>
                <w:spacing w:val="-14"/>
                <w:sz w:val="22"/>
              </w:rPr>
              <w:t xml:space="preserve"> </w:t>
            </w:r>
            <w:r>
              <w:rPr>
                <w:sz w:val="22"/>
              </w:rPr>
              <w:t>channel</w:t>
            </w:r>
            <w:r>
              <w:rPr>
                <w:spacing w:val="-14"/>
                <w:sz w:val="22"/>
              </w:rPr>
              <w:t xml:space="preserve"> </w:t>
            </w:r>
            <w:r>
              <w:rPr>
                <w:sz w:val="22"/>
              </w:rPr>
              <w:t>(20 MHz noise)</w:t>
            </w:r>
          </w:p>
        </w:tc>
        <w:tc>
          <w:tcPr>
            <w:tcW w:w="1294" w:type="dxa"/>
          </w:tcPr>
          <w:p w14:paraId="68C18905">
            <w:pPr>
              <w:pStyle w:val="10"/>
              <w:ind w:left="15"/>
              <w:rPr>
                <w:sz w:val="22"/>
              </w:rPr>
            </w:pPr>
            <w:r>
              <w:rPr>
                <w:sz w:val="22"/>
              </w:rPr>
              <w:t xml:space="preserve">20 </w:t>
            </w:r>
            <w:r>
              <w:rPr>
                <w:spacing w:val="-5"/>
                <w:sz w:val="22"/>
              </w:rPr>
              <w:t>MHz</w:t>
            </w:r>
          </w:p>
        </w:tc>
        <w:tc>
          <w:tcPr>
            <w:tcW w:w="1037" w:type="dxa"/>
          </w:tcPr>
          <w:p w14:paraId="6BA0896F">
            <w:pPr>
              <w:pStyle w:val="10"/>
              <w:ind w:right="1"/>
              <w:rPr>
                <w:sz w:val="22"/>
              </w:rPr>
            </w:pPr>
            <w:r>
              <w:rPr>
                <w:spacing w:val="-5"/>
                <w:sz w:val="22"/>
              </w:rPr>
              <w:t>0%</w:t>
            </w:r>
          </w:p>
        </w:tc>
        <w:tc>
          <w:tcPr>
            <w:tcW w:w="1625" w:type="dxa"/>
          </w:tcPr>
          <w:p>
            <w:r>
              <w:t>74.75%</w:t>
            </w:r>
          </w:p>
        </w:tc>
        <w:tc>
          <w:tcPr>
            <w:tcW w:w="1037" w:type="dxa"/>
          </w:tcPr>
          <w:p>
            <w:r>
              <w:t>115.0 ms</w:t>
            </w:r>
          </w:p>
        </w:tc>
        <w:tc>
          <w:tcPr>
            <w:tcW w:w="1625" w:type="dxa"/>
          </w:tcPr>
          <w:p>
            <w:r>
              <w:t>179.5 ms</w:t>
            </w:r>
          </w:p>
        </w:tc>
      </w:tr>
      <w:tr w14:paraId="284A9EE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54" w:hRule="atLeast"/>
        </w:trPr>
        <w:tc>
          <w:tcPr>
            <w:tcW w:w="2151" w:type="dxa"/>
          </w:tcPr>
          <w:p w14:paraId="0FC07359">
            <w:pPr>
              <w:pStyle w:val="10"/>
              <w:spacing w:before="97" w:line="280" w:lineRule="auto"/>
              <w:ind w:left="553" w:hanging="217"/>
              <w:jc w:val="left"/>
              <w:rPr>
                <w:sz w:val="22"/>
              </w:rPr>
            </w:pPr>
            <w:r>
              <w:rPr>
                <w:sz w:val="22"/>
              </w:rPr>
              <w:t>Half</w:t>
            </w:r>
            <w:r>
              <w:rPr>
                <w:spacing w:val="-14"/>
                <w:sz w:val="22"/>
              </w:rPr>
              <w:t xml:space="preserve"> </w:t>
            </w:r>
            <w:r>
              <w:rPr>
                <w:sz w:val="22"/>
              </w:rPr>
              <w:t>channel</w:t>
            </w:r>
            <w:r>
              <w:rPr>
                <w:spacing w:val="-14"/>
                <w:sz w:val="22"/>
              </w:rPr>
              <w:t xml:space="preserve"> </w:t>
            </w:r>
            <w:r>
              <w:rPr>
                <w:sz w:val="22"/>
              </w:rPr>
              <w:t>(10 MHz noise)</w:t>
            </w:r>
          </w:p>
        </w:tc>
        <w:tc>
          <w:tcPr>
            <w:tcW w:w="1294" w:type="dxa"/>
          </w:tcPr>
          <w:p w14:paraId="5E3F0C2B">
            <w:pPr>
              <w:pStyle w:val="10"/>
              <w:ind w:left="15"/>
              <w:rPr>
                <w:sz w:val="22"/>
              </w:rPr>
            </w:pPr>
            <w:r>
              <w:rPr>
                <w:sz w:val="22"/>
              </w:rPr>
              <w:t xml:space="preserve">10 </w:t>
            </w:r>
            <w:r>
              <w:rPr>
                <w:spacing w:val="-5"/>
                <w:sz w:val="22"/>
              </w:rPr>
              <w:t>MHz</w:t>
            </w:r>
          </w:p>
        </w:tc>
        <w:tc>
          <w:tcPr>
            <w:tcW w:w="1037" w:type="dxa"/>
          </w:tcPr>
          <w:p w14:paraId="35E209CB">
            <w:pPr>
              <w:pStyle w:val="10"/>
              <w:ind w:right="1"/>
              <w:rPr>
                <w:sz w:val="22"/>
              </w:rPr>
            </w:pPr>
            <w:r>
              <w:rPr>
                <w:spacing w:val="-5"/>
                <w:sz w:val="22"/>
              </w:rPr>
              <w:t>0%</w:t>
            </w:r>
          </w:p>
        </w:tc>
        <w:tc>
          <w:tcPr>
            <w:tcW w:w="1625" w:type="dxa"/>
          </w:tcPr>
          <w:p>
            <w:r>
              <w:t>83.25%</w:t>
            </w:r>
          </w:p>
        </w:tc>
        <w:tc>
          <w:tcPr>
            <w:tcW w:w="1037" w:type="dxa"/>
          </w:tcPr>
          <w:p>
            <w:r>
              <w:t>82.0 ms</w:t>
            </w:r>
          </w:p>
        </w:tc>
        <w:tc>
          <w:tcPr>
            <w:tcW w:w="1625" w:type="dxa"/>
          </w:tcPr>
          <w:p>
            <w:r>
              <w:t>155.0 ms</w:t>
            </w:r>
          </w:p>
        </w:tc>
      </w:tr>
      <w:tr w14:paraId="10C4BDB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54" w:hRule="atLeast"/>
        </w:trPr>
        <w:tc>
          <w:tcPr>
            <w:tcW w:w="2151" w:type="dxa"/>
          </w:tcPr>
          <w:p w14:paraId="648ACC9F">
            <w:pPr>
              <w:pStyle w:val="10"/>
              <w:spacing w:before="97" w:line="280" w:lineRule="auto"/>
              <w:ind w:left="806" w:hanging="600"/>
              <w:jc w:val="left"/>
              <w:rPr>
                <w:sz w:val="22"/>
              </w:rPr>
            </w:pPr>
            <w:r>
              <w:rPr>
                <w:sz w:val="22"/>
              </w:rPr>
              <w:t>CW</w:t>
            </w:r>
            <w:r>
              <w:rPr>
                <w:spacing w:val="-14"/>
                <w:sz w:val="22"/>
              </w:rPr>
              <w:t xml:space="preserve"> </w:t>
            </w:r>
            <w:r>
              <w:rPr>
                <w:sz w:val="22"/>
              </w:rPr>
              <w:t>tone</w:t>
            </w:r>
            <w:r>
              <w:rPr>
                <w:spacing w:val="-14"/>
                <w:sz w:val="22"/>
              </w:rPr>
              <w:t xml:space="preserve"> </w:t>
            </w:r>
            <w:r>
              <w:rPr>
                <w:sz w:val="22"/>
              </w:rPr>
              <w:t>at</w:t>
            </w:r>
            <w:r>
              <w:rPr>
                <w:spacing w:val="-13"/>
                <w:sz w:val="22"/>
              </w:rPr>
              <w:t xml:space="preserve"> </w:t>
            </w:r>
            <w:r>
              <w:rPr>
                <w:sz w:val="22"/>
              </w:rPr>
              <w:t xml:space="preserve">channel </w:t>
            </w:r>
            <w:r>
              <w:rPr>
                <w:spacing w:val="-2"/>
                <w:sz w:val="22"/>
              </w:rPr>
              <w:t>centre</w:t>
            </w:r>
          </w:p>
        </w:tc>
        <w:tc>
          <w:tcPr>
            <w:tcW w:w="1294" w:type="dxa"/>
          </w:tcPr>
          <w:p w14:paraId="354A5748">
            <w:pPr>
              <w:pStyle w:val="10"/>
              <w:ind w:left="15"/>
              <w:rPr>
                <w:sz w:val="22"/>
              </w:rPr>
            </w:pPr>
            <w:r>
              <w:rPr>
                <w:sz w:val="22"/>
              </w:rPr>
              <w:t xml:space="preserve">~1 </w:t>
            </w:r>
            <w:r>
              <w:rPr>
                <w:spacing w:val="-5"/>
                <w:sz w:val="22"/>
              </w:rPr>
              <w:t>MHz</w:t>
            </w:r>
          </w:p>
        </w:tc>
        <w:tc>
          <w:tcPr>
            <w:tcW w:w="1037" w:type="dxa"/>
          </w:tcPr>
          <w:p w14:paraId="7BC345B7">
            <w:pPr>
              <w:pStyle w:val="10"/>
              <w:ind w:right="1"/>
              <w:rPr>
                <w:sz w:val="22"/>
              </w:rPr>
            </w:pPr>
            <w:r>
              <w:rPr>
                <w:spacing w:val="-5"/>
                <w:sz w:val="22"/>
              </w:rPr>
              <w:t>0%</w:t>
            </w:r>
          </w:p>
        </w:tc>
        <w:tc>
          <w:tcPr>
            <w:tcW w:w="1625" w:type="dxa"/>
          </w:tcPr>
          <w:p>
            <w:r>
              <w:t>83.25%</w:t>
            </w:r>
          </w:p>
        </w:tc>
        <w:tc>
          <w:tcPr>
            <w:tcW w:w="1037" w:type="dxa"/>
          </w:tcPr>
          <w:p>
            <w:r>
              <w:t>88.0 ms</w:t>
            </w:r>
          </w:p>
        </w:tc>
        <w:tc>
          <w:tcPr>
            <w:tcW w:w="1625" w:type="dxa"/>
          </w:tcPr>
          <w:p>
            <w:r>
              <w:t>160.0 ms</w:t>
            </w:r>
          </w:p>
        </w:tc>
      </w:tr>
    </w:tbl>
    <w:p w14:paraId="1A5A1669">
      <w:pPr>
        <w:tabs>
          <w:tab w:val="left" w:pos="726"/>
          <w:tab w:val="left" w:pos="1211"/>
          <w:tab w:val="left" w:pos="1803"/>
          <w:tab w:val="left" w:pos="2608"/>
          <w:tab w:val="left" w:pos="4925"/>
          <w:tab w:val="left" w:pos="5637"/>
          <w:tab w:val="left" w:pos="6762"/>
          <w:tab w:val="left" w:pos="7505"/>
          <w:tab w:val="left" w:pos="8244"/>
        </w:tabs>
        <w:spacing w:before="180"/>
        <w:ind w:left="0" w:right="0" w:firstLine="0"/>
        <w:jc w:val="left"/>
        <w:rPr>
          <w:i/>
          <w:sz w:val="24"/>
        </w:rPr>
      </w:pPr>
      <w:r/>
    </w:p>
    <w:p w14:paraId="410D2228">
      <w:pPr>
        <w:tabs>
          <w:tab w:val="left" w:pos="4274"/>
          <w:tab w:val="left" w:pos="4735"/>
          <w:tab w:val="left" w:pos="5383"/>
          <w:tab w:val="left" w:pos="6089"/>
          <w:tab w:val="left" w:pos="6991"/>
          <w:tab w:val="left" w:pos="8559"/>
        </w:tabs>
        <w:spacing w:before="48"/>
        <w:ind w:left="0" w:right="0" w:firstLine="0"/>
        <w:jc w:val="left"/>
        <w:rPr>
          <w:i/>
          <w:sz w:val="24"/>
        </w:rPr>
      </w:pPr>
      <w:r/>
    </w:p>
    <w:p w14:paraId="015A7114">
      <w:pPr>
        <w:spacing w:before="37"/>
        <w:ind w:left="0" w:right="0" w:firstLine="0"/>
        <w:jc w:val="left"/>
        <w:rPr>
          <w:i/>
          <w:sz w:val="24"/>
        </w:rPr>
      </w:pPr>
      <w:r/>
    </w:p>
    <w:p w14:paraId="6AE28BDB">
      <w:pPr>
        <w:pStyle w:val="4"/>
        <w:numPr>
          <w:ilvl w:val="1"/>
          <w:numId w:val="1"/>
        </w:numPr>
        <w:tabs>
          <w:tab w:val="left" w:pos="360"/>
        </w:tabs>
        <w:spacing w:before="236" w:after="0" w:line="240" w:lineRule="auto"/>
        <w:ind w:left="360" w:right="0" w:hanging="360"/>
        <w:jc w:val="left"/>
      </w:pPr>
      <w:bookmarkStart w:id="10" w:name="3.3 Discussion"/>
      <w:bookmarkEnd w:id="10"/>
      <w:r>
        <w:rPr>
          <w:spacing w:val="-2"/>
        </w:rPr>
        <w:t>Discussion</w:t>
      </w:r>
    </w:p>
    <w:p w14:paraId="5FCC694F">
      <w:pPr>
        <w:pStyle w:val="7"/>
        <w:spacing w:before="128"/>
      </w:pPr>
      <w:r>
        <w:t>Two</w:t>
      </w:r>
      <w:r>
        <w:rPr>
          <w:spacing w:val="-3"/>
        </w:rPr>
        <w:t xml:space="preserve"> </w:t>
      </w:r>
      <w:r>
        <w:t>results</w:t>
      </w:r>
      <w:r>
        <w:rPr>
          <w:spacing w:val="-4"/>
        </w:rPr>
        <w:t xml:space="preserve"> </w:t>
      </w:r>
      <w:r>
        <w:t>stand</w:t>
      </w:r>
      <w:r>
        <w:rPr>
          <w:spacing w:val="-3"/>
        </w:rPr>
        <w:t xml:space="preserve"> </w:t>
      </w:r>
      <w:r>
        <w:t>out</w:t>
      </w:r>
      <w:r>
        <w:rPr>
          <w:spacing w:val="-3"/>
        </w:rPr>
        <w:t xml:space="preserve"> </w:t>
      </w:r>
      <w:r>
        <w:t>and</w:t>
      </w:r>
      <w:r>
        <w:rPr>
          <w:spacing w:val="-2"/>
        </w:rPr>
        <w:t xml:space="preserve"> </w:t>
      </w:r>
      <w:r>
        <w:t>should</w:t>
      </w:r>
      <w:r>
        <w:rPr>
          <w:spacing w:val="-3"/>
        </w:rPr>
        <w:t xml:space="preserve"> </w:t>
      </w:r>
      <w:r>
        <w:t>anchor</w:t>
      </w:r>
      <w:r>
        <w:rPr>
          <w:spacing w:val="-3"/>
        </w:rPr>
        <w:t xml:space="preserve"> </w:t>
      </w:r>
      <w:r>
        <w:t>the</w:t>
      </w:r>
      <w:r>
        <w:rPr>
          <w:spacing w:val="-3"/>
        </w:rPr>
        <w:t xml:space="preserve"> </w:t>
      </w:r>
      <w:r>
        <w:t>discussion</w:t>
      </w:r>
      <w:r>
        <w:rPr>
          <w:spacing w:val="-2"/>
        </w:rPr>
        <w:t xml:space="preserve"> section:</w:t>
      </w:r>
    </w:p>
    <w:p w14:paraId="17481BE9">
      <w:pPr>
        <w:pStyle w:val="7"/>
        <w:spacing w:before="12"/>
      </w:pPr>
    </w:p>
    <w:p w14:paraId="7D6D5D88">
      <w:pPr>
        <w:pStyle w:val="9"/>
        <w:numPr>
          <w:ilvl w:val="2"/>
          <w:numId w:val="1"/>
        </w:numPr>
        <w:tabs>
          <w:tab w:val="left" w:pos="600"/>
        </w:tabs>
        <w:spacing w:before="0" w:after="0" w:line="280" w:lineRule="auto"/>
        <w:ind w:left="600" w:right="127" w:hanging="240"/>
        <w:jc w:val="both"/>
        <w:rPr>
          <w:sz w:val="24"/>
        </w:rPr>
      </w:pPr>
      <w:r>
        <w:rPr>
          <w:b/>
          <w:sz w:val="24"/>
        </w:rPr>
        <w:t xml:space="preserve">Interference is only effective when it overlaps the active channel. </w:t>
      </w:r>
      <w:r>
        <w:rPr>
          <w:sz w:val="24"/>
        </w:rPr>
        <w:t>As noted</w:t>
      </w:r>
      <w:r>
        <w:rPr>
          <w:spacing w:val="40"/>
          <w:sz w:val="24"/>
        </w:rPr>
        <w:t xml:space="preserve"> </w:t>
      </w:r>
      <w:r>
        <w:rPr>
          <w:sz w:val="24"/>
        </w:rPr>
        <w:t xml:space="preserve">above, identical TX power at the wrong center frequency produced 0% measurable effect; correcting the frequency alone (no power change) produced &gt;74% loss. This directly demonstrates the concept of </w:t>
      </w:r>
      <w:r>
        <w:rPr>
          <w:b/>
          <w:sz w:val="24"/>
        </w:rPr>
        <w:t xml:space="preserve">co-channel/in-band interference </w:t>
      </w:r>
      <w:r>
        <w:rPr>
          <w:sz w:val="24"/>
        </w:rPr>
        <w:t xml:space="preserve">versus adjacent/out-of-band interference, and explains why frequency planning (channel assignment) is a primary interference-avoidance mechanism in real Wi-Fi </w:t>
      </w:r>
      <w:r>
        <w:rPr>
          <w:spacing w:val="-2"/>
          <w:sz w:val="24"/>
        </w:rPr>
        <w:t>deployments.</w:t>
      </w:r>
    </w:p>
    <w:p w14:paraId="48C84918">
      <w:pPr>
        <w:pStyle w:val="9"/>
        <w:numPr>
          <w:ilvl w:val="2"/>
          <w:numId w:val="1"/>
        </w:numPr>
        <w:tabs>
          <w:tab w:val="left" w:pos="600"/>
        </w:tabs>
        <w:spacing w:before="168" w:after="0" w:line="280" w:lineRule="auto"/>
        <w:ind w:left="600" w:right="137" w:hanging="240"/>
        <w:jc w:val="both"/>
        <w:rPr>
          <w:sz w:val="24"/>
        </w:rPr>
      </w:pPr>
      <w:r>
        <w:rPr>
          <w:b/>
          <w:sz w:val="24"/>
        </w:rPr>
        <w:t xml:space="preserve">Narrower-bandwidth interference was at least as damaging as full-bandwidth interference at equal total transmit power. </w:t>
      </w:r>
      <w:r>
        <w:rPr>
          <w:sz w:val="24"/>
        </w:rPr>
        <w:t>The half-bandwidth noise and the ~1 MHz CW tone both produced</w:t>
      </w:r>
      <w:r>
        <w:rPr>
          <w:spacing w:val="-3"/>
          <w:sz w:val="24"/>
        </w:rPr>
        <w:t xml:space="preserve"> </w:t>
      </w:r>
      <w:r>
        <w:rPr>
          <w:i/>
          <w:sz w:val="24"/>
        </w:rPr>
        <w:t xml:space="preserve">higher </w:t>
      </w:r>
      <w:r>
        <w:rPr>
          <w:sz w:val="24"/>
        </w:rPr>
        <w:t xml:space="preserve">packet loss (83.2%) than the full 20 MHz noise signal (74.8%). This is explained by </w:t>
      </w:r>
      <w:r>
        <w:rPr>
          <w:b/>
          <w:sz w:val="24"/>
        </w:rPr>
        <w:t>power spectral density concentration</w:t>
      </w:r>
      <w:r>
        <w:rPr>
          <w:sz w:val="24"/>
        </w:rPr>
        <w:t>: for a fixed total transmit power, concentrating that power into a narrower bandwidth</w:t>
      </w:r>
      <w:r>
        <w:rPr>
          <w:spacing w:val="40"/>
          <w:sz w:val="24"/>
        </w:rPr>
        <w:t xml:space="preserve"> </w:t>
      </w:r>
      <w:r>
        <w:rPr>
          <w:sz w:val="24"/>
        </w:rPr>
        <w:t xml:space="preserve">raises the power </w:t>
      </w:r>
      <w:r>
        <w:rPr>
          <w:i/>
          <w:sz w:val="24"/>
        </w:rPr>
        <w:t xml:space="preserve">spectral density </w:t>
      </w:r>
      <w:r>
        <w:rPr>
          <w:sz w:val="24"/>
        </w:rPr>
        <w:t>(W/Hz) at the frequencies it does occupy. If that narrower band still covers a sensitive part of the victim signal (e.g. the preamble/ control</w:t>
      </w:r>
      <w:r>
        <w:rPr>
          <w:spacing w:val="80"/>
          <w:sz w:val="24"/>
        </w:rPr>
        <w:t xml:space="preserve"> </w:t>
      </w:r>
      <w:r>
        <w:rPr>
          <w:sz w:val="24"/>
        </w:rPr>
        <w:t>fields,</w:t>
      </w:r>
      <w:r>
        <w:rPr>
          <w:spacing w:val="80"/>
          <w:sz w:val="24"/>
        </w:rPr>
        <w:t xml:space="preserve"> </w:t>
      </w:r>
      <w:r>
        <w:rPr>
          <w:sz w:val="24"/>
        </w:rPr>
        <w:t>or</w:t>
      </w:r>
      <w:r>
        <w:rPr>
          <w:spacing w:val="80"/>
          <w:sz w:val="24"/>
        </w:rPr>
        <w:t xml:space="preserve"> </w:t>
      </w:r>
      <w:r>
        <w:rPr>
          <w:sz w:val="24"/>
        </w:rPr>
        <w:t>the</w:t>
      </w:r>
      <w:r>
        <w:rPr>
          <w:spacing w:val="80"/>
          <w:sz w:val="24"/>
        </w:rPr>
        <w:t xml:space="preserve"> </w:t>
      </w:r>
      <w:r>
        <w:rPr>
          <w:sz w:val="24"/>
        </w:rPr>
        <w:t>channel</w:t>
      </w:r>
      <w:r>
        <w:rPr>
          <w:spacing w:val="80"/>
          <w:sz w:val="24"/>
        </w:rPr>
        <w:t xml:space="preserve"> </w:t>
      </w:r>
      <w:r>
        <w:rPr>
          <w:sz w:val="24"/>
        </w:rPr>
        <w:t>center</w:t>
      </w:r>
      <w:r>
        <w:rPr>
          <w:spacing w:val="80"/>
          <w:sz w:val="24"/>
        </w:rPr>
        <w:t xml:space="preserve"> </w:t>
      </w:r>
      <w:r>
        <w:rPr>
          <w:sz w:val="24"/>
        </w:rPr>
        <w:t>where</w:t>
      </w:r>
      <w:r>
        <w:rPr>
          <w:spacing w:val="80"/>
          <w:sz w:val="24"/>
        </w:rPr>
        <w:t xml:space="preserve"> </w:t>
      </w:r>
      <w:r>
        <w:rPr>
          <w:sz w:val="24"/>
        </w:rPr>
        <w:t>most</w:t>
      </w:r>
      <w:r>
        <w:rPr>
          <w:spacing w:val="80"/>
          <w:sz w:val="24"/>
        </w:rPr>
        <w:t xml:space="preserve"> </w:t>
      </w:r>
      <w:r>
        <w:rPr>
          <w:sz w:val="24"/>
        </w:rPr>
        <w:t>energy</w:t>
      </w:r>
      <w:r>
        <w:rPr>
          <w:spacing w:val="80"/>
          <w:sz w:val="24"/>
        </w:rPr>
        <w:t xml:space="preserve"> </w:t>
      </w:r>
      <w:r>
        <w:rPr>
          <w:sz w:val="24"/>
        </w:rPr>
        <w:t>and</w:t>
      </w:r>
      <w:r>
        <w:rPr>
          <w:spacing w:val="80"/>
          <w:sz w:val="24"/>
        </w:rPr>
        <w:t xml:space="preserve"> </w:t>
      </w:r>
      <w:r>
        <w:rPr>
          <w:sz w:val="24"/>
        </w:rPr>
        <w:t>synchronization</w:t>
      </w:r>
    </w:p>
    <w:p w14:paraId="38F060A4">
      <w:pPr>
        <w:pStyle w:val="9"/>
        <w:spacing w:after="0" w:line="280" w:lineRule="auto"/>
        <w:jc w:val="both"/>
        <w:rPr>
          <w:sz w:val="24"/>
        </w:rPr>
        <w:sectPr>
          <w:pgSz w:w="11910" w:h="16840"/>
          <w:pgMar w:top="1380" w:right="1417" w:bottom="820" w:left="1559" w:header="0" w:footer="631" w:gutter="0"/>
          <w:cols w:space="720" w:num="1"/>
        </w:sectPr>
      </w:pPr>
    </w:p>
    <w:p w14:paraId="7F38DE44">
      <w:pPr>
        <w:pStyle w:val="7"/>
        <w:spacing w:before="61" w:line="280" w:lineRule="auto"/>
        <w:ind w:left="600" w:right="137"/>
        <w:jc w:val="both"/>
      </w:pPr>
      <w:r>
        <w:t xml:space="preserve">information is concentrated), the localized SNR degradation at the receiver can be more severe than a wider but power-diluted interferer. This mirrors the practical trade-off jammers/attackers face between </w:t>
      </w:r>
      <w:r>
        <w:rPr>
          <w:i/>
        </w:rPr>
        <w:t xml:space="preserve">coverage </w:t>
      </w:r>
      <w:r>
        <w:t xml:space="preserve">(wide bandwidth, lower spectral density) and </w:t>
      </w:r>
      <w:r>
        <w:rPr>
          <w:i/>
        </w:rPr>
        <w:t xml:space="preserve">potency </w:t>
      </w:r>
      <w:r>
        <w:t>(narrow bandwidth, higher spectral density, but requires accurate frequency targeting) — and explains why a well-aimed narrowband or single-tone jammer can be more effective per transmitted watt than wideband noise.</w:t>
      </w:r>
    </w:p>
    <w:p w14:paraId="25F6A7A1">
      <w:pPr>
        <w:pStyle w:val="7"/>
        <w:spacing w:before="52"/>
      </w:pPr>
    </w:p>
    <w:p w14:paraId="24A228ED">
      <w:pPr>
        <w:pStyle w:val="3"/>
        <w:numPr>
          <w:ilvl w:val="0"/>
          <w:numId w:val="1"/>
        </w:numPr>
        <w:tabs>
          <w:tab w:val="left" w:pos="260"/>
        </w:tabs>
        <w:spacing w:before="0" w:after="0" w:line="240" w:lineRule="auto"/>
        <w:ind w:left="260" w:right="0" w:hanging="260"/>
        <w:jc w:val="left"/>
      </w:pPr>
      <w:bookmarkStart w:id="11" w:name="4. Concurrent Operation"/>
      <w:bookmarkEnd w:id="11"/>
      <w:r>
        <w:t>Concurrent</w:t>
      </w:r>
      <w:r>
        <w:rPr>
          <w:spacing w:val="-9"/>
        </w:rPr>
        <w:t xml:space="preserve"> </w:t>
      </w:r>
      <w:r>
        <w:rPr>
          <w:spacing w:val="-2"/>
        </w:rPr>
        <w:t>Operation</w:t>
      </w:r>
    </w:p>
    <w:p w14:paraId="36DECADC">
      <w:pPr>
        <w:pStyle w:val="7"/>
        <w:rPr>
          <w:b/>
          <w:sz w:val="4"/>
        </w:rPr>
      </w:pPr>
      <w:r>
        <w:rPr>
          <w:b/>
          <w:sz w:val="4"/>
        </w:rPr>
        <mc:AlternateContent>
          <mc:Choice Requires="wps">
            <w:drawing>
              <wp:anchor distT="0" distB="0" distL="0" distR="0" simplePos="0" relativeHeight="251662336" behindDoc="1" locked="0" layoutInCell="1" allowOverlap="1">
                <wp:simplePos x="0" y="0"/>
                <wp:positionH relativeFrom="page">
                  <wp:posOffset>990600</wp:posOffset>
                </wp:positionH>
                <wp:positionV relativeFrom="paragraph">
                  <wp:posOffset>45085</wp:posOffset>
                </wp:positionV>
                <wp:extent cx="5579110" cy="9525"/>
                <wp:effectExtent l="0" t="0" r="0" b="0"/>
                <wp:wrapTopAndBottom/>
                <wp:docPr id="6" name="Graphic 6"/>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878787"/>
                        </a:solidFill>
                      </wps:spPr>
                      <wps:bodyPr wrap="square" lIns="0" tIns="0" rIns="0" bIns="0" rtlCol="0">
                        <a:noAutofit/>
                      </wps:bodyPr>
                    </wps:wsp>
                  </a:graphicData>
                </a:graphic>
              </wp:anchor>
            </w:drawing>
          </mc:Choice>
          <mc:Fallback>
            <w:pict>
              <v:shape id="Graphic 6" o:spid="_x0000_s1026" o:spt="100" style="position:absolute;left:0pt;margin-left:78pt;margin-top:3.55pt;height:0.75pt;width:439.3pt;mso-position-horizontal-relative:page;mso-wrap-distance-bottom:0pt;mso-wrap-distance-top:0pt;z-index:-251654144;mso-width-relative:page;mso-height-relative:page;" fillcolor="#878787" filled="t" stroked="f" coordsize="5579110,9525" o:gfxdata="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xNR71gAAAAgB&#10;AAAPAAAAAAAAAAEAIAAAACIAAABkcnMvZG93bnJldi54bWxQSwECFAAUAAAACACHTuJA3+EWjh0C&#10;AADfBAAADgAAAAAAAAABACAAAAAlAQAAZHJzL2Uyb0RvYy54bWxQSwUGAAAAAAYABgBZAQAAtAUA&#10;AAAA&#10;" path="m5578800,9525l0,9525,0,0,5578800,0,5578800,9525xe">
                <v:fill on="t" focussize="0,0"/>
                <v:stroke on="f"/>
                <v:imagedata o:title=""/>
                <o:lock v:ext="edit" aspectratio="f"/>
                <v:textbox inset="0mm,0mm,0mm,0mm"/>
                <w10:wrap type="topAndBottom"/>
              </v:shape>
            </w:pict>
          </mc:Fallback>
        </mc:AlternateContent>
      </w:r>
    </w:p>
    <w:p w14:paraId="58BE4F71">
      <w:pPr>
        <w:pStyle w:val="7"/>
        <w:spacing w:before="139" w:line="280" w:lineRule="auto"/>
        <w:ind w:right="136"/>
        <w:jc w:val="both"/>
      </w:pPr>
      <w:r/>
      <w:r>
        <w:t>Running both subsystems simultaneously (PLUTO #2 transmitting noise/CW interference on the router’s channel while PLUTO #1 performs live spectrum sensing on the same band) visually confirms both the spectral footprint and the timing of the interference. The live waterfall clearly shows the interference’s onset and offset: a sustained broadband elevation appears across the configured bandwidth for the duration of the TX burst, followed by an abrupt return to the noise floor once transmission ends — coinciding exactly with the ping degradation logged by Component 2. This closes the loop between the spectral-domain observation (Component 1) and the link-layer performance impact (Component 2), satisfying the assignment’s joint-operation requirement.</w:t>
      </w:r>
    </w:p>
    <w:p w14:paraId="1ECEA702">
      <w:pPr>
        <w:pStyle w:val="7"/>
        <w:spacing w:before="139" w:line="280" w:lineRule="auto"/>
        <w:ind w:right="136"/>
        <w:jc w:val="both"/>
        <w:rPr>
          <w:rFonts w:hint="cs" w:cs="Times New Roman"/>
          <w:lang w:bidi="ar-SA"/>
        </w:rPr>
      </w:pPr>
      <w:r>
        <w:rPr>
          <w:rFonts w:hint="cs" w:cs="Times New Roman"/>
          <w:lang w:bidi="ar-SA"/>
        </w:rPr>
        <w:drawing>
          <wp:inline distT="0" distB="0" distL="114300" distR="114300">
            <wp:extent cx="5666740" cy="2785745"/>
            <wp:effectExtent l="0" t="0" r="2540" b="3175"/>
            <wp:docPr id="15" name="Picture 15" descr="Screenshot 2026-06-18 18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18 184725"/>
                    <pic:cNvPicPr>
                      <a:picLocks noChangeAspect="1"/>
                    </pic:cNvPicPr>
                  </pic:nvPicPr>
                  <pic:blipFill>
                    <a:blip r:embed="rId12"/>
                    <a:stretch>
                      <a:fillRect/>
                    </a:stretch>
                  </pic:blipFill>
                  <pic:spPr>
                    <a:xfrm>
                      <a:off x="0" y="0"/>
                      <a:ext cx="5666740" cy="2785745"/>
                    </a:xfrm>
                    <a:prstGeom prst="rect">
                      <a:avLst/>
                    </a:prstGeom>
                  </pic:spPr>
                </pic:pic>
              </a:graphicData>
            </a:graphic>
          </wp:inline>
        </w:drawing>
      </w:r>
    </w:p>
    <w:p w14:paraId="5F409D60">
      <w:pPr>
        <w:pStyle w:val="7"/>
        <w:spacing w:before="54"/>
      </w:pPr>
    </w:p>
    <w:p w14:paraId="4FC0C57E">
      <w:pPr>
        <w:pStyle w:val="3"/>
        <w:numPr>
          <w:ilvl w:val="0"/>
          <w:numId w:val="1"/>
        </w:numPr>
        <w:tabs>
          <w:tab w:val="left" w:pos="260"/>
        </w:tabs>
        <w:spacing w:before="0" w:after="0" w:line="240" w:lineRule="auto"/>
        <w:ind w:left="260" w:right="0" w:hanging="260"/>
        <w:jc w:val="left"/>
      </w:pPr>
      <w:bookmarkStart w:id="12" w:name="5. Conclusion"/>
      <w:bookmarkEnd w:id="12"/>
      <w:r>
        <w:rPr>
          <w:spacing w:val="-2"/>
        </w:rPr>
        <w:t>Conclusion</w:t>
      </w:r>
    </w:p>
    <w:p w14:paraId="152DF7F5">
      <w:pPr>
        <w:pStyle w:val="7"/>
        <w:rPr>
          <w:b/>
          <w:sz w:val="4"/>
        </w:rPr>
      </w:pPr>
      <w:r>
        <w:rPr>
          <w:b/>
          <w:sz w:val="4"/>
        </w:rPr>
        <mc:AlternateContent>
          <mc:Choice Requires="wps">
            <w:drawing>
              <wp:anchor distT="0" distB="0" distL="0" distR="0" simplePos="0" relativeHeight="251662336" behindDoc="1" locked="0" layoutInCell="1" allowOverlap="1">
                <wp:simplePos x="0" y="0"/>
                <wp:positionH relativeFrom="page">
                  <wp:posOffset>990600</wp:posOffset>
                </wp:positionH>
                <wp:positionV relativeFrom="paragraph">
                  <wp:posOffset>45085</wp:posOffset>
                </wp:positionV>
                <wp:extent cx="5579110" cy="9525"/>
                <wp:effectExtent l="0" t="0" r="0" b="0"/>
                <wp:wrapTopAndBottom/>
                <wp:docPr id="7" name="Graphic 7"/>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878787"/>
                        </a:solidFill>
                      </wps:spPr>
                      <wps:bodyPr wrap="square" lIns="0" tIns="0" rIns="0" bIns="0" rtlCol="0">
                        <a:noAutofit/>
                      </wps:bodyPr>
                    </wps:wsp>
                  </a:graphicData>
                </a:graphic>
              </wp:anchor>
            </w:drawing>
          </mc:Choice>
          <mc:Fallback>
            <w:pict>
              <v:shape id="Graphic 7" o:spid="_x0000_s1026" o:spt="100" style="position:absolute;left:0pt;margin-left:78pt;margin-top:3.55pt;height:0.75pt;width:439.3pt;mso-position-horizontal-relative:page;mso-wrap-distance-bottom:0pt;mso-wrap-distance-top:0pt;z-index:-251654144;mso-width-relative:page;mso-height-relative:page;" fillcolor="#878787" filled="t" stroked="f" coordsize="5579110,9525" o:gfxdata="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xNR71gAAAAgB&#10;AAAPAAAAAAAAAAEAIAAAACIAAABkcnMvZG93bnJldi54bWxQSwECFAAUAAAACACHTuJAOawBVx0C&#10;AADfBAAADgAAAAAAAAABACAAAAAlAQAAZHJzL2Uyb0RvYy54bWxQSwUGAAAAAAYABgBZAQAAtAUA&#10;AAAA&#10;" path="m5578800,9525l0,9525,0,0,5578800,0,5578800,9525xe">
                <v:fill on="t" focussize="0,0"/>
                <v:stroke on="f"/>
                <v:imagedata o:title=""/>
                <o:lock v:ext="edit" aspectratio="f"/>
                <v:textbox inset="0mm,0mm,0mm,0mm"/>
                <w10:wrap type="topAndBottom"/>
              </v:shape>
            </w:pict>
          </mc:Fallback>
        </mc:AlternateContent>
      </w:r>
    </w:p>
    <w:p w14:paraId="163F0668">
      <w:pPr>
        <w:pStyle w:val="7"/>
        <w:spacing w:before="139" w:line="280" w:lineRule="auto"/>
        <w:ind w:right="110"/>
        <w:jc w:val="both"/>
      </w:pPr>
      <w:r>
        <w:t>The measurements across GSM 900, GSM 1800, UMTS 2100, and the 2.4 GHz ISM band show clearly distinguishable channelization signatures consistent with each technology’s multiple-access scheme (narrowband FDMA carriers for GSM, 5 MHz WCDMA “domes” for UMTS, bursty contention-based activity for ISM). The interference experiments demonstrate that (a) in-band overlap, not raw transmit power, is the dominant factor in causing receiver performance degradation, and (b) spectral power concentration can make narrowband</w:t>
      </w:r>
      <w:r>
        <w:rPr>
          <w:spacing w:val="21"/>
        </w:rPr>
        <w:t xml:space="preserve"> </w:t>
      </w:r>
      <w:r>
        <w:t>interference</w:t>
      </w:r>
      <w:r>
        <w:rPr>
          <w:spacing w:val="22"/>
        </w:rPr>
        <w:t xml:space="preserve"> </w:t>
      </w:r>
      <w:r>
        <w:t>more</w:t>
      </w:r>
      <w:r>
        <w:rPr>
          <w:spacing w:val="21"/>
        </w:rPr>
        <w:t xml:space="preserve"> </w:t>
      </w:r>
      <w:r>
        <w:t>disruptive</w:t>
      </w:r>
      <w:r>
        <w:rPr>
          <w:spacing w:val="22"/>
        </w:rPr>
        <w:t xml:space="preserve"> </w:t>
      </w:r>
      <w:r>
        <w:t>than</w:t>
      </w:r>
      <w:r>
        <w:rPr>
          <w:spacing w:val="22"/>
        </w:rPr>
        <w:t xml:space="preserve"> </w:t>
      </w:r>
      <w:r>
        <w:t>wideband</w:t>
      </w:r>
      <w:r>
        <w:rPr>
          <w:spacing w:val="21"/>
        </w:rPr>
        <w:t xml:space="preserve"> </w:t>
      </w:r>
      <w:r>
        <w:t>interference</w:t>
      </w:r>
      <w:r>
        <w:rPr>
          <w:spacing w:val="22"/>
        </w:rPr>
        <w:t xml:space="preserve"> </w:t>
      </w:r>
      <w:r>
        <w:t>at</w:t>
      </w:r>
      <w:r>
        <w:rPr>
          <w:spacing w:val="21"/>
        </w:rPr>
        <w:t xml:space="preserve"> </w:t>
      </w:r>
      <w:r>
        <w:t>equal</w:t>
      </w:r>
      <w:r>
        <w:rPr>
          <w:spacing w:val="22"/>
        </w:rPr>
        <w:t xml:space="preserve"> </w:t>
      </w:r>
      <w:r>
        <w:t>total</w:t>
      </w:r>
      <w:r>
        <w:rPr>
          <w:spacing w:val="22"/>
        </w:rPr>
        <w:t xml:space="preserve"> </w:t>
      </w:r>
      <w:r>
        <w:rPr>
          <w:spacing w:val="-2"/>
        </w:rPr>
        <w:t>power</w:t>
      </w:r>
    </w:p>
    <w:p w14:paraId="0C8276EA">
      <w:pPr>
        <w:pStyle w:val="9"/>
        <w:numPr>
          <w:ilvl w:val="0"/>
          <w:numId w:val="2"/>
        </w:numPr>
        <w:tabs>
          <w:tab w:val="left" w:pos="425"/>
        </w:tabs>
        <w:spacing w:before="7" w:after="0" w:line="280" w:lineRule="auto"/>
        <w:ind w:left="0" w:right="140" w:firstLine="0"/>
        <w:jc w:val="both"/>
        <w:rPr>
          <w:sz w:val="24"/>
        </w:rPr>
      </w:pPr>
      <w:r>
        <w:rPr>
          <w:sz w:val="24"/>
        </w:rPr>
        <w:t>both of which are directly explainable through, and reinforce, the wireless communication theory covered in this course.</w:t>
      </w:r>
    </w:p>
    <w:p w14:paraId="5290F495">
      <w:pPr>
        <w:pStyle w:val="7"/>
        <w:spacing w:before="10"/>
        <w:rPr>
          <w:sz w:val="13"/>
        </w:rPr>
      </w:pPr>
      <w:r>
        <w:rPr>
          <w:sz w:val="13"/>
        </w:rPr>
        <mc:AlternateContent>
          <mc:Choice Requires="wps">
            <w:drawing>
              <wp:anchor distT="0" distB="0" distL="0" distR="0" simplePos="0" relativeHeight="251663360" behindDoc="1" locked="0" layoutInCell="1" allowOverlap="1">
                <wp:simplePos x="0" y="0"/>
                <wp:positionH relativeFrom="page">
                  <wp:posOffset>990600</wp:posOffset>
                </wp:positionH>
                <wp:positionV relativeFrom="paragraph">
                  <wp:posOffset>116205</wp:posOffset>
                </wp:positionV>
                <wp:extent cx="5579110" cy="9525"/>
                <wp:effectExtent l="0" t="0" r="0" b="0"/>
                <wp:wrapTopAndBottom/>
                <wp:docPr id="8" name="Graphic 8"/>
                <wp:cNvGraphicFramePr/>
                <a:graphic xmlns:a="http://schemas.openxmlformats.org/drawingml/2006/main">
                  <a:graphicData uri="http://schemas.microsoft.com/office/word/2010/wordprocessingShape">
                    <wps:wsp>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AAAAAA"/>
                        </a:solidFill>
                      </wps:spPr>
                      <wps:bodyPr wrap="square" lIns="0" tIns="0" rIns="0" bIns="0" rtlCol="0">
                        <a:noAutofit/>
                      </wps:bodyPr>
                    </wps:wsp>
                  </a:graphicData>
                </a:graphic>
              </wp:anchor>
            </w:drawing>
          </mc:Choice>
          <mc:Fallback>
            <w:pict>
              <v:shape id="Graphic 8" o:spid="_x0000_s1026" o:spt="100" style="position:absolute;left:0pt;margin-left:78pt;margin-top:9.15pt;height:0.75pt;width:439.3pt;mso-position-horizontal-relative:page;mso-wrap-distance-bottom:0pt;mso-wrap-distance-top:0pt;z-index:-251653120;mso-width-relative:page;mso-height-relative:page;" fillcolor="#AAAAAA" filled="t" stroked="f" coordsize="5579110,9525" o:gfxdata="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l0gBPXAAAACgEA&#10;AA8AAAAAAAAAAQAgAAAAIgAAAGRycy9kb3ducmV2LnhtbFBLAQIUABQAAAAIAIdO4kAOQ7zkGwIA&#10;AN8EAAAOAAAAAAAAAAEAIAAAACYBAABkcnMvZTJvRG9jLnhtbFBLBQYAAAAABgAGAFkBAACzBQAA&#10;AAA=&#10;" path="m5578800,9525l0,9525,0,0,5578800,0,5578800,9525xe">
                <v:fill on="t" focussize="0,0"/>
                <v:stroke on="f"/>
                <v:imagedata o:title=""/>
                <o:lock v:ext="edit" aspectratio="f"/>
                <v:textbox inset="0mm,0mm,0mm,0mm"/>
                <w10:wrap type="topAndBottom"/>
              </v:shape>
            </w:pict>
          </mc:Fallback>
        </mc:AlternateContent>
      </w:r>
    </w:p>
    <w:p w14:paraId="32EA018B">
      <w:pPr>
        <w:pStyle w:val="4"/>
        <w:ind w:left="0" w:firstLine="0"/>
      </w:pPr>
      <w:bookmarkStart w:id="13" w:name="Appendix (optional, only if page budget "/>
      <w:bookmarkEnd w:id="13"/>
      <w:r>
        <w:t>Appendix</w:t>
      </w:r>
      <w:r>
        <w:rPr>
          <w:spacing w:val="-2"/>
        </w:rPr>
        <w:t xml:space="preserve"> </w:t>
      </w:r>
      <w:r>
        <w:t>(optional,</w:t>
      </w:r>
      <w:r>
        <w:rPr>
          <w:spacing w:val="-1"/>
        </w:rPr>
        <w:t xml:space="preserve"> </w:t>
      </w:r>
      <w:r>
        <w:t>only</w:t>
      </w:r>
      <w:r>
        <w:rPr>
          <w:spacing w:val="-1"/>
        </w:rPr>
        <w:t xml:space="preserve"> </w:t>
      </w:r>
      <w:r>
        <w:t>if</w:t>
      </w:r>
      <w:r>
        <w:rPr>
          <w:spacing w:val="-1"/>
        </w:rPr>
        <w:t xml:space="preserve"> </w:t>
      </w:r>
      <w:r>
        <w:t>page</w:t>
      </w:r>
      <w:r>
        <w:rPr>
          <w:spacing w:val="-1"/>
        </w:rPr>
        <w:t xml:space="preserve"> </w:t>
      </w:r>
      <w:r>
        <w:t>budget</w:t>
      </w:r>
      <w:r>
        <w:rPr>
          <w:spacing w:val="-1"/>
        </w:rPr>
        <w:t xml:space="preserve"> </w:t>
      </w:r>
      <w:r>
        <w:rPr>
          <w:spacing w:val="-2"/>
        </w:rPr>
        <w:t>allows)</w:t>
      </w:r>
    </w:p>
    <w:p w14:paraId="0FF98DC5">
      <w:pPr>
        <w:pStyle w:val="7"/>
        <w:spacing w:before="11"/>
        <w:rPr>
          <w:b/>
          <w:i/>
        </w:rPr>
      </w:pPr>
    </w:p>
    <w:p w14:paraId="024302CC">
      <w:pPr>
        <w:pStyle w:val="9"/>
        <w:numPr>
          <w:ilvl w:val="1"/>
          <w:numId w:val="2"/>
        </w:numPr>
        <w:tabs>
          <w:tab w:val="left" w:pos="600"/>
        </w:tabs>
        <w:spacing w:before="1" w:after="0" w:line="240" w:lineRule="auto"/>
        <w:ind w:left="600" w:right="0" w:hanging="144"/>
        <w:jc w:val="left"/>
        <w:rPr>
          <w:sz w:val="24"/>
        </w:rPr>
      </w:pPr>
      <w:r>
        <w:rPr>
          <w:sz w:val="24"/>
        </w:rPr>
        <w:t>Table</w:t>
      </w:r>
      <w:r>
        <w:rPr>
          <w:spacing w:val="-3"/>
          <w:sz w:val="24"/>
        </w:rPr>
        <w:t xml:space="preserve"> </w:t>
      </w:r>
      <w:r>
        <w:rPr>
          <w:sz w:val="24"/>
        </w:rPr>
        <w:t>of</w:t>
      </w:r>
      <w:r>
        <w:rPr>
          <w:spacing w:val="-2"/>
          <w:sz w:val="24"/>
        </w:rPr>
        <w:t xml:space="preserve"> </w:t>
      </w:r>
      <w:r>
        <w:rPr>
          <w:sz w:val="24"/>
        </w:rPr>
        <w:t>all</w:t>
      </w:r>
      <w:r>
        <w:rPr>
          <w:spacing w:val="-2"/>
          <w:sz w:val="24"/>
        </w:rPr>
        <w:t xml:space="preserve"> </w:t>
      </w:r>
      <w:r>
        <w:rPr>
          <w:sz w:val="24"/>
        </w:rPr>
        <w:t>experiment</w:t>
      </w:r>
      <w:r>
        <w:rPr>
          <w:spacing w:val="-2"/>
          <w:sz w:val="24"/>
        </w:rPr>
        <w:t xml:space="preserve"> </w:t>
      </w:r>
      <w:r>
        <w:rPr>
          <w:sz w:val="24"/>
        </w:rPr>
        <w:t>parameters</w:t>
      </w:r>
      <w:r>
        <w:rPr>
          <w:spacing w:val="-4"/>
          <w:sz w:val="24"/>
        </w:rPr>
        <w:t xml:space="preserve"> </w:t>
      </w:r>
      <w:r>
        <w:rPr>
          <w:sz w:val="24"/>
        </w:rPr>
        <w:t>(center</w:t>
      </w:r>
      <w:r>
        <w:rPr>
          <w:spacing w:val="-2"/>
          <w:sz w:val="24"/>
        </w:rPr>
        <w:t xml:space="preserve"> </w:t>
      </w:r>
      <w:r>
        <w:rPr>
          <w:sz w:val="24"/>
        </w:rPr>
        <w:t>freq,</w:t>
      </w:r>
      <w:r>
        <w:rPr>
          <w:spacing w:val="-2"/>
          <w:sz w:val="24"/>
        </w:rPr>
        <w:t xml:space="preserve"> </w:t>
      </w:r>
      <w:r>
        <w:rPr>
          <w:sz w:val="24"/>
        </w:rPr>
        <w:t>bandwidth,</w:t>
      </w:r>
      <w:r>
        <w:rPr>
          <w:spacing w:val="-2"/>
          <w:sz w:val="24"/>
        </w:rPr>
        <w:t xml:space="preserve"> </w:t>
      </w:r>
      <w:r>
        <w:rPr>
          <w:sz w:val="24"/>
        </w:rPr>
        <w:t>gain,</w:t>
      </w:r>
      <w:r>
        <w:rPr>
          <w:spacing w:val="-2"/>
          <w:sz w:val="24"/>
        </w:rPr>
        <w:t xml:space="preserve"> duration)</w:t>
      </w:r>
    </w:p>
    <w:p w14:paraId="1691BE13">
      <w:pPr>
        <w:pStyle w:val="9"/>
        <w:numPr>
          <w:ilvl w:val="1"/>
          <w:numId w:val="2"/>
        </w:numPr>
        <w:tabs>
          <w:tab w:val="left" w:pos="600"/>
        </w:tabs>
        <w:spacing w:before="128" w:after="0" w:line="240" w:lineRule="auto"/>
        <w:ind w:left="600" w:right="0" w:hanging="144"/>
        <w:jc w:val="left"/>
        <w:rPr>
          <w:sz w:val="24"/>
        </w:rPr>
      </w:pPr>
      <w:r>
        <w:rPr>
          <w:sz w:val="24"/>
        </w:rPr>
        <w:t>Additional</w:t>
      </w:r>
      <w:r>
        <w:rPr>
          <w:spacing w:val="-1"/>
          <w:sz w:val="24"/>
        </w:rPr>
        <w:t xml:space="preserve"> </w:t>
      </w:r>
      <w:r>
        <w:rPr>
          <w:sz w:val="24"/>
        </w:rPr>
        <w:t>PSD</w:t>
      </w:r>
      <w:r>
        <w:rPr>
          <w:spacing w:val="-2"/>
          <w:sz w:val="24"/>
        </w:rPr>
        <w:t xml:space="preserve"> </w:t>
      </w:r>
      <w:r>
        <w:rPr>
          <w:sz w:val="24"/>
        </w:rPr>
        <w:t>plots</w:t>
      </w:r>
      <w:r>
        <w:rPr>
          <w:spacing w:val="-2"/>
          <w:sz w:val="24"/>
        </w:rPr>
        <w:t xml:space="preserve"> </w:t>
      </w:r>
      <w:r>
        <w:rPr>
          <w:sz w:val="24"/>
        </w:rPr>
        <w:t>not</w:t>
      </w:r>
      <w:r>
        <w:rPr>
          <w:spacing w:val="-1"/>
          <w:sz w:val="24"/>
        </w:rPr>
        <w:t xml:space="preserve"> </w:t>
      </w:r>
      <w:r>
        <w:rPr>
          <w:sz w:val="24"/>
        </w:rPr>
        <w:t>discussed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main </w:t>
      </w:r>
      <w:r>
        <w:rPr>
          <w:spacing w:val="-4"/>
          <w:sz w:val="24"/>
        </w:rPr>
        <w:t>body</w:t>
      </w:r>
    </w:p>
    <w:sectPr>
      <w:pgSz w:w="11910" w:h="16840"/>
      <w:pgMar w:top="1380" w:right="1417" w:bottom="820" w:left="1559" w:header="0" w:footer="6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E66F">
    <w:pPr>
      <w:pStyle w:val="7"/>
      <w:spacing w:before="0"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3709670</wp:posOffset>
              </wp:positionH>
              <wp:positionV relativeFrom="page">
                <wp:posOffset>10151745</wp:posOffset>
              </wp:positionV>
              <wp:extent cx="152400" cy="1663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2400" cy="166370"/>
                      </a:xfrm>
                      <a:prstGeom prst="rect">
                        <a:avLst/>
                      </a:prstGeom>
                    </wps:spPr>
                    <wps:txbx>
                      <w:txbxContent>
                        <w:p w14:paraId="1EAFF022">
                          <w:pPr>
                            <w:spacing w:before="11"/>
                            <w:ind w:left="60" w:right="0" w:firstLine="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2.1pt;margin-top:799.35pt;height:13.1pt;width:12pt;mso-position-horizontal-relative:page;mso-position-vertical-relative:page;z-index:-251657216;mso-width-relative:page;mso-height-relative:page;" filled="f" stroked="f" coordsize="21600,21600" o:gfxdata="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iF4P2wAAAA0BAAAPAAAAAAAAAAEAIAAAACIAAABkcnMvZG93bnJldi54bWxQSwECFAAUAAAACACH&#10;TuJAYYYPiq8BAABzAwAADgAAAAAAAAABACAAAAAqAQAAZHJzL2Uyb0RvYy54bWxQSwUGAAAAAAYA&#10;BgBZAQAASwUAAAAA&#10;">
              <v:fill on="f" focussize="0,0"/>
              <v:stroke on="f"/>
              <v:imagedata o:title=""/>
              <o:lock v:ext="edit" aspectratio="f"/>
              <v:textbox inset="0mm,0mm,0mm,0mm">
                <w:txbxContent>
                  <w:p w14:paraId="1EAFF022">
                    <w:pPr>
                      <w:spacing w:before="11"/>
                      <w:ind w:left="60" w:right="0" w:firstLine="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 w:hanging="426"/>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601"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525" w:hanging="145"/>
      </w:pPr>
      <w:rPr>
        <w:rFonts w:hint="default"/>
        <w:lang w:val="en-US" w:eastAsia="en-US" w:bidi="ar-SA"/>
      </w:rPr>
    </w:lvl>
    <w:lvl w:ilvl="3" w:tentative="0">
      <w:start w:val="0"/>
      <w:numFmt w:val="bullet"/>
      <w:lvlText w:val="•"/>
      <w:lvlJc w:val="left"/>
      <w:pPr>
        <w:ind w:left="2451" w:hanging="145"/>
      </w:pPr>
      <w:rPr>
        <w:rFonts w:hint="default"/>
        <w:lang w:val="en-US" w:eastAsia="en-US" w:bidi="ar-SA"/>
      </w:rPr>
    </w:lvl>
    <w:lvl w:ilvl="4" w:tentative="0">
      <w:start w:val="0"/>
      <w:numFmt w:val="bullet"/>
      <w:lvlText w:val="•"/>
      <w:lvlJc w:val="left"/>
      <w:pPr>
        <w:ind w:left="3376" w:hanging="145"/>
      </w:pPr>
      <w:rPr>
        <w:rFonts w:hint="default"/>
        <w:lang w:val="en-US" w:eastAsia="en-US" w:bidi="ar-SA"/>
      </w:rPr>
    </w:lvl>
    <w:lvl w:ilvl="5" w:tentative="0">
      <w:start w:val="0"/>
      <w:numFmt w:val="bullet"/>
      <w:lvlText w:val="•"/>
      <w:lvlJc w:val="left"/>
      <w:pPr>
        <w:ind w:left="4302" w:hanging="145"/>
      </w:pPr>
      <w:rPr>
        <w:rFonts w:hint="default"/>
        <w:lang w:val="en-US" w:eastAsia="en-US" w:bidi="ar-SA"/>
      </w:rPr>
    </w:lvl>
    <w:lvl w:ilvl="6" w:tentative="0">
      <w:start w:val="0"/>
      <w:numFmt w:val="bullet"/>
      <w:lvlText w:val="•"/>
      <w:lvlJc w:val="left"/>
      <w:pPr>
        <w:ind w:left="5227" w:hanging="145"/>
      </w:pPr>
      <w:rPr>
        <w:rFonts w:hint="default"/>
        <w:lang w:val="en-US" w:eastAsia="en-US" w:bidi="ar-SA"/>
      </w:rPr>
    </w:lvl>
    <w:lvl w:ilvl="7" w:tentative="0">
      <w:start w:val="0"/>
      <w:numFmt w:val="bullet"/>
      <w:lvlText w:val="•"/>
      <w:lvlJc w:val="left"/>
      <w:pPr>
        <w:ind w:left="6153" w:hanging="145"/>
      </w:pPr>
      <w:rPr>
        <w:rFonts w:hint="default"/>
        <w:lang w:val="en-US" w:eastAsia="en-US" w:bidi="ar-SA"/>
      </w:rPr>
    </w:lvl>
    <w:lvl w:ilvl="8" w:tentative="0">
      <w:start w:val="0"/>
      <w:numFmt w:val="bullet"/>
      <w:lvlText w:val="•"/>
      <w:lvlJc w:val="left"/>
      <w:pPr>
        <w:ind w:left="7078" w:hanging="145"/>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261" w:hanging="260"/>
        <w:jc w:val="left"/>
      </w:pPr>
      <w:rPr>
        <w:rFonts w:hint="default" w:ascii="Times New Roman" w:hAnsi="Times New Roman" w:eastAsia="Times New Roman" w:cs="Times New Roman"/>
        <w:b/>
        <w:bCs/>
        <w:i w:val="0"/>
        <w:iCs w:val="0"/>
        <w:spacing w:val="0"/>
        <w:w w:val="100"/>
        <w:sz w:val="26"/>
        <w:szCs w:val="26"/>
        <w:lang w:val="en-US" w:eastAsia="en-US" w:bidi="ar-SA"/>
      </w:rPr>
    </w:lvl>
    <w:lvl w:ilvl="1" w:tentative="0">
      <w:start w:val="1"/>
      <w:numFmt w:val="decimal"/>
      <w:lvlText w:val="%1.%2"/>
      <w:lvlJc w:val="left"/>
      <w:pPr>
        <w:ind w:left="361" w:hanging="360"/>
        <w:jc w:val="left"/>
      </w:pPr>
      <w:rPr>
        <w:rFonts w:hint="default" w:ascii="Times New Roman" w:hAnsi="Times New Roman" w:eastAsia="Times New Roman" w:cs="Times New Roman"/>
        <w:b/>
        <w:bCs/>
        <w:i/>
        <w:iCs/>
        <w:spacing w:val="0"/>
        <w:w w:val="100"/>
        <w:sz w:val="24"/>
        <w:szCs w:val="24"/>
        <w:lang w:val="en-US" w:eastAsia="en-US" w:bidi="ar-SA"/>
      </w:rPr>
    </w:lvl>
    <w:lvl w:ilvl="2" w:tentative="0">
      <w:start w:val="1"/>
      <w:numFmt w:val="decimal"/>
      <w:lvlText w:val="%3."/>
      <w:lvlJc w:val="left"/>
      <w:pPr>
        <w:ind w:left="60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1641" w:hanging="240"/>
      </w:pPr>
      <w:rPr>
        <w:rFonts w:hint="default"/>
        <w:lang w:val="en-US" w:eastAsia="en-US" w:bidi="ar-SA"/>
      </w:rPr>
    </w:lvl>
    <w:lvl w:ilvl="4" w:tentative="0">
      <w:start w:val="0"/>
      <w:numFmt w:val="bullet"/>
      <w:lvlText w:val="•"/>
      <w:lvlJc w:val="left"/>
      <w:pPr>
        <w:ind w:left="2682" w:hanging="240"/>
      </w:pPr>
      <w:rPr>
        <w:rFonts w:hint="default"/>
        <w:lang w:val="en-US" w:eastAsia="en-US" w:bidi="ar-SA"/>
      </w:rPr>
    </w:lvl>
    <w:lvl w:ilvl="5" w:tentative="0">
      <w:start w:val="0"/>
      <w:numFmt w:val="bullet"/>
      <w:lvlText w:val="•"/>
      <w:lvlJc w:val="left"/>
      <w:pPr>
        <w:ind w:left="3723" w:hanging="240"/>
      </w:pPr>
      <w:rPr>
        <w:rFonts w:hint="default"/>
        <w:lang w:val="en-US" w:eastAsia="en-US" w:bidi="ar-SA"/>
      </w:rPr>
    </w:lvl>
    <w:lvl w:ilvl="6" w:tentative="0">
      <w:start w:val="0"/>
      <w:numFmt w:val="bullet"/>
      <w:lvlText w:val="•"/>
      <w:lvlJc w:val="left"/>
      <w:pPr>
        <w:ind w:left="4764" w:hanging="240"/>
      </w:pPr>
      <w:rPr>
        <w:rFonts w:hint="default"/>
        <w:lang w:val="en-US" w:eastAsia="en-US" w:bidi="ar-SA"/>
      </w:rPr>
    </w:lvl>
    <w:lvl w:ilvl="7" w:tentative="0">
      <w:start w:val="0"/>
      <w:numFmt w:val="bullet"/>
      <w:lvlText w:val="•"/>
      <w:lvlJc w:val="left"/>
      <w:pPr>
        <w:ind w:left="5805" w:hanging="240"/>
      </w:pPr>
      <w:rPr>
        <w:rFonts w:hint="default"/>
        <w:lang w:val="en-US" w:eastAsia="en-US" w:bidi="ar-SA"/>
      </w:rPr>
    </w:lvl>
    <w:lvl w:ilvl="8" w:tentative="0">
      <w:start w:val="0"/>
      <w:numFmt w:val="bullet"/>
      <w:lvlText w:val="•"/>
      <w:lvlJc w:val="left"/>
      <w:pPr>
        <w:ind w:left="6847" w:hanging="24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D0E2062"/>
    <w:rsid w:val="4B5814AC"/>
    <w:rsid w:val="55B83E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2"/>
      <w:ind w:left="3024" w:hanging="2935"/>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260" w:hanging="260"/>
      <w:outlineLvl w:val="2"/>
    </w:pPr>
    <w:rPr>
      <w:rFonts w:ascii="Times New Roman" w:hAnsi="Times New Roman" w:eastAsia="Times New Roman" w:cs="Times New Roman"/>
      <w:b/>
      <w:bCs/>
      <w:sz w:val="26"/>
      <w:szCs w:val="26"/>
      <w:lang w:val="en-US" w:eastAsia="en-US" w:bidi="ar-SA"/>
    </w:rPr>
  </w:style>
  <w:style w:type="paragraph" w:styleId="4">
    <w:name w:val="heading 3"/>
    <w:basedOn w:val="1"/>
    <w:qFormat/>
    <w:uiPriority w:val="1"/>
    <w:pPr>
      <w:spacing w:before="219"/>
      <w:ind w:left="360" w:hanging="360"/>
      <w:jc w:val="both"/>
      <w:outlineLvl w:val="3"/>
    </w:pPr>
    <w:rPr>
      <w:rFonts w:ascii="Times New Roman" w:hAnsi="Times New Roman" w:eastAsia="Times New Roman" w:cs="Times New Roman"/>
      <w:b/>
      <w:bCs/>
      <w:i/>
      <w:i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
    </w:pPr>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6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246"/>
      <w:ind w:left="1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1411</Words>
  <Characters>8299</Characters>
  <TotalTime>53</TotalTime>
  <ScaleCrop>false</ScaleCrop>
  <LinksUpToDate>false</LinksUpToDate>
  <CharactersWithSpaces>9646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2026-06-18T14:50:00Z</dcterms:created>
  <dc:creator>acer</dc:creator>
  <cp:lastModifiedBy>Exciting Videos</cp:lastModifiedBy>
  <dcterms:modified xsi:type="dcterms:W3CDTF">2026-06-18T15:56:45Z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Producer">
    <vt:lpwstr>WeasyPrint 69.0</vt:lpwstr>
  </property>
  <property fmtid="{D5CDD505-2E9C-101B-9397-08002B2CF9AE}" pid="5" name="LastSaved">
    <vt:filetime>2026-06-18T00:00:00Z</vt:filetime>
  </property>
  <property fmtid="{D5CDD505-2E9C-101B-9397-08002B2CF9AE}" pid="6" name="KSOTemplateDocerSaveRecord">
    <vt:lpwstr>eyJoZGlkIjoiN2FjYThlODJmYTUwMWU5NmM1YTVlYWYwMzMwMTdhNGYiLCJ1c2VySWQiOiI3NDM5NDgwOTIzMjcxIn0=</vt:lpwstr>
  </property>
  <property fmtid="{D5CDD505-2E9C-101B-9397-08002B2CF9AE}" pid="7" name="KSOProductBuildVer">
    <vt:lpwstr>1033-12.1.0.26880</vt:lpwstr>
  </property>
  <property fmtid="{D5CDD505-2E9C-101B-9397-08002B2CF9AE}" pid="8" name="ICV">
    <vt:lpwstr>D696F2B1F8164ED8AC73862E3CAB057B_12</vt:lpwstr>
  </property>
</Properties>
</file>