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after="480"/>
        <w:ind w:firstLine="0" w:firstLineChars="0"/>
        <w:rPr>
          <w:rFonts w:ascii="宋体" w:hAnsi="宋体" w:eastAsia="宋体"/>
          <w:i/>
          <w:iCs/>
          <w:sz w:val="40"/>
          <w:szCs w:val="40"/>
        </w:rPr>
      </w:pPr>
      <w:r>
        <w:rPr>
          <w:rFonts w:hint="eastAsia" w:ascii="宋体" w:hAnsi="宋体" w:eastAsia="宋体"/>
          <w:sz w:val="40"/>
          <w:szCs w:val="40"/>
        </w:rPr>
        <w:t>婚姻与生育对妇女遭受家庭暴力的影响</w:t>
      </w:r>
    </w:p>
    <w:p>
      <w:pPr>
        <w:pStyle w:val="2"/>
      </w:pPr>
      <w:bookmarkStart w:id="0" w:name="OLE_LINK2"/>
      <w:bookmarkStart w:id="1" w:name="OLE_LINK3"/>
      <w:r>
        <w:rPr>
          <w:rFonts w:hint="eastAsia"/>
        </w:rPr>
        <w:t>研究背景</w:t>
      </w:r>
    </w:p>
    <w:p>
      <w:pPr>
        <w:ind w:firstLine="480"/>
      </w:pPr>
      <w:r>
        <w:rPr>
          <w:rFonts w:hint="eastAsia"/>
        </w:rPr>
        <w:t>针对妇女的暴力行为是世界范围内的普遍现象：全球近3</w:t>
      </w:r>
      <w:r>
        <w:t>5%</w:t>
      </w:r>
      <w:r>
        <w:rPr>
          <w:rFonts w:hint="eastAsia"/>
        </w:rPr>
        <w:t>的妇女自1</w:t>
      </w:r>
      <w:r>
        <w:t>5</w:t>
      </w:r>
      <w:r>
        <w:rPr>
          <w:rFonts w:hint="eastAsia"/>
        </w:rPr>
        <w:t>岁起就遭受过亲密伴侣或非伴侣的暴力行为（WHO，2</w:t>
      </w:r>
      <w:r>
        <w:t>013</w:t>
      </w:r>
      <w:r>
        <w:rPr>
          <w:rFonts w:hint="eastAsia"/>
        </w:rPr>
        <w:t>）。家庭暴力是影响妇女和儿童身心健康的重要因素，研究发现，在家暴环境长大的儿童可能具有表达能力较差（Huth</w:t>
      </w:r>
      <w:r>
        <w:t>-Bocks</w:t>
      </w:r>
      <w:r>
        <w:rPr>
          <w:rFonts w:hint="eastAsia"/>
        </w:rPr>
        <w:t>等</w:t>
      </w:r>
      <w:r>
        <w:t>, 1999</w:t>
      </w:r>
      <w:r>
        <w:rPr>
          <w:rFonts w:hint="eastAsia"/>
        </w:rPr>
        <w:t>），智商较低（Koenen等，2</w:t>
      </w:r>
      <w:r>
        <w:t>003</w:t>
      </w:r>
      <w:r>
        <w:rPr>
          <w:rFonts w:hint="eastAsia"/>
        </w:rPr>
        <w:t>）的特征。据估计，美国每年约有</w:t>
      </w:r>
      <w:r>
        <w:t>330</w:t>
      </w:r>
      <w:r>
        <w:rPr>
          <w:rFonts w:hint="eastAsia"/>
        </w:rPr>
        <w:t>万-</w:t>
      </w:r>
      <w:r>
        <w:t>1000</w:t>
      </w:r>
      <w:r>
        <w:rPr>
          <w:rFonts w:hint="eastAsia"/>
        </w:rPr>
        <w:t>万儿童遭受家庭暴力，此外家暴也是导致妇女自杀与残疾的主要原因（Anderson和Genicot，2</w:t>
      </w:r>
      <w:r>
        <w:t>015</w:t>
      </w:r>
      <w:r>
        <w:rPr>
          <w:rFonts w:hint="eastAsia"/>
        </w:rPr>
        <w:t>）。在经济上，家庭暴力带来了大量的医疗费用，并导致了社会生产力的下降。据估计，在美国，家暴带来的社会成本超过5</w:t>
      </w:r>
      <w:r>
        <w:t>8</w:t>
      </w:r>
      <w:r>
        <w:rPr>
          <w:rFonts w:hint="eastAsia"/>
        </w:rPr>
        <w:t>亿美元（Aizer，2</w:t>
      </w:r>
      <w:r>
        <w:t>010</w:t>
      </w:r>
      <w:r>
        <w:rPr>
          <w:rFonts w:hint="eastAsia"/>
        </w:rPr>
        <w:t>）。家暴带来的影响不仅体现在当代，研究表明，家暴具有代际遗传特征，在暴力家庭长大的人往往会将暴力行为遗传下去（Pollak，2</w:t>
      </w:r>
      <w:r>
        <w:t>004</w:t>
      </w:r>
      <w:r>
        <w:rPr>
          <w:rFonts w:hint="eastAsia"/>
        </w:rPr>
        <w:t>）。因此如果没有外界干预，短期内家暴并不会自行消失。</w:t>
      </w:r>
    </w:p>
    <w:p>
      <w:pPr>
        <w:ind w:firstLine="480"/>
      </w:pPr>
      <w:r>
        <w:rPr>
          <w:rFonts w:hint="eastAsia"/>
        </w:rPr>
        <w:t>在中国，根据中国社会科学院的数据，近3</w:t>
      </w:r>
      <w:r>
        <w:t>0%</w:t>
      </w:r>
      <w:r>
        <w:rPr>
          <w:rFonts w:hint="eastAsia"/>
        </w:rPr>
        <w:t>的家庭成员遭受过不同程度的家庭暴力，其中9</w:t>
      </w:r>
      <w:r>
        <w:t>0%</w:t>
      </w:r>
      <w:r>
        <w:rPr>
          <w:rFonts w:hint="eastAsia"/>
        </w:rPr>
        <w:t>的施暴者为男性。从时间来看，根据中国妇女社会地位调查：1</w:t>
      </w:r>
      <w:r>
        <w:t>990</w:t>
      </w:r>
      <w:r>
        <w:rPr>
          <w:rFonts w:hint="eastAsia"/>
        </w:rPr>
        <w:t>年的调查数据显示我国妇女经历家庭暴力占比为3</w:t>
      </w:r>
      <w:r>
        <w:t>6%</w:t>
      </w:r>
      <w:r>
        <w:rPr>
          <w:rFonts w:hint="eastAsia"/>
        </w:rPr>
        <w:t>，2</w:t>
      </w:r>
      <w:r>
        <w:t>000</w:t>
      </w:r>
      <w:r>
        <w:rPr>
          <w:rFonts w:hint="eastAsia"/>
        </w:rPr>
        <w:t>年的调查数据显示我国妇女经历家庭暴力占比为2</w:t>
      </w:r>
      <w:r>
        <w:t>2.5%</w:t>
      </w:r>
      <w:r>
        <w:rPr>
          <w:rFonts w:hint="eastAsia"/>
        </w:rPr>
        <w:t>，而在2</w:t>
      </w:r>
      <w:r>
        <w:t>001</w:t>
      </w:r>
      <w:r>
        <w:rPr>
          <w:rFonts w:hint="eastAsia"/>
        </w:rPr>
        <w:t>年随着《离婚法》的出台与宣传，2</w:t>
      </w:r>
      <w:r>
        <w:t>010</w:t>
      </w:r>
      <w:r>
        <w:rPr>
          <w:rFonts w:hint="eastAsia"/>
        </w:rPr>
        <w:t>年的调查数据显示我国妇女遭受家庭暴力的占比降至1</w:t>
      </w:r>
      <w:r>
        <w:t>3.8%</w:t>
      </w:r>
      <w:r>
        <w:rPr>
          <w:rFonts w:hint="eastAsia"/>
        </w:rPr>
        <w:t>，2</w:t>
      </w:r>
      <w:r>
        <w:t>015</w:t>
      </w:r>
      <w:r>
        <w:rPr>
          <w:rFonts w:hint="eastAsia"/>
        </w:rPr>
        <w:t>年时我国又通过了《反家庭暴力法》，随着该法在2</w:t>
      </w:r>
      <w:r>
        <w:t>016</w:t>
      </w:r>
      <w:r>
        <w:rPr>
          <w:rFonts w:hint="eastAsia"/>
        </w:rPr>
        <w:t>年的开始实行，2</w:t>
      </w:r>
      <w:r>
        <w:t>020</w:t>
      </w:r>
      <w:r>
        <w:rPr>
          <w:rFonts w:hint="eastAsia"/>
        </w:rPr>
        <w:t>年调查数据显示我国妇女遭受家暴的占比降到了8</w:t>
      </w:r>
      <w:r>
        <w:t>.6%</w:t>
      </w:r>
      <w:r>
        <w:rPr>
          <w:rFonts w:hint="eastAsia"/>
        </w:rPr>
        <w:t>。整体来看，我国妇女遭受家暴的占比在不断下降，但仍有将近十分之一的妇女受到家暴的影响。此外，在当今中国社会，家庭暴力仍然被视为家庭内部矛盾，受虐者难以向外寻求社会支持，导致他们在反抗和妥协中徘徊。根据陈洪磊与陈明静（2</w:t>
      </w:r>
      <w:r>
        <w:t>022</w:t>
      </w:r>
      <w:r>
        <w:rPr>
          <w:rFonts w:hint="eastAsia"/>
        </w:rPr>
        <w:t>）对3</w:t>
      </w:r>
      <w:r>
        <w:t>961</w:t>
      </w:r>
      <w:r>
        <w:rPr>
          <w:rFonts w:hint="eastAsia"/>
        </w:rPr>
        <w:t>份家暴裁判文书的分析，当前对家暴行为的司法救济仍然存在对准家庭暴力主体范围和家庭暴力行为的界定分歧、对人身安全保护令法定签发条件的适用困惑、司法惯性与释法说理欠缺以及受害方举证困难等适用问题。</w:t>
      </w:r>
    </w:p>
    <w:p>
      <w:pPr>
        <w:ind w:firstLine="480"/>
      </w:pPr>
      <w:r>
        <w:rPr>
          <w:rFonts w:hint="eastAsia"/>
        </w:rPr>
        <w:t>为了减少家暴的发生，各国政府都出台了很多政策，但这些政策大多都是通过提高女性的家庭内部议价权进而降低被家暴的概率。例如许多国家出台的《单边离婚法案》，该法案在不同程度上允许个体单方面提出离婚。经济能力是决定家庭内部议价权的首要因素，因此哪些因素会影响女性的经济能力就成了我们首先关注的内容。从劳动参与情况来看，生育与女性就业关系是经济学的经典话题。女性既是社会人口再生产主体，也是物质资料再生产主体。因此生育政策不仅直接影响女性生育行为，还会影响女性的劳动力市场决策。对于中国建国之后的计划生育政策，大多研究主要集中在7</w:t>
      </w:r>
      <w:r>
        <w:t>0</w:t>
      </w:r>
      <w:r>
        <w:rPr>
          <w:rFonts w:hint="eastAsia"/>
        </w:rPr>
        <w:t>年代的“晚稀少”以及8</w:t>
      </w:r>
      <w:r>
        <w:t>0</w:t>
      </w:r>
      <w:r>
        <w:rPr>
          <w:rFonts w:hint="eastAsia"/>
        </w:rPr>
        <w:t>年代的“独生子女”政策。“晚稀少”政策是指在1</w:t>
      </w:r>
      <w:r>
        <w:t>970</w:t>
      </w:r>
      <w:r>
        <w:rPr>
          <w:rFonts w:hint="eastAsia"/>
        </w:rPr>
        <w:t>年代实行的计划生育政策，“晚”是指男25周岁、女23周岁才结婚；“稀”指拉长生育间隔，两胎要间隔4年左右；“少”是指只生两个孩子。而继1974年毛泽东提出“人口非控制不可”的指示，人口控制愈加严厉。而</w:t>
      </w:r>
      <w:r>
        <w:t>1980</w:t>
      </w:r>
      <w:r>
        <w:rPr>
          <w:rFonts w:hint="eastAsia"/>
        </w:rPr>
        <w:t>年召开第五次人口座谈会之后确定的独生子女政策进一步加强了人口控制，提倡“一对夫妇只生育一个子女”，此后直到2</w:t>
      </w:r>
      <w:r>
        <w:t>016</w:t>
      </w:r>
      <w:r>
        <w:rPr>
          <w:rFonts w:hint="eastAsia"/>
        </w:rPr>
        <w:t>年该政策才被终止。计划生育政策作为我国的基本国策，是由政府对家庭及个人婚育决策的权力介入，深远的影响了我国的婚姻匹配、生育观念以及生命历程。</w:t>
      </w:r>
    </w:p>
    <w:p>
      <w:pPr>
        <w:pStyle w:val="2"/>
      </w:pPr>
      <w:r>
        <w:rPr>
          <w:rFonts w:hint="eastAsia"/>
        </w:rPr>
        <w:t>文献综述</w:t>
      </w:r>
    </w:p>
    <w:p>
      <w:pPr>
        <w:pStyle w:val="4"/>
      </w:pPr>
      <w:r>
        <w:rPr>
          <w:rFonts w:hint="eastAsia"/>
        </w:rPr>
        <w:t>家庭暴力</w:t>
      </w:r>
    </w:p>
    <w:p>
      <w:pPr>
        <w:ind w:firstLine="480"/>
      </w:pPr>
      <w:r>
        <w:rPr>
          <w:rFonts w:hint="eastAsia"/>
        </w:rPr>
        <w:t>经济学领域对于家暴的文献主要可以分为两个分支：</w:t>
      </w:r>
    </w:p>
    <w:p>
      <w:pPr>
        <w:ind w:firstLine="480"/>
      </w:pPr>
      <w:r>
        <w:rPr>
          <w:rFonts w:hint="eastAsia"/>
        </w:rPr>
        <w:t>第一支文献从家庭内部处出发，讨论在家庭内部导致家暴的成因。首先，在家庭内部大多文献都关注于家庭内部议价权对家暴概率的影响。决定女性经济地位的关键因素包括女性本身的特质：就业情况(J</w:t>
      </w:r>
      <w:r>
        <w:t>ensen</w:t>
      </w:r>
      <w:r>
        <w:rPr>
          <w:rFonts w:hint="eastAsia"/>
        </w:rPr>
        <w:t>与</w:t>
      </w:r>
      <w:r>
        <w:t>Oster, 2009)</w:t>
      </w:r>
      <w:r>
        <w:rPr>
          <w:rFonts w:hint="eastAsia"/>
        </w:rPr>
        <w:t>、受教育情况(Hidrobo与Fernald, 2013，Zhou，</w:t>
      </w:r>
      <w:r>
        <w:t>2021</w:t>
      </w:r>
      <w:r>
        <w:rPr>
          <w:rFonts w:hint="eastAsia"/>
        </w:rPr>
        <w:t>)以及最关键的收入情况(Aizer, 2010)，简而言之，女性经济越不依赖于丈夫，受到家暴的概率会越低。除了经济上的议价权以外，能否单边离婚也属于家庭内部议价权的一部分(Jensen与Oster, 2009)，单边离婚给女性提供了一种外部选择。影响家庭内部议价权的外部冲击包括两种：一种是政策冲击：例如Molina与Tanaka（2023）发现贸易自由化使得女性对家暴的容忍度变低，遭受家暴的概率也大幅下降；而</w:t>
      </w:r>
      <w:r>
        <w:t>Heath</w:t>
      </w:r>
      <w:r>
        <w:rPr>
          <w:rFonts w:hint="eastAsia"/>
        </w:rPr>
        <w:t>等（2</w:t>
      </w:r>
      <w:r>
        <w:t>020</w:t>
      </w:r>
      <w:r>
        <w:rPr>
          <w:rFonts w:hint="eastAsia"/>
        </w:rPr>
        <w:t>）发现针对女性的现金转移政策有效的减少了家庭当中针对女性的暴力行为，但这种影响根据女性与配偶的相对受教育程度的不同而存在异质性（Hidrobo与Fernald，2</w:t>
      </w:r>
      <w:r>
        <w:t>013</w:t>
      </w:r>
      <w:r>
        <w:rPr>
          <w:rFonts w:hint="eastAsia"/>
        </w:rPr>
        <w:t>）；此外，基础建设的不断完善通过降低女性独立生活的成本提高了女性议价权，从而减少了女性受到家暴的概率(Bargain等, 2019)。这些外部政策改善了女性在家庭内部的议价权，从而降低了她们被家暴的概率；另一部分是自然冲击，例如暴雨灾害使得女性经济议价权降低，从而可能导致更多家暴(Diaz and</w:t>
      </w:r>
      <w:r>
        <w:t xml:space="preserve"> </w:t>
      </w:r>
      <w:r>
        <w:rPr>
          <w:rFonts w:hint="eastAsia"/>
        </w:rPr>
        <w:t>Saldarriaga, 2023)。同样的，当男性在家庭当中的议价权提高时，女性遭受家暴的概率也会大幅上升。</w:t>
      </w:r>
      <w:r>
        <w:t>(La Mattina, 2017)</w:t>
      </w:r>
      <w:r>
        <w:rPr>
          <w:rFonts w:hint="eastAsia"/>
        </w:rPr>
        <w:t>探究了卢旺达大屠杀后的家暴概率，揭示由于性别比降低使得男性在家庭当中议价权增大，从而导致女性受到家暴的概率增大。</w:t>
      </w:r>
    </w:p>
    <w:p>
      <w:pPr>
        <w:ind w:firstLine="480"/>
      </w:pPr>
      <w:r>
        <w:rPr>
          <w:rFonts w:hint="eastAsia"/>
        </w:rPr>
        <w:t>女性劳动参与率的上升改善了她们的经济水平，增强了其家庭内部的议价权，但也有部分文献指出，女性议价权的上升可能会导致遭遇家暴的风险增加。一方面，女性收入的提高给了男性通过暴力行为攫取租金的动机</w:t>
      </w:r>
      <w:r>
        <w:t>(Erten and Keshin, 2021)</w:t>
      </w:r>
      <w:r>
        <w:rPr>
          <w:rFonts w:hint="eastAsia"/>
        </w:rPr>
        <w:t>；另一方面，她们的丈夫可能会使用暴力来重新确立某种程度的主导地位，这种现象被称作“男性反冲（male</w:t>
      </w:r>
      <w:r>
        <w:t xml:space="preserve"> </w:t>
      </w:r>
      <w:r>
        <w:rPr>
          <w:rFonts w:hint="eastAsia"/>
        </w:rPr>
        <w:t>backlash）”，该现象在性别观念更为僵化的地方更为严重。例如Guarnieri与Rainer（2</w:t>
      </w:r>
      <w:r>
        <w:t>021</w:t>
      </w:r>
      <w:r>
        <w:rPr>
          <w:rFonts w:hint="eastAsia"/>
        </w:rPr>
        <w:t>）通过断点回归分析了喀麦隆境内前英法边界两侧妇女的就业与家暴情况，结果发现英国殖民统治给当地妇女带来了更多的就业机会，但也使得妇女极易遭受家暴；不仅如此，Bulte和Lensink（2</w:t>
      </w:r>
      <w:r>
        <w:t>019</w:t>
      </w:r>
      <w:r>
        <w:rPr>
          <w:rFonts w:hint="eastAsia"/>
        </w:rPr>
        <w:t>）通过越南的数据发现，当女性试图为参加工作努力时，受到家暴的概率就越大；除了婚后的工作状态，Health（2</w:t>
      </w:r>
      <w:r>
        <w:t>014</w:t>
      </w:r>
      <w:r>
        <w:rPr>
          <w:rFonts w:hint="eastAsia"/>
        </w:rPr>
        <w:t>）利用孟加拉国的数据发现，婚前就业情况增大了婚后受到家暴的概率。</w:t>
      </w:r>
    </w:p>
    <w:p>
      <w:pPr>
        <w:ind w:firstLine="480"/>
      </w:pPr>
      <w:r>
        <w:rPr>
          <w:rFonts w:hint="eastAsia"/>
        </w:rPr>
        <w:t>也有部分文献抛开家庭内部议价权，从其他角度分析了男性的暴力动机：</w:t>
      </w:r>
      <w:r>
        <w:t xml:space="preserve"> Pollak</w:t>
      </w:r>
      <w:r>
        <w:rPr>
          <w:rFonts w:hint="eastAsia"/>
        </w:rPr>
        <w:t>（2</w:t>
      </w:r>
      <w:r>
        <w:t>004</w:t>
      </w:r>
      <w:r>
        <w:rPr>
          <w:rFonts w:hint="eastAsia"/>
        </w:rPr>
        <w:t>）构建了一个家暴在代际之间传递的模型，认为父代家庭出现家暴的概率与子代发生家暴的概率呈现正相关关系；（Card 和 Dahl, 2011）则提出亲密关系之间的暴力行为是与经济报酬无关的情感冲动所引发的，因此丈夫支持的球队失利很可能导致家暴增多；此外，男性也可能通过暴力行为加强其对经济资源的支配权</w:t>
      </w:r>
      <w:r>
        <w:t>(Anderberg</w:t>
      </w:r>
      <w:r>
        <w:rPr>
          <w:rFonts w:hint="eastAsia"/>
        </w:rPr>
        <w:t>与</w:t>
      </w:r>
      <w:r>
        <w:t>Rainer, 2013</w:t>
      </w:r>
      <w:r>
        <w:rPr>
          <w:rFonts w:hint="eastAsia"/>
        </w:rPr>
        <w:t>)，也即暴力并非议价权博弈后的结果，而是决定资源分配的手段，而在家庭经济状况恶化的情况下，这一现象可能更加严重(Diaz与Saldarriaga, 2023)。</w:t>
      </w:r>
    </w:p>
    <w:p>
      <w:pPr>
        <w:ind w:firstLine="480"/>
        <w:rPr>
          <w:rFonts w:cs="宋体"/>
          <w:sz w:val="26"/>
        </w:rPr>
      </w:pPr>
      <w:r>
        <w:rPr>
          <w:rFonts w:hint="eastAsia"/>
        </w:rPr>
        <w:t>第二支文献则关注了家暴的治理问题，讨论哪些公权力干预政策是有效的。其中的代表性处理方式是对施暴者的惩罚，例如美国部分地区出台的“强制逮捕法案”，即无论受害者是否同意，只要有合理原因就需要逮捕施暴者。对于这一政策，部分学者认为“强制逮捕法案”并没有显著降低严重的家暴行为，反而可能使得受害者被谋杀的风险增大（Iyengar, 2009）。但也有学者经过重新整理数据后提出“强制逮捕法案”还是有效减少了家庭暴力的发生（Chin与Cunningham, 2019）。其他政策包括单边离婚法案，即只要受害者提出离婚，无论对方是否同意都可以结束婚姻关系。对这一法案的讨论依然主要集中在对受害者议价能力的分析，即单边离婚的影响是否足够迫切，从而使得施害者减少暴力行为（Brassiolo, 2016）。</w:t>
      </w:r>
    </w:p>
    <w:p>
      <w:pPr>
        <w:pStyle w:val="4"/>
      </w:pPr>
      <w:r>
        <w:rPr>
          <w:rFonts w:hint="eastAsia"/>
        </w:rPr>
        <w:t>生育与就业</w:t>
      </w:r>
    </w:p>
    <w:p>
      <w:pPr>
        <w:ind w:firstLine="480"/>
      </w:pPr>
      <w:r>
        <w:rPr>
          <w:rFonts w:hint="eastAsia"/>
        </w:rPr>
        <w:t>一般认为，生育与女性的劳动参与是相互影响的，女性在生育和养育孩子方面所花费的时间和精力会限制其就业行为;而女性劳动参与率的提高也会促使生育率下降。关于影响女性劳动参与率的因素，早期文献认为劳动市场机会</w:t>
      </w:r>
      <w:r>
        <w:rPr>
          <w:rFonts w:hint="eastAsia"/>
          <w:lang w:eastAsia="zh-CN"/>
        </w:rPr>
        <w:t>、</w:t>
      </w:r>
      <w:r>
        <w:rPr>
          <w:rFonts w:hint="eastAsia"/>
        </w:rPr>
        <w:t>男性收入、社会习俗对待女性工作的态度、家庭结构和家庭照料均是影响女性劳动供给的重要原因（Blau和Kahn，2</w:t>
      </w:r>
      <w:r>
        <w:t>017</w:t>
      </w:r>
      <w:r>
        <w:rPr>
          <w:rFonts w:hint="eastAsia"/>
        </w:rPr>
        <w:t>）。近年来，也有文献关注了心理和社会因素对劳动力市场性别差距的影响，例如生理因素（Ichino和Moretti，2</w:t>
      </w:r>
      <w:r>
        <w:t>009</w:t>
      </w:r>
      <w:r>
        <w:rPr>
          <w:rFonts w:hint="eastAsia"/>
        </w:rPr>
        <w:t>）、风险偏好、通勤偏好和竞争态度（Carl等，2</w:t>
      </w:r>
      <w:r>
        <w:t>016</w:t>
      </w:r>
      <w:r>
        <w:rPr>
          <w:rFonts w:hint="eastAsia"/>
        </w:rPr>
        <w:t>）。总而言之，女性对长时间工作的偏好或忍耐度更低，而劳动力市场上部分职业对工作时间具有非线性报酬特征，由此解释了2</w:t>
      </w:r>
      <w:r>
        <w:t>0%</w:t>
      </w:r>
      <w:r>
        <w:rPr>
          <w:rFonts w:hint="eastAsia"/>
        </w:rPr>
        <w:t>的男女收入差距（Goldin，2</w:t>
      </w:r>
      <w:r>
        <w:t>014</w:t>
      </w:r>
      <w:r>
        <w:rPr>
          <w:rFonts w:hint="eastAsia"/>
        </w:rPr>
        <w:t>）。由于家庭分工，女性劳动则会通常需要在工作、家庭照料和闲暇时间之间选择（Blundell和MaCrudy，1</w:t>
      </w:r>
      <w:r>
        <w:t>999</w:t>
      </w:r>
      <w:r>
        <w:rPr>
          <w:rFonts w:hint="eastAsia"/>
        </w:rPr>
        <w:t>）。Angrist与Evans（1</w:t>
      </w:r>
      <w:r>
        <w:t>998</w:t>
      </w:r>
      <w:r>
        <w:rPr>
          <w:rFonts w:hint="eastAsia"/>
        </w:rPr>
        <w:t>）通过美国数据发现生育显著降低了女性的劳动参与率，主要表现在生育越多的女性其劳动参与率越低、工作时间越短（Daouli等，2</w:t>
      </w:r>
      <w:r>
        <w:t>009</w:t>
      </w:r>
      <w:r>
        <w:rPr>
          <w:rFonts w:hint="eastAsia"/>
        </w:rPr>
        <w:t>；Mary，2</w:t>
      </w:r>
      <w:r>
        <w:t>016</w:t>
      </w:r>
      <w:r>
        <w:rPr>
          <w:rFonts w:hint="eastAsia"/>
        </w:rPr>
        <w:t>），这一现象在家中有婴幼儿或学龄前子女时更为明显（</w:t>
      </w:r>
      <w:r>
        <w:t>Connelly</w:t>
      </w:r>
      <w:r>
        <w:rPr>
          <w:rFonts w:hint="eastAsia"/>
        </w:rPr>
        <w:t>，1</w:t>
      </w:r>
      <w:r>
        <w:t>992</w:t>
      </w:r>
      <w:r>
        <w:rPr>
          <w:rFonts w:hint="eastAsia"/>
        </w:rPr>
        <w:t>）。</w:t>
      </w:r>
    </w:p>
    <w:p>
      <w:pPr>
        <w:ind w:firstLine="480"/>
      </w:pPr>
      <w:r>
        <w:rPr>
          <w:rFonts w:hint="eastAsia"/>
        </w:rPr>
        <w:t>新中国成立以来，我国女性的劳动参与率一直领先世界前列，但自</w:t>
      </w:r>
      <w:r>
        <w:t>20</w:t>
      </w:r>
      <w:r>
        <w:rPr>
          <w:rFonts w:hint="eastAsia"/>
        </w:rPr>
        <w:t>世纪9</w:t>
      </w:r>
      <w:r>
        <w:t>0</w:t>
      </w:r>
      <w:r>
        <w:rPr>
          <w:rFonts w:hint="eastAsia"/>
        </w:rPr>
        <w:t>年代以来出现下降（沈可等，2</w:t>
      </w:r>
      <w:r>
        <w:t>012</w:t>
      </w:r>
      <w:r>
        <w:rPr>
          <w:rFonts w:hint="eastAsia"/>
        </w:rPr>
        <w:t>），这一下降趋势主要是4</w:t>
      </w:r>
      <w:r>
        <w:t>0</w:t>
      </w:r>
      <w:r>
        <w:rPr>
          <w:rFonts w:hint="eastAsia"/>
        </w:rPr>
        <w:t>岁以下女性的劳动参与率降低导致的，导致这一趋势的原因包括教育、婚姻以及收入等（杜凤莲，2</w:t>
      </w:r>
      <w:r>
        <w:t>008</w:t>
      </w:r>
      <w:r>
        <w:rPr>
          <w:rFonts w:hint="eastAsia"/>
        </w:rPr>
        <w:t>；彭青等，2</w:t>
      </w:r>
      <w:r>
        <w:t>017</w:t>
      </w:r>
      <w:r>
        <w:rPr>
          <w:rFonts w:hint="eastAsia"/>
        </w:rPr>
        <w:t>），然而生育率下降的趋势在考虑女性受教育程度的提升后仍然存在。而对于国内女性生育与劳动就业之间的关系，张川川（2</w:t>
      </w:r>
      <w:r>
        <w:t>011</w:t>
      </w:r>
      <w:r>
        <w:rPr>
          <w:rFonts w:hint="eastAsia"/>
        </w:rPr>
        <w:t>）研究发现子女数量的增加会显著降低城镇已婚女性的劳动供给、工作时间和收入水平，但对农村妇女却没有显著影响。而魏宁和苏群（2</w:t>
      </w:r>
      <w:r>
        <w:t>013</w:t>
      </w:r>
      <w:r>
        <w:rPr>
          <w:rFonts w:hint="eastAsia"/>
        </w:rPr>
        <w:t>）研究发现子女数量显著降低了农村女性的非农就业参与率、劳动</w:t>
      </w:r>
      <w:bookmarkStart w:id="3" w:name="_GoBack"/>
      <w:bookmarkEnd w:id="3"/>
      <w:r>
        <w:rPr>
          <w:rFonts w:hint="eastAsia"/>
        </w:rPr>
        <w:t>时间以及收入。</w:t>
      </w:r>
    </w:p>
    <w:p>
      <w:pPr>
        <w:pStyle w:val="4"/>
      </w:pPr>
      <w:r>
        <w:rPr>
          <w:rFonts w:hint="eastAsia"/>
        </w:rPr>
        <w:t>婚姻市场匹配</w:t>
      </w:r>
    </w:p>
    <w:p>
      <w:pPr>
        <w:ind w:firstLine="480"/>
      </w:pPr>
      <w:r>
        <w:rPr>
          <w:rFonts w:hint="eastAsia"/>
        </w:rPr>
        <w:t>经济学中又大量的理论和实证文献研究了婚姻市场当中男性与女性之间的匹配关系。最早Becker（1</w:t>
      </w:r>
      <w:r>
        <w:t>973</w:t>
      </w:r>
      <w:r>
        <w:rPr>
          <w:rFonts w:hint="eastAsia"/>
        </w:rPr>
        <w:t>，1</w:t>
      </w:r>
      <w:r>
        <w:t>974</w:t>
      </w:r>
      <w:r>
        <w:rPr>
          <w:rFonts w:hint="eastAsia"/>
        </w:rPr>
        <w:t>）用经济学理论来解释了婚姻市场的匹配，他给出了一个静态的、效用可以转移的模型来解释，只有当男女的某些特征（如家庭、收入等）在家庭生产中属于互补品时，则具有相似特征的男女会匹配在一起，如果这些特征是属于替代品，那么这些特征差异较大的男女会匹配在一起。在之后的很多文献当中，有研究分析了不同的择偶标准以及不同的政策如何影响男女双方在婚姻当中得到的回报。例如沈新凤（2</w:t>
      </w:r>
      <w:r>
        <w:t>011</w:t>
      </w:r>
      <w:r>
        <w:rPr>
          <w:rFonts w:hint="eastAsia"/>
        </w:rPr>
        <w:t>）提出由于在养育孩子投入中自然的在性别差异，使得男性在婚姻匹配上存在向下匹配的倾向，而女性则存在向上匹配的倾向。而对于婚姻匹配对婚后生活的影响，Bertrand等（2</w:t>
      </w:r>
      <w:r>
        <w:t>013</w:t>
      </w:r>
      <w:r>
        <w:rPr>
          <w:rFonts w:hint="eastAsia"/>
        </w:rPr>
        <w:t>）研究发现丈夫和妻子的相对收入高低会影响妻子的劳动参与率、收入水平以及双方的婚姻满意度，也即如果家庭中妻子的收入高于丈夫，就可能降低妻子的劳动参与率和工作时的工资水平，还会提高离婚可能性。这种心态更多的是受到了社会观念的影响，因此即使一个男性找到了比自己条件更好的女性，因为社会观念的影响，它需要承担额外的心理负担，在考虑婚姻满意度时，这些心理负担也构成了成本的一部分。Akerlof和Kranton（2</w:t>
      </w:r>
      <w:r>
        <w:t>000</w:t>
      </w:r>
      <w:r>
        <w:rPr>
          <w:rFonts w:hint="eastAsia"/>
        </w:rPr>
        <w:t>）最早将身份会角色引入经济学分析方中，而Fisman等（2</w:t>
      </w:r>
      <w:r>
        <w:t>006</w:t>
      </w:r>
      <w:r>
        <w:rPr>
          <w:rFonts w:hint="eastAsia"/>
        </w:rPr>
        <w:t>）通过观察速配实验中个体关于约会对象的选择，发现在婚姻市场上确实存在性别和身份的差异。而对于中国婚姻市场匹配的研究，韦艳和张力（2</w:t>
      </w:r>
      <w:r>
        <w:t>011</w:t>
      </w:r>
      <w:r>
        <w:rPr>
          <w:rFonts w:hint="eastAsia"/>
        </w:rPr>
        <w:t>）发现在中国社会存在的以父权制为中心性别观念预设了男性在家庭中扮演的角色，从而导致了社会底层男性婚姻的困境。随着社会经济的发展，女性地位不断提高，性别角色起到的作用在慢慢地弱化（杨菊华和何炤华，2</w:t>
      </w:r>
      <w:r>
        <w:t>014</w:t>
      </w:r>
      <w:r>
        <w:rPr>
          <w:rFonts w:hint="eastAsia"/>
        </w:rPr>
        <w:t>），但社会观念的转变往往是滞后于经济发展的，因此我们仍然不能忽视性别观念对婚姻市场匹配的影响。</w:t>
      </w:r>
    </w:p>
    <w:p>
      <w:pPr>
        <w:pStyle w:val="2"/>
      </w:pPr>
      <w:r>
        <w:rPr>
          <w:rFonts w:hint="eastAsia"/>
        </w:rPr>
        <w:t>研究意义</w:t>
      </w:r>
    </w:p>
    <w:p>
      <w:pPr>
        <w:ind w:firstLine="480"/>
      </w:pPr>
      <w:r>
        <w:rPr>
          <w:rFonts w:hint="eastAsia"/>
        </w:rPr>
        <w:t>本研究在以下几个方面为相关文献做出了贡献：</w:t>
      </w:r>
    </w:p>
    <w:p>
      <w:pPr>
        <w:ind w:firstLine="480"/>
      </w:pPr>
      <w:r>
        <w:rPr>
          <w:rFonts w:hint="eastAsia"/>
        </w:rPr>
        <w:t>首先，在中国这样一个发展中国家，关于家暴问题的实证研究仍相对匮乏。本文通过深入探讨妇女生育情况对家庭暴力的影响，弥补了这一领域的空白。考虑到中国庞大的人口数量以及进行了多年的生育政策变革，探究生育对家暴的影响这一问题显得尤为重要。</w:t>
      </w:r>
    </w:p>
    <w:p>
      <w:pPr>
        <w:ind w:firstLine="480"/>
      </w:pPr>
      <w:r>
        <w:rPr>
          <w:rFonts w:hint="eastAsia"/>
        </w:rPr>
        <w:t>其次，目前鲜有文献系统分析了我国女性议价权与家庭暴力之间的关系，女性议价权的提高是否能减少遭遇家暴的概率在我国仍然是不确定的，本文将系统分析这二者的关系。一方面，本文将结合当地生活成本水平，探究当存在外部选择的时候，女性受到家暴的概率是否会下降，另一方面，本文也将探究我国是否也存在“男性反冲“现象；</w:t>
      </w:r>
    </w:p>
    <w:p>
      <w:pPr>
        <w:ind w:firstLine="480"/>
      </w:pPr>
      <w:r>
        <w:rPr>
          <w:rFonts w:hint="eastAsia"/>
        </w:rPr>
        <w:t>再其次，本文还将关注文化观念对家庭暴力的影响。在中国，生育决策与文化观念紧密相连，而关于男女家庭分工与性别观念都直接影响了婚后女性的劳动参与以及生育决策，因此夫妻双方文化观念对家庭暴力的影响是不容忽视的；最后，已有不少文献提到了夫妻双方受教育水平与差异也会影响家暴发生的概率，本文也将从这个异质性出发，分析对个体进行人力资本的投入是否会降低家暴发生的概率。</w:t>
      </w:r>
    </w:p>
    <w:p>
      <w:pPr>
        <w:pStyle w:val="2"/>
      </w:pPr>
      <w:r>
        <w:rPr>
          <w:rFonts w:hint="eastAsia"/>
        </w:rPr>
        <w:t>研究设计</w:t>
      </w:r>
    </w:p>
    <w:p>
      <w:pPr>
        <w:pStyle w:val="4"/>
        <w:numPr>
          <w:ilvl w:val="0"/>
          <w:numId w:val="3"/>
        </w:numPr>
      </w:pPr>
      <w:r>
        <w:rPr>
          <w:rFonts w:hint="eastAsia"/>
        </w:rPr>
        <w:t>数据介绍</w:t>
      </w:r>
    </w:p>
    <w:p>
      <w:pPr>
        <w:ind w:firstLine="480"/>
      </w:pPr>
      <w:r>
        <w:rPr>
          <w:rFonts w:hint="eastAsia"/>
        </w:rPr>
        <w:t>本文使用的数据来自全国妇联和国家统计局分别与1</w:t>
      </w:r>
      <w:r>
        <w:t>990</w:t>
      </w:r>
      <w:r>
        <w:rPr>
          <w:rFonts w:hint="eastAsia"/>
        </w:rPr>
        <w:t>年、2</w:t>
      </w:r>
      <w:r>
        <w:t>000</w:t>
      </w:r>
      <w:r>
        <w:rPr>
          <w:rFonts w:hint="eastAsia"/>
        </w:rPr>
        <w:t>年以及2</w:t>
      </w:r>
      <w:r>
        <w:t>010</w:t>
      </w:r>
      <w:r>
        <w:rPr>
          <w:rFonts w:hint="eastAsia"/>
        </w:rPr>
        <w:t>年开展的中国妇女社会地位调查。调查问卷旨在全面反映中国妇女的社会经济状况，包括健康、教育、经济、生活方式、合法权益、价值观以及态度等。其中受访者被问及是否曾被配偶殴打。因为本文基于这个问题构建了虚拟变量，如果受访者曾被殴打，则该变量为1，否则等于0。主要是的解释变量为女性的生育情况，本文计划用两种方式来衡量：1</w:t>
      </w:r>
      <w:r>
        <w:t xml:space="preserve">. </w:t>
      </w:r>
      <w:r>
        <w:rPr>
          <w:rFonts w:hint="eastAsia"/>
        </w:rPr>
        <w:t>受访者是否生育的虚拟变量；2</w:t>
      </w:r>
      <w:r>
        <w:t>.</w:t>
      </w:r>
      <w:r>
        <w:rPr>
          <w:rFonts w:hint="eastAsia"/>
        </w:rPr>
        <w:t>受访者生育子女数量。</w:t>
      </w:r>
    </w:p>
    <w:p>
      <w:pPr>
        <w:ind w:firstLine="480"/>
      </w:pPr>
      <w:r>
        <w:rPr>
          <w:rFonts w:hint="eastAsia"/>
        </w:rPr>
        <w:t>表1展示了根据</w:t>
      </w:r>
      <w:r>
        <w:t>2010</w:t>
      </w:r>
      <w:r>
        <w:rPr>
          <w:rFonts w:hint="eastAsia"/>
        </w:rPr>
        <w:t>年中国妇女社会地位调查数据，在所有年龄段当中，家暴组女性的生育数量都多于不家暴组，同时除3</w:t>
      </w:r>
      <w:r>
        <w:t>0-40</w:t>
      </w:r>
      <w:r>
        <w:rPr>
          <w:rFonts w:hint="eastAsia"/>
        </w:rPr>
        <w:t>岁年龄段组间差异不显著以外，其他组的组间差异都在1</w:t>
      </w:r>
      <w:r>
        <w:t>%</w:t>
      </w:r>
      <w:r>
        <w:rPr>
          <w:rFonts w:hint="eastAsia"/>
        </w:rPr>
        <w:t>的水平上显著，说明遭遇家暴的女性与未遭遇家暴的女性在生育子女数量上具有显著差异。而家中有小孩需要照顾又是造成绝大多数女性未能外出就业的主要原因，这一占比高达</w:t>
      </w:r>
      <w:r>
        <w:t>73.64%</w:t>
      </w:r>
      <w:r>
        <w:rPr>
          <w:rFonts w:hint="eastAsia"/>
        </w:rPr>
        <w:t>。</w:t>
      </w:r>
    </w:p>
    <w:p>
      <w:pPr>
        <w:ind w:firstLine="480"/>
      </w:pPr>
    </w:p>
    <w:p>
      <w:pPr>
        <w:ind w:firstLine="480"/>
        <w:rPr>
          <w:rFonts w:hint="eastAsia"/>
        </w:rPr>
      </w:pPr>
    </w:p>
    <w:tbl>
      <w:tblPr>
        <w:tblStyle w:val="8"/>
        <w:tblW w:w="8222" w:type="dxa"/>
        <w:tblInd w:w="0" w:type="dxa"/>
        <w:tblLayout w:type="autofit"/>
        <w:tblCellMar>
          <w:top w:w="0" w:type="dxa"/>
          <w:left w:w="108" w:type="dxa"/>
          <w:bottom w:w="0" w:type="dxa"/>
          <w:right w:w="108" w:type="dxa"/>
        </w:tblCellMar>
      </w:tblPr>
      <w:tblGrid>
        <w:gridCol w:w="1816"/>
        <w:gridCol w:w="2012"/>
        <w:gridCol w:w="1842"/>
        <w:gridCol w:w="2552"/>
      </w:tblGrid>
      <w:tr>
        <w:trPr>
          <w:trHeight w:val="335" w:hRule="atLeast"/>
        </w:trPr>
        <w:tc>
          <w:tcPr>
            <w:tcW w:w="5670" w:type="dxa"/>
            <w:gridSpan w:val="3"/>
            <w:tcBorders>
              <w:top w:val="nil"/>
              <w:left w:val="nil"/>
              <w:bottom w:val="single" w:color="000000" w:sz="4" w:space="0"/>
              <w:right w:val="nil"/>
            </w:tcBorders>
            <w:shd w:val="clear" w:color="auto" w:fill="auto"/>
            <w:noWrap/>
            <w:vAlign w:val="center"/>
          </w:tcPr>
          <w:p>
            <w:pPr>
              <w:ind w:firstLine="0" w:firstLineChars="0"/>
              <w:rPr>
                <w:rFonts w:eastAsia="Times New Roman" w:cs="Times New Roman"/>
                <w:sz w:val="20"/>
                <w:szCs w:val="20"/>
              </w:rPr>
            </w:pPr>
            <w:r>
              <w:rPr>
                <w:rFonts w:hint="eastAsia"/>
              </w:rPr>
              <w:t>变量：平均生育孩子数量</w:t>
            </w:r>
          </w:p>
        </w:tc>
        <w:tc>
          <w:tcPr>
            <w:tcW w:w="2552" w:type="dxa"/>
            <w:tcBorders>
              <w:top w:val="nil"/>
              <w:left w:val="nil"/>
              <w:bottom w:val="single" w:color="000000" w:sz="4" w:space="0"/>
              <w:right w:val="nil"/>
            </w:tcBorders>
            <w:shd w:val="clear" w:color="auto" w:fill="auto"/>
            <w:noWrap/>
            <w:vAlign w:val="center"/>
          </w:tcPr>
          <w:p>
            <w:pPr>
              <w:ind w:firstLine="400"/>
              <w:rPr>
                <w:rFonts w:eastAsia="Times New Roman" w:cs="Times New Roman"/>
                <w:sz w:val="20"/>
                <w:szCs w:val="20"/>
              </w:rPr>
            </w:pPr>
          </w:p>
        </w:tc>
      </w:tr>
      <w:tr>
        <w:trPr>
          <w:trHeight w:val="335" w:hRule="atLeast"/>
        </w:trPr>
        <w:tc>
          <w:tcPr>
            <w:tcW w:w="1816" w:type="dxa"/>
            <w:tcBorders>
              <w:top w:val="single" w:color="000000" w:sz="4" w:space="0"/>
              <w:left w:val="nil"/>
              <w:bottom w:val="single" w:color="auto" w:sz="4" w:space="0"/>
              <w:right w:val="nil"/>
            </w:tcBorders>
            <w:shd w:val="clear" w:color="auto" w:fill="auto"/>
            <w:noWrap/>
            <w:vAlign w:val="center"/>
          </w:tcPr>
          <w:p>
            <w:pPr>
              <w:ind w:firstLine="480"/>
            </w:pPr>
            <w:bookmarkStart w:id="2" w:name="OLE_LINK1"/>
            <w:r>
              <w:rPr>
                <w:rFonts w:hint="eastAsia"/>
              </w:rPr>
              <w:t>年龄组</w:t>
            </w:r>
          </w:p>
        </w:tc>
        <w:tc>
          <w:tcPr>
            <w:tcW w:w="2012" w:type="dxa"/>
            <w:tcBorders>
              <w:top w:val="single" w:color="000000" w:sz="4" w:space="0"/>
              <w:left w:val="nil"/>
              <w:bottom w:val="single" w:color="auto" w:sz="4" w:space="0"/>
              <w:right w:val="nil"/>
            </w:tcBorders>
            <w:shd w:val="clear" w:color="auto" w:fill="auto"/>
            <w:noWrap/>
            <w:vAlign w:val="center"/>
          </w:tcPr>
          <w:p>
            <w:pPr>
              <w:ind w:firstLine="480"/>
            </w:pPr>
            <w:r>
              <w:rPr>
                <w:rFonts w:hint="eastAsia"/>
              </w:rPr>
              <w:t>不家暴组</w:t>
            </w:r>
          </w:p>
        </w:tc>
        <w:tc>
          <w:tcPr>
            <w:tcW w:w="1842" w:type="dxa"/>
            <w:tcBorders>
              <w:top w:val="single" w:color="000000" w:sz="4" w:space="0"/>
              <w:left w:val="nil"/>
              <w:bottom w:val="single" w:color="auto" w:sz="4" w:space="0"/>
              <w:right w:val="nil"/>
            </w:tcBorders>
            <w:shd w:val="clear" w:color="auto" w:fill="auto"/>
            <w:noWrap/>
            <w:vAlign w:val="center"/>
          </w:tcPr>
          <w:p>
            <w:pPr>
              <w:ind w:firstLine="480"/>
            </w:pPr>
            <w:r>
              <w:rPr>
                <w:rFonts w:hint="eastAsia"/>
              </w:rPr>
              <w:t>家暴组</w:t>
            </w:r>
          </w:p>
        </w:tc>
        <w:tc>
          <w:tcPr>
            <w:tcW w:w="2552" w:type="dxa"/>
            <w:tcBorders>
              <w:top w:val="single" w:color="000000" w:sz="4" w:space="0"/>
              <w:left w:val="nil"/>
              <w:bottom w:val="single" w:color="auto" w:sz="4" w:space="0"/>
              <w:right w:val="nil"/>
            </w:tcBorders>
            <w:shd w:val="clear" w:color="auto" w:fill="auto"/>
            <w:noWrap/>
            <w:vAlign w:val="center"/>
          </w:tcPr>
          <w:p>
            <w:pPr>
              <w:ind w:firstLine="480"/>
            </w:pPr>
            <w:r>
              <w:rPr>
                <w:rFonts w:hint="eastAsia"/>
              </w:rPr>
              <w:t>组间差异</w:t>
            </w:r>
          </w:p>
        </w:tc>
      </w:tr>
      <w:tr>
        <w:trPr>
          <w:trHeight w:val="335" w:hRule="atLeast"/>
        </w:trPr>
        <w:tc>
          <w:tcPr>
            <w:tcW w:w="1816" w:type="dxa"/>
            <w:tcBorders>
              <w:top w:val="single" w:color="auto" w:sz="4" w:space="0"/>
              <w:left w:val="nil"/>
              <w:bottom w:val="nil"/>
              <w:right w:val="nil"/>
            </w:tcBorders>
            <w:shd w:val="clear" w:color="auto" w:fill="auto"/>
            <w:noWrap/>
            <w:vAlign w:val="center"/>
          </w:tcPr>
          <w:p>
            <w:pPr>
              <w:ind w:firstLine="480"/>
            </w:pPr>
            <w:r>
              <w:rPr>
                <w:rFonts w:hint="eastAsia"/>
              </w:rPr>
              <w:t>所有</w:t>
            </w:r>
          </w:p>
        </w:tc>
        <w:tc>
          <w:tcPr>
            <w:tcW w:w="2012" w:type="dxa"/>
            <w:tcBorders>
              <w:top w:val="single" w:color="auto" w:sz="4" w:space="0"/>
              <w:left w:val="nil"/>
              <w:bottom w:val="nil"/>
              <w:right w:val="nil"/>
            </w:tcBorders>
            <w:shd w:val="clear" w:color="auto" w:fill="auto"/>
            <w:noWrap/>
            <w:vAlign w:val="center"/>
          </w:tcPr>
          <w:p>
            <w:pPr>
              <w:ind w:firstLine="480"/>
            </w:pPr>
            <w:r>
              <w:rPr>
                <w:rFonts w:hint="eastAsia"/>
              </w:rPr>
              <w:t>1</w:t>
            </w:r>
            <w:r>
              <w:t>.61</w:t>
            </w:r>
          </w:p>
        </w:tc>
        <w:tc>
          <w:tcPr>
            <w:tcW w:w="1842" w:type="dxa"/>
            <w:tcBorders>
              <w:top w:val="single" w:color="auto" w:sz="4" w:space="0"/>
              <w:left w:val="nil"/>
              <w:bottom w:val="nil"/>
              <w:right w:val="nil"/>
            </w:tcBorders>
            <w:shd w:val="clear" w:color="auto" w:fill="auto"/>
            <w:noWrap/>
            <w:vAlign w:val="center"/>
          </w:tcPr>
          <w:p>
            <w:pPr>
              <w:ind w:firstLine="480"/>
            </w:pPr>
            <w:r>
              <w:t>2.08</w:t>
            </w:r>
          </w:p>
        </w:tc>
        <w:tc>
          <w:tcPr>
            <w:tcW w:w="2552" w:type="dxa"/>
            <w:tcBorders>
              <w:top w:val="single" w:color="auto" w:sz="4" w:space="0"/>
              <w:left w:val="nil"/>
              <w:bottom w:val="nil"/>
              <w:right w:val="nil"/>
            </w:tcBorders>
            <w:shd w:val="clear" w:color="auto" w:fill="auto"/>
            <w:noWrap/>
            <w:vAlign w:val="center"/>
          </w:tcPr>
          <w:p>
            <w:pPr>
              <w:ind w:firstLine="480"/>
            </w:pPr>
            <w:r>
              <w:rPr>
                <w:rFonts w:hint="eastAsia"/>
              </w:rPr>
              <w:t>-</w:t>
            </w:r>
            <w:r>
              <w:t>0.47***</w:t>
            </w:r>
          </w:p>
        </w:tc>
      </w:tr>
      <w:tr>
        <w:trPr>
          <w:trHeight w:val="335" w:hRule="atLeast"/>
        </w:trPr>
        <w:tc>
          <w:tcPr>
            <w:tcW w:w="1816" w:type="dxa"/>
            <w:tcBorders>
              <w:left w:val="nil"/>
              <w:bottom w:val="nil"/>
              <w:right w:val="nil"/>
            </w:tcBorders>
            <w:shd w:val="clear" w:color="auto" w:fill="auto"/>
            <w:noWrap/>
            <w:vAlign w:val="center"/>
          </w:tcPr>
          <w:p>
            <w:pPr>
              <w:ind w:firstLine="480"/>
            </w:pPr>
            <w:r>
              <w:rPr>
                <w:rFonts w:hint="eastAsia"/>
              </w:rPr>
              <w:t>(18, 30]</w:t>
            </w:r>
          </w:p>
        </w:tc>
        <w:tc>
          <w:tcPr>
            <w:tcW w:w="2012" w:type="dxa"/>
            <w:tcBorders>
              <w:left w:val="nil"/>
              <w:bottom w:val="nil"/>
              <w:right w:val="nil"/>
            </w:tcBorders>
            <w:shd w:val="clear" w:color="auto" w:fill="auto"/>
            <w:noWrap/>
            <w:vAlign w:val="center"/>
          </w:tcPr>
          <w:p>
            <w:pPr>
              <w:ind w:firstLine="480"/>
            </w:pPr>
            <w:r>
              <w:rPr>
                <w:rFonts w:hint="eastAsia"/>
              </w:rPr>
              <w:t>1.04</w:t>
            </w:r>
          </w:p>
        </w:tc>
        <w:tc>
          <w:tcPr>
            <w:tcW w:w="1842" w:type="dxa"/>
            <w:tcBorders>
              <w:left w:val="nil"/>
              <w:bottom w:val="nil"/>
              <w:right w:val="nil"/>
            </w:tcBorders>
            <w:shd w:val="clear" w:color="auto" w:fill="auto"/>
            <w:noWrap/>
            <w:vAlign w:val="center"/>
          </w:tcPr>
          <w:p>
            <w:pPr>
              <w:ind w:firstLine="480"/>
            </w:pPr>
            <w:r>
              <w:rPr>
                <w:rFonts w:hint="eastAsia"/>
              </w:rPr>
              <w:t>1.12</w:t>
            </w:r>
          </w:p>
        </w:tc>
        <w:tc>
          <w:tcPr>
            <w:tcW w:w="2552" w:type="dxa"/>
            <w:tcBorders>
              <w:left w:val="nil"/>
              <w:bottom w:val="nil"/>
              <w:right w:val="nil"/>
            </w:tcBorders>
            <w:shd w:val="clear" w:color="auto" w:fill="auto"/>
            <w:noWrap/>
            <w:vAlign w:val="center"/>
          </w:tcPr>
          <w:p>
            <w:pPr>
              <w:ind w:firstLine="480"/>
            </w:pPr>
            <w:r>
              <w:rPr>
                <w:rFonts w:hint="eastAsia"/>
              </w:rPr>
              <w:t>-0.08</w:t>
            </w:r>
          </w:p>
        </w:tc>
      </w:tr>
      <w:tr>
        <w:trPr>
          <w:trHeight w:val="335" w:hRule="atLeast"/>
        </w:trPr>
        <w:tc>
          <w:tcPr>
            <w:tcW w:w="1816" w:type="dxa"/>
            <w:tcBorders>
              <w:top w:val="nil"/>
              <w:left w:val="nil"/>
              <w:bottom w:val="nil"/>
              <w:right w:val="nil"/>
            </w:tcBorders>
            <w:shd w:val="clear" w:color="auto" w:fill="auto"/>
            <w:noWrap/>
            <w:vAlign w:val="center"/>
          </w:tcPr>
          <w:p>
            <w:pPr>
              <w:ind w:firstLine="480"/>
            </w:pPr>
            <w:r>
              <w:rPr>
                <w:rFonts w:hint="eastAsia"/>
              </w:rPr>
              <w:t>(30, 40]</w:t>
            </w:r>
          </w:p>
        </w:tc>
        <w:tc>
          <w:tcPr>
            <w:tcW w:w="2012" w:type="dxa"/>
            <w:tcBorders>
              <w:top w:val="nil"/>
              <w:left w:val="nil"/>
              <w:bottom w:val="nil"/>
              <w:right w:val="nil"/>
            </w:tcBorders>
            <w:shd w:val="clear" w:color="auto" w:fill="auto"/>
            <w:noWrap/>
            <w:vAlign w:val="center"/>
          </w:tcPr>
          <w:p>
            <w:pPr>
              <w:ind w:firstLine="480"/>
            </w:pPr>
            <w:r>
              <w:rPr>
                <w:rFonts w:hint="eastAsia"/>
              </w:rPr>
              <w:t>1.43</w:t>
            </w:r>
          </w:p>
        </w:tc>
        <w:tc>
          <w:tcPr>
            <w:tcW w:w="1842" w:type="dxa"/>
            <w:tcBorders>
              <w:top w:val="nil"/>
              <w:left w:val="nil"/>
              <w:bottom w:val="nil"/>
              <w:right w:val="nil"/>
            </w:tcBorders>
            <w:shd w:val="clear" w:color="auto" w:fill="auto"/>
            <w:noWrap/>
            <w:vAlign w:val="center"/>
          </w:tcPr>
          <w:p>
            <w:pPr>
              <w:ind w:firstLine="480"/>
            </w:pPr>
            <w:r>
              <w:rPr>
                <w:rFonts w:hint="eastAsia"/>
              </w:rPr>
              <w:t>1.75</w:t>
            </w:r>
          </w:p>
        </w:tc>
        <w:tc>
          <w:tcPr>
            <w:tcW w:w="2552" w:type="dxa"/>
            <w:tcBorders>
              <w:top w:val="nil"/>
              <w:left w:val="nil"/>
              <w:bottom w:val="nil"/>
              <w:right w:val="nil"/>
            </w:tcBorders>
            <w:shd w:val="clear" w:color="auto" w:fill="auto"/>
            <w:noWrap/>
            <w:vAlign w:val="center"/>
          </w:tcPr>
          <w:p>
            <w:pPr>
              <w:ind w:firstLine="480"/>
            </w:pPr>
            <w:r>
              <w:rPr>
                <w:rFonts w:hint="eastAsia"/>
              </w:rPr>
              <w:t>-0.32***</w:t>
            </w:r>
          </w:p>
        </w:tc>
      </w:tr>
      <w:bookmarkEnd w:id="2"/>
      <w:tr>
        <w:trPr>
          <w:trHeight w:val="335" w:hRule="atLeast"/>
        </w:trPr>
        <w:tc>
          <w:tcPr>
            <w:tcW w:w="1816" w:type="dxa"/>
            <w:tcBorders>
              <w:top w:val="nil"/>
              <w:left w:val="nil"/>
              <w:bottom w:val="nil"/>
              <w:right w:val="nil"/>
            </w:tcBorders>
            <w:shd w:val="clear" w:color="auto" w:fill="auto"/>
            <w:noWrap/>
            <w:vAlign w:val="center"/>
          </w:tcPr>
          <w:p>
            <w:pPr>
              <w:ind w:firstLine="480"/>
            </w:pPr>
            <w:r>
              <w:rPr>
                <w:rFonts w:hint="eastAsia"/>
              </w:rPr>
              <w:t>(40, 50]</w:t>
            </w:r>
          </w:p>
        </w:tc>
        <w:tc>
          <w:tcPr>
            <w:tcW w:w="2012" w:type="dxa"/>
            <w:tcBorders>
              <w:top w:val="nil"/>
              <w:left w:val="nil"/>
              <w:bottom w:val="nil"/>
              <w:right w:val="nil"/>
            </w:tcBorders>
            <w:shd w:val="clear" w:color="auto" w:fill="auto"/>
            <w:noWrap/>
            <w:vAlign w:val="center"/>
          </w:tcPr>
          <w:p>
            <w:pPr>
              <w:ind w:firstLine="480"/>
            </w:pPr>
            <w:r>
              <w:rPr>
                <w:rFonts w:hint="eastAsia"/>
              </w:rPr>
              <w:t>1.63</w:t>
            </w:r>
          </w:p>
        </w:tc>
        <w:tc>
          <w:tcPr>
            <w:tcW w:w="1842" w:type="dxa"/>
            <w:tcBorders>
              <w:top w:val="nil"/>
              <w:left w:val="nil"/>
              <w:bottom w:val="nil"/>
              <w:right w:val="nil"/>
            </w:tcBorders>
            <w:shd w:val="clear" w:color="auto" w:fill="auto"/>
            <w:noWrap/>
            <w:vAlign w:val="center"/>
          </w:tcPr>
          <w:p>
            <w:pPr>
              <w:ind w:firstLine="480"/>
            </w:pPr>
            <w:r>
              <w:rPr>
                <w:rFonts w:hint="eastAsia"/>
              </w:rPr>
              <w:t>2.06</w:t>
            </w:r>
          </w:p>
        </w:tc>
        <w:tc>
          <w:tcPr>
            <w:tcW w:w="2552" w:type="dxa"/>
            <w:tcBorders>
              <w:top w:val="nil"/>
              <w:left w:val="nil"/>
              <w:bottom w:val="nil"/>
              <w:right w:val="nil"/>
            </w:tcBorders>
            <w:shd w:val="clear" w:color="auto" w:fill="auto"/>
            <w:noWrap/>
            <w:vAlign w:val="center"/>
          </w:tcPr>
          <w:p>
            <w:pPr>
              <w:ind w:firstLine="480"/>
            </w:pPr>
            <w:r>
              <w:rPr>
                <w:rFonts w:hint="eastAsia"/>
              </w:rPr>
              <w:t>-0.44***</w:t>
            </w:r>
          </w:p>
        </w:tc>
      </w:tr>
      <w:tr>
        <w:trPr>
          <w:trHeight w:val="335" w:hRule="atLeast"/>
        </w:trPr>
        <w:tc>
          <w:tcPr>
            <w:tcW w:w="1816" w:type="dxa"/>
            <w:tcBorders>
              <w:top w:val="nil"/>
              <w:left w:val="nil"/>
              <w:bottom w:val="nil"/>
              <w:right w:val="nil"/>
            </w:tcBorders>
            <w:shd w:val="clear" w:color="auto" w:fill="auto"/>
            <w:noWrap/>
            <w:vAlign w:val="center"/>
          </w:tcPr>
          <w:p>
            <w:pPr>
              <w:ind w:firstLine="480"/>
            </w:pPr>
            <w:r>
              <w:rPr>
                <w:rFonts w:hint="eastAsia"/>
              </w:rPr>
              <w:t>(50, 60]</w:t>
            </w:r>
          </w:p>
        </w:tc>
        <w:tc>
          <w:tcPr>
            <w:tcW w:w="2012" w:type="dxa"/>
            <w:tcBorders>
              <w:top w:val="nil"/>
              <w:left w:val="nil"/>
              <w:bottom w:val="nil"/>
              <w:right w:val="nil"/>
            </w:tcBorders>
            <w:shd w:val="clear" w:color="auto" w:fill="auto"/>
            <w:noWrap/>
            <w:vAlign w:val="center"/>
          </w:tcPr>
          <w:p>
            <w:pPr>
              <w:ind w:firstLine="480"/>
            </w:pPr>
            <w:r>
              <w:rPr>
                <w:rFonts w:hint="eastAsia"/>
              </w:rPr>
              <w:t>1.98</w:t>
            </w:r>
          </w:p>
        </w:tc>
        <w:tc>
          <w:tcPr>
            <w:tcW w:w="1842" w:type="dxa"/>
            <w:tcBorders>
              <w:top w:val="nil"/>
              <w:left w:val="nil"/>
              <w:bottom w:val="nil"/>
              <w:right w:val="nil"/>
            </w:tcBorders>
            <w:shd w:val="clear" w:color="auto" w:fill="auto"/>
            <w:noWrap/>
            <w:vAlign w:val="center"/>
          </w:tcPr>
          <w:p>
            <w:pPr>
              <w:ind w:firstLine="480"/>
            </w:pPr>
            <w:r>
              <w:rPr>
                <w:rFonts w:hint="eastAsia"/>
              </w:rPr>
              <w:t>2.39</w:t>
            </w:r>
          </w:p>
        </w:tc>
        <w:tc>
          <w:tcPr>
            <w:tcW w:w="2552" w:type="dxa"/>
            <w:tcBorders>
              <w:top w:val="nil"/>
              <w:left w:val="nil"/>
              <w:bottom w:val="nil"/>
              <w:right w:val="nil"/>
            </w:tcBorders>
            <w:shd w:val="clear" w:color="auto" w:fill="auto"/>
            <w:noWrap/>
            <w:vAlign w:val="center"/>
          </w:tcPr>
          <w:p>
            <w:pPr>
              <w:ind w:firstLine="480"/>
            </w:pPr>
            <w:r>
              <w:rPr>
                <w:rFonts w:hint="eastAsia"/>
              </w:rPr>
              <w:t>-0.41***</w:t>
            </w:r>
          </w:p>
        </w:tc>
      </w:tr>
      <w:tr>
        <w:trPr>
          <w:trHeight w:val="335" w:hRule="atLeast"/>
        </w:trPr>
        <w:tc>
          <w:tcPr>
            <w:tcW w:w="1816" w:type="dxa"/>
            <w:tcBorders>
              <w:top w:val="nil"/>
              <w:left w:val="nil"/>
              <w:bottom w:val="single" w:color="000000" w:sz="4" w:space="0"/>
              <w:right w:val="nil"/>
            </w:tcBorders>
            <w:shd w:val="clear" w:color="auto" w:fill="auto"/>
            <w:noWrap/>
            <w:vAlign w:val="center"/>
          </w:tcPr>
          <w:p>
            <w:pPr>
              <w:ind w:firstLine="480"/>
            </w:pPr>
            <w:r>
              <w:rPr>
                <w:rFonts w:hint="eastAsia"/>
              </w:rPr>
              <w:t>(60, +)</w:t>
            </w:r>
          </w:p>
        </w:tc>
        <w:tc>
          <w:tcPr>
            <w:tcW w:w="2012" w:type="dxa"/>
            <w:tcBorders>
              <w:top w:val="nil"/>
              <w:left w:val="nil"/>
              <w:bottom w:val="single" w:color="000000" w:sz="4" w:space="0"/>
              <w:right w:val="nil"/>
            </w:tcBorders>
            <w:shd w:val="clear" w:color="auto" w:fill="auto"/>
            <w:noWrap/>
            <w:vAlign w:val="center"/>
          </w:tcPr>
          <w:p>
            <w:pPr>
              <w:ind w:firstLine="480"/>
            </w:pPr>
            <w:r>
              <w:rPr>
                <w:rFonts w:hint="eastAsia"/>
              </w:rPr>
              <w:t>2.6</w:t>
            </w:r>
          </w:p>
        </w:tc>
        <w:tc>
          <w:tcPr>
            <w:tcW w:w="1842" w:type="dxa"/>
            <w:tcBorders>
              <w:top w:val="nil"/>
              <w:left w:val="nil"/>
              <w:bottom w:val="single" w:color="000000" w:sz="4" w:space="0"/>
              <w:right w:val="nil"/>
            </w:tcBorders>
            <w:shd w:val="clear" w:color="auto" w:fill="auto"/>
            <w:noWrap/>
            <w:vAlign w:val="center"/>
          </w:tcPr>
          <w:p>
            <w:pPr>
              <w:ind w:firstLine="480"/>
            </w:pPr>
            <w:r>
              <w:rPr>
                <w:rFonts w:hint="eastAsia"/>
              </w:rPr>
              <w:t>3.16</w:t>
            </w:r>
          </w:p>
        </w:tc>
        <w:tc>
          <w:tcPr>
            <w:tcW w:w="2552" w:type="dxa"/>
            <w:tcBorders>
              <w:top w:val="nil"/>
              <w:left w:val="nil"/>
              <w:bottom w:val="single" w:color="000000" w:sz="4" w:space="0"/>
              <w:right w:val="nil"/>
            </w:tcBorders>
            <w:shd w:val="clear" w:color="auto" w:fill="auto"/>
            <w:noWrap/>
            <w:vAlign w:val="center"/>
          </w:tcPr>
          <w:p>
            <w:pPr>
              <w:ind w:firstLine="480"/>
            </w:pPr>
            <w:r>
              <w:rPr>
                <w:rFonts w:hint="eastAsia"/>
              </w:rPr>
              <w:t>-0.57***</w:t>
            </w:r>
          </w:p>
        </w:tc>
      </w:tr>
    </w:tbl>
    <w:p>
      <w:pPr>
        <w:spacing w:after="156" w:afterLines="50" w:line="240" w:lineRule="auto"/>
        <w:ind w:firstLine="0" w:firstLineChars="0"/>
        <w:jc w:val="center"/>
      </w:pPr>
      <w:r>
        <w:rPr>
          <w:rFonts w:hint="eastAsia"/>
        </w:rPr>
        <w:t>表1</w:t>
      </w:r>
      <w:r>
        <w:t>:</w:t>
      </w:r>
      <w:r>
        <w:rPr>
          <w:rFonts w:hint="eastAsia"/>
        </w:rPr>
        <w:t>不同年龄组遭受家暴与不遭受家暴女性生育数量对比</w:t>
      </w:r>
    </w:p>
    <w:p>
      <w:pPr>
        <w:ind w:firstLine="480"/>
      </w:pPr>
      <w:r>
        <w:rPr>
          <w:rFonts w:hint="eastAsia"/>
        </w:rPr>
        <w:t>表2展示了家暴组与非家暴组丈夫与妻子的相对生收入，从全样本来看，家暴组女性相对于丈夫的收入是高于非家暴组的，但是这一差异并不显著。如果按照丈夫收入在0</w:t>
      </w:r>
      <w:r>
        <w:t>.25</w:t>
      </w:r>
      <w:r>
        <w:rPr>
          <w:rFonts w:hint="eastAsia"/>
        </w:rPr>
        <w:t>，0</w:t>
      </w:r>
      <w:r>
        <w:t>.5</w:t>
      </w:r>
      <w:r>
        <w:rPr>
          <w:rFonts w:hint="eastAsia"/>
        </w:rPr>
        <w:t>以及0</w:t>
      </w:r>
      <w:r>
        <w:t>.75</w:t>
      </w:r>
      <w:r>
        <w:rPr>
          <w:rFonts w:hint="eastAsia"/>
        </w:rPr>
        <w:t>的百分点进行分组，就得到了更为明显的结论：如图1所示：在丈夫收入较低的群体，女性收入的增加反而增大了被家暴的可能，这说明我国可能存在“男性反冲”现象的。具体情况值得进一步分析。</w:t>
      </w:r>
    </w:p>
    <w:p>
      <w:pPr>
        <w:ind w:firstLine="480"/>
        <w:rPr>
          <w:rFonts w:hint="eastAsia"/>
        </w:rPr>
      </w:pPr>
    </w:p>
    <w:tbl>
      <w:tblPr>
        <w:tblStyle w:val="8"/>
        <w:tblW w:w="8222" w:type="dxa"/>
        <w:jc w:val="center"/>
        <w:tblLayout w:type="autofit"/>
        <w:tblCellMar>
          <w:top w:w="0" w:type="dxa"/>
          <w:left w:w="108" w:type="dxa"/>
          <w:bottom w:w="0" w:type="dxa"/>
          <w:right w:w="108" w:type="dxa"/>
        </w:tblCellMar>
      </w:tblPr>
      <w:tblGrid>
        <w:gridCol w:w="2835"/>
        <w:gridCol w:w="1701"/>
        <w:gridCol w:w="1701"/>
        <w:gridCol w:w="1985"/>
      </w:tblGrid>
      <w:tr>
        <w:trPr>
          <w:trHeight w:val="335" w:hRule="atLeast"/>
          <w:jc w:val="center"/>
        </w:trPr>
        <w:tc>
          <w:tcPr>
            <w:tcW w:w="2835" w:type="dxa"/>
            <w:tcBorders>
              <w:top w:val="single" w:color="000000" w:sz="4" w:space="0"/>
              <w:left w:val="nil"/>
              <w:bottom w:val="single" w:color="auto" w:sz="4" w:space="0"/>
              <w:right w:val="nil"/>
            </w:tcBorders>
            <w:shd w:val="clear" w:color="auto" w:fill="auto"/>
            <w:noWrap/>
            <w:vAlign w:val="center"/>
          </w:tcPr>
          <w:p>
            <w:pPr>
              <w:ind w:firstLine="0" w:firstLineChars="0"/>
              <w:jc w:val="left"/>
            </w:pPr>
            <w:r>
              <w:rPr>
                <w:rFonts w:hint="eastAsia"/>
              </w:rPr>
              <w:t>年龄组</w:t>
            </w:r>
          </w:p>
        </w:tc>
        <w:tc>
          <w:tcPr>
            <w:tcW w:w="1701" w:type="dxa"/>
            <w:tcBorders>
              <w:top w:val="single" w:color="000000" w:sz="4" w:space="0"/>
              <w:left w:val="nil"/>
              <w:bottom w:val="single" w:color="auto" w:sz="4" w:space="0"/>
              <w:right w:val="nil"/>
            </w:tcBorders>
            <w:shd w:val="clear" w:color="auto" w:fill="auto"/>
            <w:noWrap/>
            <w:vAlign w:val="center"/>
          </w:tcPr>
          <w:p>
            <w:pPr>
              <w:ind w:firstLine="0" w:firstLineChars="0"/>
              <w:jc w:val="center"/>
            </w:pPr>
            <w:r>
              <w:rPr>
                <w:rFonts w:hint="eastAsia"/>
              </w:rPr>
              <w:t>不家暴组</w:t>
            </w:r>
          </w:p>
        </w:tc>
        <w:tc>
          <w:tcPr>
            <w:tcW w:w="1701" w:type="dxa"/>
            <w:tcBorders>
              <w:top w:val="single" w:color="000000" w:sz="4" w:space="0"/>
              <w:left w:val="nil"/>
              <w:bottom w:val="single" w:color="auto" w:sz="4" w:space="0"/>
              <w:right w:val="nil"/>
            </w:tcBorders>
            <w:shd w:val="clear" w:color="auto" w:fill="auto"/>
            <w:noWrap/>
            <w:vAlign w:val="center"/>
          </w:tcPr>
          <w:p>
            <w:pPr>
              <w:ind w:firstLine="0" w:firstLineChars="0"/>
              <w:jc w:val="center"/>
            </w:pPr>
            <w:r>
              <w:rPr>
                <w:rFonts w:hint="eastAsia"/>
              </w:rPr>
              <w:t>家暴组</w:t>
            </w:r>
          </w:p>
        </w:tc>
        <w:tc>
          <w:tcPr>
            <w:tcW w:w="1985" w:type="dxa"/>
            <w:tcBorders>
              <w:top w:val="single" w:color="000000" w:sz="4" w:space="0"/>
              <w:left w:val="nil"/>
              <w:bottom w:val="single" w:color="auto" w:sz="4" w:space="0"/>
              <w:right w:val="nil"/>
            </w:tcBorders>
            <w:shd w:val="clear" w:color="auto" w:fill="auto"/>
            <w:noWrap/>
            <w:vAlign w:val="center"/>
          </w:tcPr>
          <w:p>
            <w:pPr>
              <w:ind w:firstLine="0" w:firstLineChars="0"/>
              <w:jc w:val="center"/>
            </w:pPr>
            <w:r>
              <w:rPr>
                <w:rFonts w:hint="eastAsia"/>
              </w:rPr>
              <w:t>组间差异</w:t>
            </w:r>
          </w:p>
        </w:tc>
      </w:tr>
      <w:tr>
        <w:trPr>
          <w:trHeight w:val="335" w:hRule="atLeast"/>
          <w:jc w:val="center"/>
        </w:trPr>
        <w:tc>
          <w:tcPr>
            <w:tcW w:w="2835" w:type="dxa"/>
            <w:tcBorders>
              <w:left w:val="nil"/>
              <w:right w:val="nil"/>
            </w:tcBorders>
            <w:shd w:val="clear" w:color="auto" w:fill="auto"/>
            <w:noWrap/>
            <w:vAlign w:val="bottom"/>
          </w:tcPr>
          <w:p>
            <w:pPr>
              <w:ind w:firstLine="0" w:firstLineChars="0"/>
            </w:pPr>
            <w:r>
              <w:rPr>
                <w:rFonts w:hint="eastAsia"/>
              </w:rPr>
              <w:t>妻子年收入（元）</w:t>
            </w:r>
          </w:p>
        </w:tc>
        <w:tc>
          <w:tcPr>
            <w:tcW w:w="1701" w:type="dxa"/>
            <w:tcBorders>
              <w:left w:val="nil"/>
              <w:right w:val="nil"/>
            </w:tcBorders>
            <w:shd w:val="clear" w:color="auto" w:fill="auto"/>
            <w:noWrap/>
            <w:vAlign w:val="bottom"/>
          </w:tcPr>
          <w:p>
            <w:pPr>
              <w:ind w:firstLine="0" w:firstLineChars="0"/>
              <w:jc w:val="center"/>
            </w:pPr>
            <w:r>
              <w:rPr>
                <w:rFonts w:hint="eastAsia"/>
              </w:rPr>
              <w:t>14264</w:t>
            </w:r>
          </w:p>
        </w:tc>
        <w:tc>
          <w:tcPr>
            <w:tcW w:w="1701" w:type="dxa"/>
            <w:tcBorders>
              <w:left w:val="nil"/>
              <w:right w:val="nil"/>
            </w:tcBorders>
            <w:shd w:val="clear" w:color="auto" w:fill="auto"/>
            <w:noWrap/>
            <w:vAlign w:val="bottom"/>
          </w:tcPr>
          <w:p>
            <w:pPr>
              <w:ind w:firstLine="0" w:firstLineChars="0"/>
              <w:jc w:val="center"/>
            </w:pPr>
            <w:r>
              <w:rPr>
                <w:rFonts w:hint="eastAsia"/>
              </w:rPr>
              <w:t>16445</w:t>
            </w:r>
          </w:p>
        </w:tc>
        <w:tc>
          <w:tcPr>
            <w:tcW w:w="1985" w:type="dxa"/>
            <w:tcBorders>
              <w:left w:val="nil"/>
              <w:right w:val="nil"/>
            </w:tcBorders>
            <w:shd w:val="clear" w:color="auto" w:fill="auto"/>
            <w:noWrap/>
            <w:vAlign w:val="bottom"/>
          </w:tcPr>
          <w:p>
            <w:pPr>
              <w:ind w:firstLine="0" w:firstLineChars="0"/>
              <w:jc w:val="center"/>
            </w:pPr>
            <w:r>
              <w:rPr>
                <w:rFonts w:hint="eastAsia"/>
              </w:rPr>
              <w:t>-2181</w:t>
            </w:r>
          </w:p>
        </w:tc>
      </w:tr>
      <w:tr>
        <w:trPr>
          <w:trHeight w:val="335" w:hRule="atLeast"/>
          <w:jc w:val="center"/>
        </w:trPr>
        <w:tc>
          <w:tcPr>
            <w:tcW w:w="2835" w:type="dxa"/>
            <w:tcBorders>
              <w:left w:val="nil"/>
              <w:right w:val="nil"/>
            </w:tcBorders>
            <w:shd w:val="clear" w:color="auto" w:fill="auto"/>
            <w:noWrap/>
            <w:vAlign w:val="bottom"/>
          </w:tcPr>
          <w:p>
            <w:pPr>
              <w:ind w:firstLine="0" w:firstLineChars="0"/>
            </w:pPr>
            <w:r>
              <w:rPr>
                <w:rFonts w:hint="eastAsia"/>
              </w:rPr>
              <w:t>丈夫年收入（元）</w:t>
            </w:r>
          </w:p>
        </w:tc>
        <w:tc>
          <w:tcPr>
            <w:tcW w:w="1701" w:type="dxa"/>
            <w:tcBorders>
              <w:left w:val="nil"/>
              <w:right w:val="nil"/>
            </w:tcBorders>
            <w:shd w:val="clear" w:color="auto" w:fill="auto"/>
            <w:noWrap/>
            <w:vAlign w:val="bottom"/>
          </w:tcPr>
          <w:p>
            <w:pPr>
              <w:ind w:firstLine="0" w:firstLineChars="0"/>
              <w:jc w:val="center"/>
            </w:pPr>
            <w:r>
              <w:rPr>
                <w:rFonts w:hint="eastAsia"/>
              </w:rPr>
              <w:t>21121</w:t>
            </w:r>
          </w:p>
        </w:tc>
        <w:tc>
          <w:tcPr>
            <w:tcW w:w="1701" w:type="dxa"/>
            <w:tcBorders>
              <w:left w:val="nil"/>
              <w:right w:val="nil"/>
            </w:tcBorders>
            <w:shd w:val="clear" w:color="auto" w:fill="auto"/>
            <w:noWrap/>
            <w:vAlign w:val="bottom"/>
          </w:tcPr>
          <w:p>
            <w:pPr>
              <w:ind w:firstLine="0" w:firstLineChars="0"/>
              <w:jc w:val="center"/>
            </w:pPr>
            <w:r>
              <w:rPr>
                <w:rFonts w:hint="eastAsia"/>
              </w:rPr>
              <w:t>14281</w:t>
            </w:r>
          </w:p>
        </w:tc>
        <w:tc>
          <w:tcPr>
            <w:tcW w:w="1985" w:type="dxa"/>
            <w:tcBorders>
              <w:left w:val="nil"/>
              <w:right w:val="nil"/>
            </w:tcBorders>
            <w:shd w:val="clear" w:color="auto" w:fill="auto"/>
            <w:noWrap/>
            <w:vAlign w:val="bottom"/>
          </w:tcPr>
          <w:p>
            <w:pPr>
              <w:ind w:firstLine="0" w:firstLineChars="0"/>
              <w:jc w:val="center"/>
            </w:pPr>
            <w:r>
              <w:rPr>
                <w:rFonts w:hint="eastAsia"/>
              </w:rPr>
              <w:t>6839.86***</w:t>
            </w:r>
          </w:p>
        </w:tc>
      </w:tr>
      <w:tr>
        <w:trPr>
          <w:trHeight w:val="335" w:hRule="atLeast"/>
          <w:jc w:val="center"/>
        </w:trPr>
        <w:tc>
          <w:tcPr>
            <w:tcW w:w="2835" w:type="dxa"/>
            <w:tcBorders>
              <w:top w:val="nil"/>
              <w:left w:val="nil"/>
              <w:bottom w:val="single" w:color="auto" w:sz="4" w:space="0"/>
              <w:right w:val="nil"/>
            </w:tcBorders>
            <w:shd w:val="clear" w:color="auto" w:fill="auto"/>
            <w:noWrap/>
            <w:vAlign w:val="bottom"/>
          </w:tcPr>
          <w:p>
            <w:pPr>
              <w:ind w:firstLine="0" w:firstLineChars="0"/>
            </w:pPr>
            <w:r>
              <w:rPr>
                <w:rFonts w:hint="eastAsia"/>
              </w:rPr>
              <w:t>妻子收入/丈夫收入</w:t>
            </w:r>
          </w:p>
        </w:tc>
        <w:tc>
          <w:tcPr>
            <w:tcW w:w="1701" w:type="dxa"/>
            <w:tcBorders>
              <w:top w:val="nil"/>
              <w:left w:val="nil"/>
              <w:bottom w:val="single" w:color="auto" w:sz="4" w:space="0"/>
              <w:right w:val="nil"/>
            </w:tcBorders>
            <w:shd w:val="clear" w:color="auto" w:fill="auto"/>
            <w:noWrap/>
            <w:vAlign w:val="bottom"/>
          </w:tcPr>
          <w:p>
            <w:pPr>
              <w:ind w:firstLine="0" w:firstLineChars="0"/>
              <w:jc w:val="center"/>
            </w:pPr>
            <w:r>
              <w:rPr>
                <w:rFonts w:hint="eastAsia"/>
              </w:rPr>
              <w:t>0.960</w:t>
            </w:r>
          </w:p>
        </w:tc>
        <w:tc>
          <w:tcPr>
            <w:tcW w:w="1701" w:type="dxa"/>
            <w:tcBorders>
              <w:top w:val="nil"/>
              <w:left w:val="nil"/>
              <w:bottom w:val="single" w:color="auto" w:sz="4" w:space="0"/>
              <w:right w:val="nil"/>
            </w:tcBorders>
            <w:shd w:val="clear" w:color="auto" w:fill="auto"/>
            <w:noWrap/>
            <w:vAlign w:val="bottom"/>
          </w:tcPr>
          <w:p>
            <w:pPr>
              <w:ind w:firstLine="0" w:firstLineChars="0"/>
              <w:jc w:val="center"/>
            </w:pPr>
            <w:r>
              <w:rPr>
                <w:rFonts w:hint="eastAsia"/>
              </w:rPr>
              <w:t>1.040</w:t>
            </w:r>
          </w:p>
        </w:tc>
        <w:tc>
          <w:tcPr>
            <w:tcW w:w="1985" w:type="dxa"/>
            <w:tcBorders>
              <w:top w:val="nil"/>
              <w:left w:val="nil"/>
              <w:bottom w:val="single" w:color="auto" w:sz="4" w:space="0"/>
              <w:right w:val="nil"/>
            </w:tcBorders>
            <w:shd w:val="clear" w:color="auto" w:fill="auto"/>
            <w:noWrap/>
            <w:vAlign w:val="bottom"/>
          </w:tcPr>
          <w:p>
            <w:pPr>
              <w:ind w:firstLine="0" w:firstLineChars="0"/>
              <w:jc w:val="center"/>
            </w:pPr>
            <w:r>
              <w:rPr>
                <w:rFonts w:hint="eastAsia"/>
              </w:rPr>
              <w:t>-0.0800</w:t>
            </w:r>
          </w:p>
        </w:tc>
      </w:tr>
    </w:tbl>
    <w:p>
      <w:pPr>
        <w:spacing w:after="156" w:afterLines="50" w:line="240" w:lineRule="auto"/>
        <w:ind w:firstLine="0" w:firstLineChars="0"/>
        <w:jc w:val="center"/>
      </w:pPr>
      <w:r>
        <w:rPr>
          <w:rFonts w:hint="eastAsia"/>
        </w:rPr>
        <w:t>表2</w:t>
      </w:r>
      <w:r>
        <w:t>:</w:t>
      </w:r>
      <w:r>
        <w:rPr>
          <w:rFonts w:hint="eastAsia"/>
        </w:rPr>
        <w:t>家暴组与非家暴组妻子丈夫收入的相对水平对比</w:t>
      </w:r>
    </w:p>
    <w:p>
      <w:pPr>
        <w:spacing w:after="156" w:afterLines="50" w:line="240" w:lineRule="auto"/>
        <w:ind w:firstLine="0" w:firstLineChars="0"/>
        <w:jc w:val="center"/>
      </w:pPr>
    </w:p>
    <w:p>
      <w:pPr>
        <w:spacing w:after="156" w:afterLines="50" w:line="240" w:lineRule="auto"/>
        <w:ind w:firstLine="0" w:firstLineChars="0"/>
        <w:jc w:val="center"/>
      </w:pPr>
      <w:r>
        <w:drawing>
          <wp:inline distT="0" distB="0" distL="0" distR="0">
            <wp:extent cx="4486910" cy="2817495"/>
            <wp:effectExtent l="0" t="0" r="8890" b="14605"/>
            <wp:docPr id="4651754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spacing w:after="156" w:afterLines="50" w:line="240" w:lineRule="auto"/>
        <w:ind w:firstLine="0" w:firstLineChars="0"/>
        <w:jc w:val="center"/>
      </w:pPr>
      <w:r>
        <w:rPr>
          <w:rFonts w:hint="eastAsia"/>
        </w:rPr>
        <w:t>图2</w:t>
      </w:r>
      <w:r>
        <w:t>:</w:t>
      </w:r>
      <w:r>
        <w:rPr>
          <w:rFonts w:hint="eastAsia"/>
        </w:rPr>
        <w:t>按照丈夫收入水平进行分类的妻子/丈夫收入水平对比</w:t>
      </w:r>
    </w:p>
    <w:p>
      <w:pPr>
        <w:pStyle w:val="4"/>
      </w:pPr>
      <w:r>
        <w:rPr>
          <w:rFonts w:hint="eastAsia"/>
        </w:rPr>
        <w:t>实证策略</w:t>
      </w:r>
    </w:p>
    <w:p>
      <w:pPr>
        <w:ind w:firstLine="480"/>
      </w:pPr>
      <w:r>
        <w:rPr>
          <w:rFonts w:hint="eastAsia"/>
        </w:rPr>
        <w:t>在探究女性生育对受到家暴概率的影响时，OLS估计模型如下：</w:t>
      </w:r>
    </w:p>
    <w:p>
      <w:pPr>
        <w:ind w:firstLine="480"/>
        <w:jc w:val="center"/>
      </w:pPr>
      <m:oMath>
        <m:r>
          <m:rPr/>
          <w:rPr>
            <w:rFonts w:hint="eastAsia" w:ascii="Cambria Math" w:hAnsi="Cambria Math"/>
          </w:rPr>
          <m:t>Abus</m:t>
        </m:r>
        <m:sSub>
          <m:sSubPr>
            <m:ctrlPr>
              <w:rPr>
                <w:rFonts w:ascii="Cambria Math" w:hAnsi="Cambria Math"/>
                <w:i/>
              </w:rPr>
            </m:ctrlPr>
          </m:sSubPr>
          <m:e>
            <m:r>
              <m:rPr/>
              <w:rPr>
                <w:rFonts w:hint="eastAsia" w:ascii="Cambria Math" w:hAnsi="Cambria Math"/>
              </w:rPr>
              <m:t>e</m:t>
            </m:r>
            <m:ctrlPr>
              <w:rPr>
                <w:rFonts w:hint="eastAsia" w:ascii="Cambria Math" w:hAnsi="Cambria Math"/>
                <w:i/>
              </w:rPr>
            </m:ctrlPr>
          </m:e>
          <m:sub>
            <m:r>
              <m:rPr/>
              <w:rPr>
                <w:rFonts w:ascii="Cambria Math" w:hAnsi="Cambria Math"/>
              </w:rPr>
              <m:t>ijt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F</m:t>
        </m:r>
        <m:r>
          <m:rPr/>
          <w:rPr>
            <w:rFonts w:hint="eastAsia" w:ascii="Cambria Math" w:hAnsi="Cambria Math"/>
          </w:rPr>
          <m:t>ertilit</m:t>
        </m:r>
        <m:sSub>
          <m:sSubPr>
            <m:ctrlPr>
              <w:rPr>
                <w:rFonts w:ascii="Cambria Math" w:hAnsi="Cambria Math"/>
                <w:i/>
              </w:rPr>
            </m:ctrlPr>
          </m:sSubPr>
          <m:e>
            <m:r>
              <m:rPr/>
              <w:rPr>
                <w:rFonts w:hint="eastAsia" w:ascii="Cambria Math" w:hAnsi="Cambria Math"/>
              </w:rPr>
              <m:t>y</m:t>
            </m:r>
            <m:ctrlPr>
              <w:rPr>
                <w:rFonts w:hint="eastAsia" w:ascii="Cambria Math" w:hAnsi="Cambria Math"/>
                <w:i/>
              </w:rPr>
            </m:ctrlPr>
          </m:e>
          <m:sub>
            <m:r>
              <m:rPr/>
              <w:rPr>
                <w:rFonts w:ascii="Cambria Math" w:hAnsi="Cambria Math"/>
              </w:rPr>
              <m:t>ijt</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ijt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γ</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ijt</m:t>
            </m:r>
            <m:ctrlPr>
              <w:rPr>
                <w:rFonts w:ascii="Cambria Math" w:hAnsi="Cambria Math"/>
                <w:i/>
              </w:rPr>
            </m:ctrlPr>
          </m:sub>
        </m:sSub>
      </m:oMath>
      <w:r>
        <w:tab/>
      </w:r>
      <w:r>
        <w:tab/>
      </w:r>
      <w:r>
        <w:tab/>
      </w:r>
      <w:r>
        <w:rPr>
          <w:rFonts w:hint="eastAsia"/>
        </w:rPr>
        <w:t>（</w:t>
      </w:r>
      <w:r>
        <w:t>1</w:t>
      </w:r>
      <w:r>
        <w:rPr>
          <w:rFonts w:hint="eastAsia"/>
        </w:rPr>
        <w:t>）</w:t>
      </w:r>
    </w:p>
    <w:p>
      <w:pPr>
        <w:ind w:firstLine="480"/>
      </w:pPr>
      <w:r>
        <w:rPr>
          <w:rFonts w:hint="eastAsia"/>
        </w:rPr>
        <w:t>其中</w:t>
      </w:r>
      <m:oMath>
        <m:r>
          <m:rPr/>
          <w:rPr>
            <w:rFonts w:hint="eastAsia" w:ascii="Cambria Math" w:hAnsi="Cambria Math"/>
          </w:rPr>
          <m:t>i</m:t>
        </m:r>
      </m:oMath>
      <w:r>
        <w:rPr>
          <w:rFonts w:hint="eastAsia"/>
        </w:rPr>
        <w:t>表示个体，</w:t>
      </w:r>
      <m:oMath>
        <m:r>
          <m:rPr/>
          <w:rPr>
            <w:rFonts w:hint="eastAsia" w:ascii="Cambria Math" w:hAnsi="Cambria Math"/>
          </w:rPr>
          <m:t>j</m:t>
        </m:r>
      </m:oMath>
      <w:r>
        <w:rPr>
          <w:rFonts w:hint="eastAsia"/>
        </w:rPr>
        <w:t>表示个体所在省份，</w:t>
      </w:r>
      <m:oMath>
        <m:r>
          <m:rPr/>
          <w:rPr>
            <w:rFonts w:hint="eastAsia" w:ascii="Cambria Math" w:hAnsi="Cambria Math"/>
          </w:rPr>
          <m:t>t</m:t>
        </m:r>
      </m:oMath>
      <w:r>
        <w:rPr>
          <w:rFonts w:hint="eastAsia"/>
        </w:rPr>
        <w:t>表示调查年份。</w:t>
      </w:r>
      <m:oMath>
        <m:r>
          <m:rPr/>
          <w:rPr>
            <w:rFonts w:hint="eastAsia" w:ascii="Cambria Math" w:hAnsi="Cambria Math"/>
          </w:rPr>
          <m:t>Abus</m:t>
        </m:r>
        <m:sSub>
          <m:sSubPr>
            <m:ctrlPr>
              <w:rPr>
                <w:rFonts w:ascii="Cambria Math" w:hAnsi="Cambria Math"/>
                <w:i/>
              </w:rPr>
            </m:ctrlPr>
          </m:sSubPr>
          <m:e>
            <m:r>
              <m:rPr/>
              <w:rPr>
                <w:rFonts w:hint="eastAsia" w:ascii="Cambria Math" w:hAnsi="Cambria Math"/>
              </w:rPr>
              <m:t>e</m:t>
            </m:r>
            <m:ctrlPr>
              <w:rPr>
                <w:rFonts w:hint="eastAsia" w:ascii="Cambria Math" w:hAnsi="Cambria Math"/>
                <w:i/>
              </w:rPr>
            </m:ctrlPr>
          </m:e>
          <m:sub>
            <m:r>
              <m:rPr/>
              <w:rPr>
                <w:rFonts w:ascii="Cambria Math" w:hAnsi="Cambria Math"/>
              </w:rPr>
              <m:t>ijt</m:t>
            </m:r>
            <m:ctrlPr>
              <w:rPr>
                <w:rFonts w:ascii="Cambria Math" w:hAnsi="Cambria Math"/>
                <w:i/>
              </w:rPr>
            </m:ctrlPr>
          </m:sub>
        </m:sSub>
      </m:oMath>
      <w:r>
        <w:rPr>
          <w:rFonts w:hint="eastAsia"/>
        </w:rPr>
        <w:t>表示j省份的个体</w:t>
      </w:r>
      <m:oMath>
        <m:r>
          <m:rPr/>
          <w:rPr>
            <w:rFonts w:hint="eastAsia" w:ascii="Cambria Math" w:hAnsi="Cambria Math"/>
          </w:rPr>
          <m:t>i</m:t>
        </m:r>
      </m:oMath>
      <w:r>
        <w:rPr>
          <w:rFonts w:hint="eastAsia"/>
        </w:rPr>
        <w:t>在</w:t>
      </w:r>
      <m:oMath>
        <m:r>
          <m:rPr/>
          <w:rPr>
            <w:rFonts w:hint="eastAsia" w:ascii="Cambria Math" w:hAnsi="Cambria Math"/>
          </w:rPr>
          <m:t>t</m:t>
        </m:r>
      </m:oMath>
      <w:r>
        <w:rPr>
          <w:rFonts w:hint="eastAsia"/>
        </w:rPr>
        <w:t>年是否遭受了家暴，</w:t>
      </w:r>
      <m:oMath>
        <m:r>
          <m:rPr/>
          <w:rPr>
            <w:rFonts w:ascii="Cambria Math" w:hAnsi="Cambria Math"/>
          </w:rPr>
          <m:t>F</m:t>
        </m:r>
        <m:r>
          <m:rPr/>
          <w:rPr>
            <w:rFonts w:hint="eastAsia" w:ascii="Cambria Math" w:hAnsi="Cambria Math"/>
          </w:rPr>
          <m:t>ertilit</m:t>
        </m:r>
        <m:sSub>
          <m:sSubPr>
            <m:ctrlPr>
              <w:rPr>
                <w:rFonts w:ascii="Cambria Math" w:hAnsi="Cambria Math"/>
                <w:i/>
              </w:rPr>
            </m:ctrlPr>
          </m:sSubPr>
          <m:e>
            <m:r>
              <m:rPr/>
              <w:rPr>
                <w:rFonts w:hint="eastAsia" w:ascii="Cambria Math" w:hAnsi="Cambria Math"/>
              </w:rPr>
              <m:t>y</m:t>
            </m:r>
            <m:ctrlPr>
              <w:rPr>
                <w:rFonts w:hint="eastAsia" w:ascii="Cambria Math" w:hAnsi="Cambria Math"/>
                <w:i/>
              </w:rPr>
            </m:ctrlPr>
          </m:e>
          <m:sub>
            <m:r>
              <m:rPr/>
              <w:rPr>
                <w:rFonts w:ascii="Cambria Math" w:hAnsi="Cambria Math"/>
              </w:rPr>
              <m:t>ijt</m:t>
            </m:r>
            <m:ctrlPr>
              <w:rPr>
                <w:rFonts w:ascii="Cambria Math" w:hAnsi="Cambria Math"/>
                <w:i/>
              </w:rPr>
            </m:ctrlPr>
          </m:sub>
        </m:sSub>
      </m:oMath>
      <w:r>
        <w:rPr>
          <w:rFonts w:hint="eastAsia"/>
        </w:rPr>
        <w:t>表示个体</w:t>
      </w:r>
      <m:oMath>
        <m:r>
          <m:rPr/>
          <w:rPr>
            <w:rFonts w:hint="eastAsia" w:ascii="Cambria Math" w:hAnsi="Cambria Math"/>
          </w:rPr>
          <m:t>i</m:t>
        </m:r>
      </m:oMath>
      <w:r>
        <w:rPr>
          <w:rFonts w:hint="eastAsia"/>
        </w:rPr>
        <w:t>在</w:t>
      </w:r>
      <m:oMath>
        <m:r>
          <m:rPr/>
          <w:rPr>
            <w:rFonts w:hint="eastAsia" w:ascii="Cambria Math" w:hAnsi="Cambria Math"/>
          </w:rPr>
          <m:t>t</m:t>
        </m:r>
      </m:oMath>
      <w:r>
        <w:rPr>
          <w:rFonts w:hint="eastAsia"/>
        </w:rPr>
        <w:t>年的生育情况，</w:t>
      </w:r>
      <m:oMath>
        <m:r>
          <m:rPr/>
          <w:rPr>
            <w:rFonts w:hint="eastAsia" w:ascii="Cambria Math" w:hAnsi="Cambria Math"/>
          </w:rPr>
          <m:t>X</m:t>
        </m:r>
      </m:oMath>
      <w:r>
        <w:rPr>
          <w:rFonts w:hint="eastAsia"/>
        </w:rPr>
        <w:t>表示一系列个体和家庭特征，</w:t>
      </w:r>
      <m:oMath>
        <m:sSub>
          <m:sSubPr>
            <m:ctrlPr>
              <w:rPr>
                <w:rFonts w:ascii="Cambria Math" w:hAnsi="Cambria Math"/>
                <w:i/>
              </w:rPr>
            </m:ctrlPr>
          </m:sSubPr>
          <m:e>
            <m:r>
              <m:rPr/>
              <w:rPr>
                <w:rFonts w:ascii="Cambria Math" w:hAnsi="Cambria Math"/>
              </w:rPr>
              <m:t>γ</m:t>
            </m:r>
            <m:ctrlPr>
              <w:rPr>
                <w:rFonts w:ascii="Cambria Math" w:hAnsi="Cambria Math"/>
                <w:i/>
              </w:rPr>
            </m:ctrlPr>
          </m:e>
          <m:sub>
            <m:r>
              <m:rPr/>
              <w:rPr>
                <w:rFonts w:ascii="Cambria Math" w:hAnsi="Cambria Math"/>
              </w:rPr>
              <m:t>j</m:t>
            </m:r>
            <m:ctrlPr>
              <w:rPr>
                <w:rFonts w:ascii="Cambria Math" w:hAnsi="Cambria Math"/>
                <w:i/>
              </w:rPr>
            </m:ctrlPr>
          </m:sub>
        </m:sSub>
      </m:oMath>
      <w:r>
        <w:rPr>
          <w:rFonts w:hint="eastAsia"/>
        </w:rPr>
        <w:t>与</w:t>
      </w: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分别表示省份固定效应和时间固定效应。所有回归都包含一系列基础控制，包括个体的民族、户口、受教育水平以及父母的受教育水平。</w:t>
      </w:r>
    </w:p>
    <w:p>
      <w:pPr>
        <w:ind w:firstLine="480"/>
      </w:pPr>
      <w:r>
        <w:rPr>
          <w:rFonts w:hint="eastAsia"/>
        </w:rPr>
        <w:t>在探究婚姻匹配对受到家暴概率的影响时，OLS估计模型如下：</w:t>
      </w:r>
    </w:p>
    <w:p>
      <w:pPr>
        <w:ind w:firstLine="480"/>
        <w:jc w:val="center"/>
      </w:pPr>
      <m:oMath>
        <m:r>
          <m:rPr/>
          <w:rPr>
            <w:rFonts w:hint="eastAsia" w:ascii="Cambria Math" w:hAnsi="Cambria Math"/>
          </w:rPr>
          <m:t>Abus</m:t>
        </m:r>
        <m:sSub>
          <m:sSubPr>
            <m:ctrlPr>
              <w:rPr>
                <w:rFonts w:ascii="Cambria Math" w:hAnsi="Cambria Math"/>
                <w:i/>
              </w:rPr>
            </m:ctrlPr>
          </m:sSubPr>
          <m:e>
            <m:r>
              <m:rPr/>
              <w:rPr>
                <w:rFonts w:hint="eastAsia" w:ascii="Cambria Math" w:hAnsi="Cambria Math"/>
              </w:rPr>
              <m:t>e</m:t>
            </m:r>
            <m:ctrlPr>
              <w:rPr>
                <w:rFonts w:hint="eastAsia" w:ascii="Cambria Math" w:hAnsi="Cambria Math"/>
                <w:i/>
              </w:rPr>
            </m:ctrlPr>
          </m:e>
          <m:sub>
            <m:r>
              <m:rPr/>
              <w:rPr>
                <w:rFonts w:ascii="Cambria Math" w:hAnsi="Cambria Math"/>
              </w:rPr>
              <m:t>ijt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Ma</m:t>
        </m:r>
        <m:r>
          <m:rPr/>
          <w:rPr>
            <w:rFonts w:hint="eastAsia" w:ascii="Cambria Math" w:hAnsi="Cambria Math"/>
          </w:rPr>
          <m:t>tc</m:t>
        </m:r>
        <m:sSub>
          <m:sSubPr>
            <m:ctrlPr>
              <w:rPr>
                <w:rFonts w:ascii="Cambria Math" w:hAnsi="Cambria Math" w:cs="Cambria Math"/>
                <w:i/>
              </w:rPr>
            </m:ctrlPr>
          </m:sSubPr>
          <m:e>
            <m:r>
              <m:rPr/>
              <w:rPr>
                <w:rFonts w:ascii="Cambria Math" w:hAnsi="Cambria Math" w:cs="Cambria Math"/>
              </w:rPr>
              <m:t>ℎ</m:t>
            </m:r>
            <m:ctrlPr>
              <w:rPr>
                <w:rFonts w:ascii="Cambria Math" w:hAnsi="Cambria Math" w:cs="Cambria Math"/>
                <w:i/>
              </w:rPr>
            </m:ctrlPr>
          </m:e>
          <m:sub>
            <m:r>
              <m:rPr/>
              <w:rPr>
                <w:rFonts w:ascii="Cambria Math" w:hAnsi="Cambria Math" w:cs="Cambria Math"/>
              </w:rPr>
              <m:t>ijt</m:t>
            </m:r>
            <m:ctrlPr>
              <w:rPr>
                <w:rFonts w:ascii="Cambria Math" w:hAnsi="Cambria Math" w:cs="Cambria Math"/>
                <w:i/>
              </w:rPr>
            </m:ctrlPr>
          </m:sub>
        </m:sSub>
        <m:r>
          <m:rPr/>
          <w:rPr>
            <w:rFonts w:hint="eastAsia"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ascii="Cambria Math" w:hAnsi="Cambria Math"/>
              </w:rPr>
              <m:t>ijt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γ</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ijt</m:t>
            </m:r>
            <m:ctrlPr>
              <w:rPr>
                <w:rFonts w:ascii="Cambria Math" w:hAnsi="Cambria Math"/>
                <w:i/>
              </w:rPr>
            </m:ctrlPr>
          </m:sub>
        </m:sSub>
      </m:oMath>
      <w:r>
        <w:tab/>
      </w:r>
      <w:r>
        <w:tab/>
      </w:r>
      <w:r>
        <w:tab/>
      </w:r>
      <w:r>
        <w:rPr>
          <w:rFonts w:hint="eastAsia"/>
        </w:rPr>
        <w:t>（</w:t>
      </w:r>
      <w:r>
        <w:t>2</w:t>
      </w:r>
      <w:r>
        <w:rPr>
          <w:rFonts w:hint="eastAsia"/>
        </w:rPr>
        <w:t>）</w:t>
      </w:r>
    </w:p>
    <w:p>
      <w:pPr>
        <w:ind w:firstLine="480"/>
      </w:pPr>
      <w:r>
        <w:rPr>
          <w:rFonts w:hint="eastAsia"/>
        </w:rPr>
        <w:t>（2）式与（1）式基本相似，其中</w:t>
      </w:r>
      <m:oMath>
        <m:r>
          <m:rPr/>
          <w:rPr>
            <w:rFonts w:ascii="Cambria Math" w:hAnsi="Cambria Math"/>
          </w:rPr>
          <m:t>Ma</m:t>
        </m:r>
        <m:r>
          <m:rPr/>
          <w:rPr>
            <w:rFonts w:hint="eastAsia" w:ascii="Cambria Math" w:hAnsi="Cambria Math"/>
          </w:rPr>
          <m:t>tc</m:t>
        </m:r>
        <m:sSub>
          <m:sSubPr>
            <m:ctrlPr>
              <w:rPr>
                <w:rFonts w:ascii="Cambria Math" w:hAnsi="Cambria Math" w:cs="Cambria Math"/>
                <w:i/>
              </w:rPr>
            </m:ctrlPr>
          </m:sSubPr>
          <m:e>
            <m:r>
              <m:rPr/>
              <w:rPr>
                <w:rFonts w:ascii="Cambria Math" w:hAnsi="Cambria Math" w:cs="Cambria Math"/>
              </w:rPr>
              <m:t>ℎ</m:t>
            </m:r>
            <m:ctrlPr>
              <w:rPr>
                <w:rFonts w:ascii="Cambria Math" w:hAnsi="Cambria Math" w:cs="Cambria Math"/>
                <w:i/>
              </w:rPr>
            </m:ctrlPr>
          </m:e>
          <m:sub>
            <m:r>
              <m:rPr/>
              <w:rPr>
                <w:rFonts w:ascii="Cambria Math" w:hAnsi="Cambria Math" w:cs="Cambria Math"/>
              </w:rPr>
              <m:t>ijt</m:t>
            </m:r>
            <m:ctrlPr>
              <w:rPr>
                <w:rFonts w:ascii="Cambria Math" w:hAnsi="Cambria Math" w:cs="Cambria Math"/>
                <w:i/>
              </w:rPr>
            </m:ctrlPr>
          </m:sub>
        </m:sSub>
      </m:oMath>
      <w:r>
        <w:rPr>
          <w:rFonts w:hint="eastAsia"/>
        </w:rPr>
        <w:t>表示家庭当中夫妻婚姻匹配程度，衡量了包括双方教育程度、收入以及就业等多个维度。所有回归都包含一系列基础控制，包括个体的民族、户口、受教育水平以及父母的受教育水平。</w:t>
      </w:r>
    </w:p>
    <w:p>
      <w:pPr>
        <w:pStyle w:val="2"/>
      </w:pPr>
      <w:r>
        <w:rPr>
          <w:rFonts w:hint="eastAsia"/>
        </w:rPr>
        <w:t>目录</w:t>
      </w:r>
    </w:p>
    <w:p>
      <w:pPr>
        <w:ind w:firstLine="480"/>
      </w:pPr>
      <w:r>
        <w:rPr>
          <w:rFonts w:hint="eastAsia"/>
        </w:rPr>
        <w:t>第一章 绪论</w:t>
      </w:r>
    </w:p>
    <w:p>
      <w:pPr>
        <w:ind w:left="240" w:leftChars="100" w:firstLine="480"/>
      </w:pPr>
      <w:r>
        <w:rPr>
          <w:rFonts w:hint="eastAsia"/>
        </w:rPr>
        <w:t>1.1研究背景</w:t>
      </w:r>
    </w:p>
    <w:p>
      <w:pPr>
        <w:ind w:left="240" w:leftChars="100" w:firstLine="480"/>
      </w:pPr>
      <w:r>
        <w:rPr>
          <w:rFonts w:hint="eastAsia"/>
        </w:rPr>
        <w:t>1.2</w:t>
      </w:r>
      <w:r>
        <w:t xml:space="preserve"> </w:t>
      </w:r>
      <w:r>
        <w:rPr>
          <w:rFonts w:hint="eastAsia"/>
        </w:rPr>
        <w:t>研究意义</w:t>
      </w:r>
    </w:p>
    <w:p>
      <w:pPr>
        <w:ind w:left="240" w:leftChars="100" w:firstLine="480"/>
      </w:pPr>
      <w:r>
        <w:rPr>
          <w:rFonts w:hint="eastAsia"/>
        </w:rPr>
        <w:t>1.3</w:t>
      </w:r>
      <w:r>
        <w:t xml:space="preserve"> </w:t>
      </w:r>
      <w:r>
        <w:rPr>
          <w:rFonts w:hint="eastAsia"/>
        </w:rPr>
        <w:t>研究内容方法</w:t>
      </w:r>
    </w:p>
    <w:p>
      <w:pPr>
        <w:ind w:left="480" w:leftChars="200" w:firstLine="480"/>
      </w:pPr>
      <w:r>
        <w:rPr>
          <w:rFonts w:hint="eastAsia"/>
        </w:rPr>
        <w:t>1.3.1研究内容</w:t>
      </w:r>
    </w:p>
    <w:p>
      <w:pPr>
        <w:ind w:left="480" w:leftChars="200" w:firstLine="480"/>
      </w:pPr>
      <w:r>
        <w:rPr>
          <w:rFonts w:hint="eastAsia"/>
        </w:rPr>
        <w:t>1.3.2</w:t>
      </w:r>
      <w:r>
        <w:t xml:space="preserve"> </w:t>
      </w:r>
      <w:r>
        <w:rPr>
          <w:rFonts w:hint="eastAsia"/>
        </w:rPr>
        <w:t>研究框架</w:t>
      </w:r>
    </w:p>
    <w:p>
      <w:pPr>
        <w:ind w:left="480" w:leftChars="200" w:firstLine="480"/>
      </w:pPr>
      <w:r>
        <w:rPr>
          <w:rFonts w:hint="eastAsia"/>
        </w:rPr>
        <w:t>1.3.3</w:t>
      </w:r>
      <w:r>
        <w:t xml:space="preserve"> </w:t>
      </w:r>
      <w:r>
        <w:rPr>
          <w:rFonts w:hint="eastAsia"/>
        </w:rPr>
        <w:t>研究方法</w:t>
      </w:r>
    </w:p>
    <w:p>
      <w:pPr>
        <w:ind w:left="240" w:leftChars="100" w:firstLine="480"/>
      </w:pPr>
      <w:r>
        <w:rPr>
          <w:rFonts w:hint="eastAsia"/>
        </w:rPr>
        <w:t>1.4</w:t>
      </w:r>
      <w:r>
        <w:t xml:space="preserve"> </w:t>
      </w:r>
      <w:r>
        <w:rPr>
          <w:rFonts w:hint="eastAsia"/>
        </w:rPr>
        <w:t>创新与不足</w:t>
      </w:r>
    </w:p>
    <w:p>
      <w:pPr>
        <w:ind w:left="480" w:leftChars="200" w:firstLine="480"/>
      </w:pPr>
      <w:r>
        <w:rPr>
          <w:rFonts w:hint="eastAsia"/>
        </w:rPr>
        <w:t>1.4.1</w:t>
      </w:r>
      <w:r>
        <w:t xml:space="preserve"> </w:t>
      </w:r>
      <w:r>
        <w:rPr>
          <w:rFonts w:hint="eastAsia"/>
        </w:rPr>
        <w:t>创新之处</w:t>
      </w:r>
    </w:p>
    <w:p>
      <w:pPr>
        <w:ind w:left="480" w:leftChars="200" w:firstLine="480"/>
      </w:pPr>
      <w:r>
        <w:rPr>
          <w:rFonts w:hint="eastAsia"/>
        </w:rPr>
        <w:t>1.4.2</w:t>
      </w:r>
      <w:r>
        <w:t xml:space="preserve"> </w:t>
      </w:r>
      <w:r>
        <w:rPr>
          <w:rFonts w:hint="eastAsia"/>
        </w:rPr>
        <w:t>不足与展望</w:t>
      </w:r>
    </w:p>
    <w:p>
      <w:pPr>
        <w:ind w:firstLine="480"/>
      </w:pPr>
      <w:r>
        <w:rPr>
          <w:rFonts w:hint="eastAsia"/>
        </w:rPr>
        <w:t>第二章 文献综述</w:t>
      </w:r>
    </w:p>
    <w:p>
      <w:pPr>
        <w:ind w:left="240" w:leftChars="100" w:firstLine="480"/>
      </w:pPr>
      <w:r>
        <w:rPr>
          <w:rFonts w:hint="eastAsia"/>
        </w:rPr>
        <w:t>2.1</w:t>
      </w:r>
      <w:r>
        <w:t xml:space="preserve"> </w:t>
      </w:r>
      <w:r>
        <w:rPr>
          <w:rFonts w:hint="eastAsia"/>
        </w:rPr>
        <w:t>家庭暴力</w:t>
      </w:r>
    </w:p>
    <w:p>
      <w:pPr>
        <w:ind w:left="480" w:leftChars="200" w:firstLine="480"/>
      </w:pPr>
      <w:r>
        <w:rPr>
          <w:rFonts w:hint="eastAsia"/>
        </w:rPr>
        <w:t>2.1.1</w:t>
      </w:r>
      <w:r>
        <w:t xml:space="preserve"> </w:t>
      </w:r>
      <w:r>
        <w:rPr>
          <w:rFonts w:hint="eastAsia"/>
        </w:rPr>
        <w:t>导致家庭暴力的影响因素</w:t>
      </w:r>
    </w:p>
    <w:p>
      <w:pPr>
        <w:ind w:left="480" w:leftChars="200" w:firstLine="480"/>
      </w:pPr>
      <w:r>
        <w:rPr>
          <w:rFonts w:hint="eastAsia"/>
        </w:rPr>
        <w:t>2.1.2</w:t>
      </w:r>
      <w:r>
        <w:t xml:space="preserve"> </w:t>
      </w:r>
      <w:r>
        <w:rPr>
          <w:rFonts w:hint="eastAsia"/>
        </w:rPr>
        <w:t>对家庭暴力的治理方式</w:t>
      </w:r>
    </w:p>
    <w:p>
      <w:pPr>
        <w:ind w:left="240" w:leftChars="100" w:firstLine="480"/>
      </w:pPr>
      <w:r>
        <w:rPr>
          <w:rFonts w:hint="eastAsia"/>
        </w:rPr>
        <w:t>2.2</w:t>
      </w:r>
      <w:r>
        <w:t xml:space="preserve"> </w:t>
      </w:r>
      <w:r>
        <w:rPr>
          <w:rFonts w:hint="eastAsia"/>
        </w:rPr>
        <w:t>女性生育与就业</w:t>
      </w:r>
    </w:p>
    <w:p>
      <w:pPr>
        <w:ind w:left="240" w:leftChars="100" w:firstLine="480"/>
      </w:pPr>
      <w:r>
        <w:rPr>
          <w:rFonts w:hint="eastAsia"/>
        </w:rPr>
        <w:t>2.3</w:t>
      </w:r>
      <w:r>
        <w:t xml:space="preserve"> </w:t>
      </w:r>
      <w:r>
        <w:rPr>
          <w:rFonts w:hint="eastAsia"/>
        </w:rPr>
        <w:t>婚姻市场匹配</w:t>
      </w:r>
    </w:p>
    <w:p>
      <w:pPr>
        <w:ind w:left="240" w:leftChars="100" w:firstLine="480"/>
      </w:pPr>
      <w:r>
        <w:rPr>
          <w:rFonts w:hint="eastAsia"/>
        </w:rPr>
        <w:t>2.4</w:t>
      </w:r>
      <w:r>
        <w:t xml:space="preserve"> </w:t>
      </w:r>
      <w:r>
        <w:rPr>
          <w:rFonts w:hint="eastAsia"/>
        </w:rPr>
        <w:t>文献述评</w:t>
      </w:r>
    </w:p>
    <w:p>
      <w:pPr>
        <w:ind w:firstLine="480"/>
      </w:pPr>
      <w:r>
        <w:rPr>
          <w:rFonts w:hint="eastAsia"/>
        </w:rPr>
        <w:t>第三章 理论分析与框架</w:t>
      </w:r>
    </w:p>
    <w:p>
      <w:pPr>
        <w:ind w:left="240" w:leftChars="100" w:firstLine="480"/>
      </w:pPr>
      <w:r>
        <w:rPr>
          <w:rFonts w:hint="eastAsia"/>
        </w:rPr>
        <w:t>3</w:t>
      </w:r>
      <w:r>
        <w:t xml:space="preserve">.1 </w:t>
      </w:r>
      <w:r>
        <w:rPr>
          <w:rFonts w:hint="eastAsia"/>
        </w:rPr>
        <w:t>家庭内部议价权对家庭暴力的影响</w:t>
      </w:r>
    </w:p>
    <w:p>
      <w:pPr>
        <w:ind w:left="240" w:leftChars="100" w:firstLine="480"/>
      </w:pPr>
      <w:r>
        <w:rPr>
          <w:rFonts w:hint="eastAsia"/>
        </w:rPr>
        <w:t>3</w:t>
      </w:r>
      <w:r>
        <w:t xml:space="preserve">.2 </w:t>
      </w:r>
      <w:r>
        <w:rPr>
          <w:rFonts w:hint="eastAsia"/>
        </w:rPr>
        <w:t>机制假设</w:t>
      </w:r>
    </w:p>
    <w:p>
      <w:pPr>
        <w:ind w:firstLine="480"/>
      </w:pPr>
      <w:r>
        <w:rPr>
          <w:rFonts w:hint="eastAsia"/>
        </w:rPr>
        <w:t>第四章 研究设计</w:t>
      </w:r>
    </w:p>
    <w:p>
      <w:pPr>
        <w:ind w:left="240" w:leftChars="100" w:firstLine="480"/>
      </w:pPr>
      <w:r>
        <w:rPr>
          <w:rFonts w:hint="eastAsia"/>
        </w:rPr>
        <w:t>4.1</w:t>
      </w:r>
      <w:r>
        <w:t xml:space="preserve"> </w:t>
      </w:r>
      <w:r>
        <w:rPr>
          <w:rFonts w:hint="eastAsia"/>
        </w:rPr>
        <w:t>数据介绍</w:t>
      </w:r>
    </w:p>
    <w:p>
      <w:pPr>
        <w:ind w:left="240" w:leftChars="100" w:firstLine="480"/>
      </w:pPr>
      <w:r>
        <w:rPr>
          <w:rFonts w:hint="eastAsia"/>
        </w:rPr>
        <w:t>4.2</w:t>
      </w:r>
      <w:r>
        <w:t xml:space="preserve"> </w:t>
      </w:r>
      <w:r>
        <w:rPr>
          <w:rFonts w:hint="eastAsia"/>
        </w:rPr>
        <w:t>变量选择与说明</w:t>
      </w:r>
    </w:p>
    <w:p>
      <w:pPr>
        <w:ind w:left="480" w:leftChars="200" w:firstLine="480"/>
      </w:pPr>
      <w:r>
        <w:rPr>
          <w:rFonts w:hint="eastAsia"/>
        </w:rPr>
        <w:t>4.2.1</w:t>
      </w:r>
      <w:r>
        <w:t xml:space="preserve"> </w:t>
      </w:r>
      <w:r>
        <w:rPr>
          <w:rFonts w:hint="eastAsia"/>
        </w:rPr>
        <w:t>家庭暴力</w:t>
      </w:r>
    </w:p>
    <w:p>
      <w:pPr>
        <w:ind w:left="480" w:leftChars="200" w:firstLine="480"/>
      </w:pPr>
      <w:r>
        <w:rPr>
          <w:rFonts w:hint="eastAsia"/>
        </w:rPr>
        <w:t>4.2.2</w:t>
      </w:r>
      <w:r>
        <w:t xml:space="preserve"> </w:t>
      </w:r>
      <w:r>
        <w:rPr>
          <w:rFonts w:hint="eastAsia"/>
        </w:rPr>
        <w:t>女性生育</w:t>
      </w:r>
    </w:p>
    <w:p>
      <w:pPr>
        <w:ind w:left="480" w:leftChars="200" w:firstLine="480"/>
      </w:pPr>
      <w:r>
        <w:rPr>
          <w:rFonts w:hint="eastAsia"/>
        </w:rPr>
        <w:t>4.2.3</w:t>
      </w:r>
      <w:r>
        <w:t xml:space="preserve"> </w:t>
      </w:r>
      <w:r>
        <w:rPr>
          <w:rFonts w:hint="eastAsia"/>
        </w:rPr>
        <w:t>婚姻市场匹配度</w:t>
      </w:r>
    </w:p>
    <w:p>
      <w:pPr>
        <w:ind w:left="240" w:leftChars="100" w:firstLine="480"/>
      </w:pPr>
      <w:r>
        <w:rPr>
          <w:rFonts w:hint="eastAsia"/>
        </w:rPr>
        <w:t>4.3</w:t>
      </w:r>
      <w:r>
        <w:t xml:space="preserve"> </w:t>
      </w:r>
      <w:r>
        <w:rPr>
          <w:rFonts w:hint="eastAsia"/>
        </w:rPr>
        <w:t>模型介绍</w:t>
      </w:r>
    </w:p>
    <w:p>
      <w:pPr>
        <w:ind w:left="480" w:leftChars="200" w:firstLine="480"/>
      </w:pPr>
      <w:r>
        <w:rPr>
          <w:rFonts w:hint="eastAsia"/>
        </w:rPr>
        <w:t>4.3.1</w:t>
      </w:r>
      <w:r>
        <w:t xml:space="preserve"> </w:t>
      </w:r>
      <w:r>
        <w:rPr>
          <w:rFonts w:hint="eastAsia"/>
        </w:rPr>
        <w:t>女性生育对受到家庭暴力的影响</w:t>
      </w:r>
    </w:p>
    <w:p>
      <w:pPr>
        <w:ind w:left="480" w:leftChars="200" w:firstLine="480"/>
      </w:pPr>
      <w:r>
        <w:rPr>
          <w:rFonts w:hint="eastAsia"/>
        </w:rPr>
        <w:t>4.3.2</w:t>
      </w:r>
      <w:r>
        <w:t xml:space="preserve"> </w:t>
      </w:r>
      <w:r>
        <w:rPr>
          <w:rFonts w:hint="eastAsia"/>
        </w:rPr>
        <w:t>婚姻匹配对受到家庭暴力的影响</w:t>
      </w:r>
    </w:p>
    <w:p>
      <w:pPr>
        <w:ind w:firstLine="480"/>
      </w:pPr>
      <w:r>
        <w:rPr>
          <w:rFonts w:hint="eastAsia"/>
        </w:rPr>
        <w:t>第五章 实证结果</w:t>
      </w:r>
    </w:p>
    <w:p>
      <w:pPr>
        <w:ind w:left="240" w:leftChars="100" w:firstLine="480"/>
      </w:pPr>
      <w:r>
        <w:rPr>
          <w:rFonts w:hint="eastAsia"/>
        </w:rPr>
        <w:t>5.1</w:t>
      </w:r>
      <w:r>
        <w:t xml:space="preserve"> </w:t>
      </w:r>
      <w:r>
        <w:rPr>
          <w:rFonts w:hint="eastAsia"/>
        </w:rPr>
        <w:t>女性生育对受到家庭暴力的影响</w:t>
      </w:r>
    </w:p>
    <w:p>
      <w:pPr>
        <w:ind w:left="480" w:leftChars="200" w:firstLine="480"/>
      </w:pPr>
      <w:r>
        <w:rPr>
          <w:rFonts w:hint="eastAsia"/>
        </w:rPr>
        <w:t>5</w:t>
      </w:r>
      <w:r>
        <w:t xml:space="preserve">.1.1 </w:t>
      </w:r>
      <w:r>
        <w:rPr>
          <w:rFonts w:hint="eastAsia"/>
        </w:rPr>
        <w:t>基准结果</w:t>
      </w:r>
    </w:p>
    <w:p>
      <w:pPr>
        <w:ind w:left="480" w:leftChars="200" w:firstLine="480"/>
      </w:pPr>
      <w:r>
        <w:rPr>
          <w:rFonts w:hint="eastAsia"/>
        </w:rPr>
        <w:t>5</w:t>
      </w:r>
      <w:r>
        <w:t xml:space="preserve">.1.2 </w:t>
      </w:r>
      <w:r>
        <w:rPr>
          <w:rFonts w:hint="eastAsia"/>
        </w:rPr>
        <w:t>机制检验</w:t>
      </w:r>
    </w:p>
    <w:p>
      <w:pPr>
        <w:ind w:left="240" w:leftChars="100" w:firstLine="480"/>
      </w:pPr>
      <w:r>
        <w:t xml:space="preserve">5.2 </w:t>
      </w:r>
      <w:r>
        <w:rPr>
          <w:rFonts w:hint="eastAsia"/>
        </w:rPr>
        <w:t>婚姻匹配对受到家庭暴力的影响</w:t>
      </w:r>
    </w:p>
    <w:p>
      <w:pPr>
        <w:ind w:left="480" w:leftChars="200" w:firstLine="480"/>
      </w:pPr>
      <w:r>
        <w:t xml:space="preserve">5.2.1 </w:t>
      </w:r>
      <w:r>
        <w:rPr>
          <w:rFonts w:hint="eastAsia"/>
        </w:rPr>
        <w:t>基准结果</w:t>
      </w:r>
    </w:p>
    <w:p>
      <w:pPr>
        <w:ind w:left="480" w:leftChars="200" w:firstLine="480"/>
      </w:pPr>
      <w:r>
        <w:rPr>
          <w:rFonts w:hint="eastAsia"/>
        </w:rPr>
        <w:t>5</w:t>
      </w:r>
      <w:r>
        <w:t xml:space="preserve">.2.2 </w:t>
      </w:r>
      <w:r>
        <w:rPr>
          <w:rFonts w:hint="eastAsia"/>
        </w:rPr>
        <w:t>机制检验</w:t>
      </w:r>
    </w:p>
    <w:p>
      <w:pPr>
        <w:ind w:firstLine="480"/>
      </w:pPr>
      <w:r>
        <w:rPr>
          <w:rFonts w:hint="eastAsia"/>
        </w:rPr>
        <w:t>第六章 基本结论与政策建议</w:t>
      </w:r>
    </w:p>
    <w:p>
      <w:pPr>
        <w:ind w:left="240" w:leftChars="100" w:firstLine="480"/>
      </w:pPr>
      <w:r>
        <w:rPr>
          <w:rFonts w:hint="eastAsia"/>
        </w:rPr>
        <w:t>6.1</w:t>
      </w:r>
      <w:r>
        <w:t xml:space="preserve"> </w:t>
      </w:r>
      <w:r>
        <w:rPr>
          <w:rFonts w:hint="eastAsia"/>
        </w:rPr>
        <w:t>基本结论</w:t>
      </w:r>
    </w:p>
    <w:p>
      <w:pPr>
        <w:ind w:left="240" w:leftChars="100" w:firstLine="480"/>
      </w:pPr>
      <w:r>
        <w:rPr>
          <w:rFonts w:hint="eastAsia"/>
        </w:rPr>
        <w:t>6.2</w:t>
      </w:r>
      <w:r>
        <w:t xml:space="preserve"> </w:t>
      </w:r>
      <w:r>
        <w:rPr>
          <w:rFonts w:hint="eastAsia"/>
        </w:rPr>
        <w:t>政策建议</w:t>
      </w:r>
    </w:p>
    <w:p>
      <w:pPr>
        <w:ind w:firstLine="480"/>
      </w:pPr>
    </w:p>
    <w:p>
      <w:pPr>
        <w:ind w:firstLine="480"/>
      </w:pPr>
    </w:p>
    <w:p>
      <w:pPr>
        <w:pStyle w:val="2"/>
        <w:numPr>
          <w:ilvl w:val="0"/>
          <w:numId w:val="0"/>
        </w:numPr>
      </w:pPr>
      <w:r>
        <w:rPr>
          <w:rFonts w:hint="eastAsia"/>
        </w:rPr>
        <w:t>参考文献：</w:t>
      </w:r>
    </w:p>
    <w:p>
      <w:pPr>
        <w:pStyle w:val="3"/>
        <w:numPr>
          <w:ilvl w:val="0"/>
          <w:numId w:val="4"/>
        </w:numPr>
        <w:ind w:firstLineChars="0"/>
      </w:pPr>
      <w:r>
        <w:t>Miller, Amalia R.; Segal, Carmit; Spencer, Melissa K., Effects of COVID-19 shutdowns on domestic violence in US cities, JOURNAL OF URBAN ECONOMICS, 2022</w:t>
      </w:r>
    </w:p>
    <w:p>
      <w:pPr>
        <w:pStyle w:val="3"/>
        <w:numPr>
          <w:ilvl w:val="0"/>
          <w:numId w:val="4"/>
        </w:numPr>
        <w:ind w:firstLineChars="0"/>
      </w:pPr>
      <w:r>
        <w:t>Diaz, Juan-Jose; Saldarriaga, Victor, A drop of love? Rainfall shocks and spousal abuse: Evidence from rural Peru, JOURNAL OF HEALTH ECONOMICS, 2023</w:t>
      </w:r>
    </w:p>
    <w:p>
      <w:pPr>
        <w:pStyle w:val="3"/>
        <w:numPr>
          <w:ilvl w:val="0"/>
          <w:numId w:val="4"/>
        </w:numPr>
        <w:ind w:firstLineChars="0"/>
      </w:pPr>
      <w:r>
        <w:t>Arenas-Arroyo, Esther; Fernandez-Kranz, Daniel; Nollenberger, Natalia, Intimate partner violence under forced cohabitation and economic stress: Evidence from the COVID-19 pandemic, JOURNAL OF PUBLIC ECONOMICS, 2021</w:t>
      </w:r>
    </w:p>
    <w:p>
      <w:pPr>
        <w:pStyle w:val="3"/>
        <w:numPr>
          <w:ilvl w:val="0"/>
          <w:numId w:val="4"/>
        </w:numPr>
        <w:ind w:firstLineChars="0"/>
      </w:pPr>
      <w:r>
        <w:t>Jensen, Robert; Oster, Emily, THE POWER OF TV: CABLE TELEVISION AND WOMEN'S STATUS IN INDIA, QUARTERLY JOURNAL OF ECONOMICS, 2009</w:t>
      </w:r>
    </w:p>
    <w:p>
      <w:pPr>
        <w:pStyle w:val="3"/>
        <w:numPr>
          <w:ilvl w:val="0"/>
          <w:numId w:val="4"/>
        </w:numPr>
        <w:ind w:firstLineChars="0"/>
      </w:pPr>
      <w:r>
        <w:t>Molina, Teresa; Tanaka, Mari, Globalization and Female Empowerment: Evidence from Myanmar, ECONOMIC DEVELOPMENT AND CULTURAL CHANGE, 2023</w:t>
      </w:r>
    </w:p>
    <w:p>
      <w:pPr>
        <w:pStyle w:val="3"/>
        <w:numPr>
          <w:ilvl w:val="0"/>
          <w:numId w:val="4"/>
        </w:numPr>
        <w:ind w:firstLineChars="0"/>
      </w:pPr>
      <w:r>
        <w:t>Card, David; Dahl, Gordon B., FAMILY VIOLENCE AND FOOTBALL: THE EFFECT OF UNEXPECTED EMOTIONAL CUES ON VIOLENT BEHAVIOR, QUARTERLY JOURNAL OF ECONOMICS, 2011</w:t>
      </w:r>
    </w:p>
    <w:p>
      <w:pPr>
        <w:pStyle w:val="3"/>
        <w:numPr>
          <w:ilvl w:val="0"/>
          <w:numId w:val="4"/>
        </w:numPr>
        <w:ind w:firstLineChars="0"/>
      </w:pPr>
      <w:r>
        <w:t>Erten, Bilge; Keskin, Pinar, Female employment and intimate partner violence: Evidence from Syrian Refugee inflows to Turkey*, JOURNAL OF DEVELOPMENT ECONOMICS, 2021</w:t>
      </w:r>
    </w:p>
    <w:p>
      <w:pPr>
        <w:pStyle w:val="3"/>
        <w:numPr>
          <w:ilvl w:val="0"/>
          <w:numId w:val="4"/>
        </w:numPr>
        <w:ind w:firstLineChars="0"/>
      </w:pPr>
      <w:r>
        <w:t>Dyer, Julian; Shapiro, Jeremy, Pumps, prosperity and household power: Experimental evidence on irrigation pumps and smallholder farmers in Kenya, JOURNAL OF DEVELOPMENT ECONOMICS, 2023</w:t>
      </w:r>
    </w:p>
    <w:p>
      <w:pPr>
        <w:pStyle w:val="3"/>
        <w:numPr>
          <w:ilvl w:val="0"/>
          <w:numId w:val="4"/>
        </w:numPr>
        <w:ind w:firstLineChars="0"/>
      </w:pPr>
      <w:r>
        <w:t>La Mattina, Giulia, Civil conflict, domestic violence and intra-household bargaining in post-genocide Rwanda, JOURNAL OF DEVELOPMENT ECONOMICS, 2017</w:t>
      </w:r>
    </w:p>
    <w:p>
      <w:pPr>
        <w:pStyle w:val="3"/>
        <w:numPr>
          <w:ilvl w:val="0"/>
          <w:numId w:val="4"/>
        </w:numPr>
        <w:ind w:firstLineChars="0"/>
      </w:pPr>
      <w:r>
        <w:t>Clemens, Michael A., Violence, development, and migration waves: Evidence from Central American child migrant apprehensions, JOURNAL OF URBAN ECONOMICS, 2021</w:t>
      </w:r>
    </w:p>
    <w:p>
      <w:pPr>
        <w:pStyle w:val="3"/>
        <w:numPr>
          <w:ilvl w:val="0"/>
          <w:numId w:val="4"/>
        </w:numPr>
        <w:ind w:firstLineChars="0"/>
      </w:pPr>
      <w:r>
        <w:t>Tur-Prats, Ana, Family Types and Intimate Partner Violence: A Historical Perspective, REVIEW OF ECONOMICS AND STATISTICS, 2019</w:t>
      </w:r>
    </w:p>
    <w:p>
      <w:pPr>
        <w:pStyle w:val="3"/>
        <w:numPr>
          <w:ilvl w:val="0"/>
          <w:numId w:val="4"/>
        </w:numPr>
        <w:ind w:firstLineChars="0"/>
      </w:pPr>
      <w:r>
        <w:t>Miller, Amalia R.; Segal, Carmit, Do Female Officers Improve Law Enforcement Quality? Effects on Crime Reporting and Domestic Violence, REVIEW OF ECONOMIC STUDIES, 2019</w:t>
      </w:r>
    </w:p>
    <w:p>
      <w:pPr>
        <w:pStyle w:val="3"/>
        <w:numPr>
          <w:ilvl w:val="0"/>
          <w:numId w:val="4"/>
        </w:numPr>
        <w:ind w:firstLineChars="0"/>
      </w:pPr>
      <w:r>
        <w:t>Hidrobo, Melissa; Fernald, Lia, Cash transfers and domestic violence, JOURNAL OF HEALTH ECONOMICS, 2013</w:t>
      </w:r>
    </w:p>
    <w:p>
      <w:pPr>
        <w:pStyle w:val="3"/>
        <w:numPr>
          <w:ilvl w:val="0"/>
          <w:numId w:val="4"/>
        </w:numPr>
        <w:ind w:firstLineChars="0"/>
      </w:pPr>
      <w:r>
        <w:t>Iyengar, Radha, Does the certainty of arrest reduce domestic violence? Evidence from mandatory and recommended arrest laws, JOURNAL OF PUBLIC ECONOMICS, 2009</w:t>
      </w:r>
    </w:p>
    <w:p>
      <w:pPr>
        <w:pStyle w:val="3"/>
        <w:numPr>
          <w:ilvl w:val="0"/>
          <w:numId w:val="4"/>
        </w:numPr>
        <w:ind w:firstLineChars="0"/>
      </w:pPr>
      <w:r>
        <w:t>Diaz, Juan-Jose; Saldarriaga, Victor, (Un)Conditional Love in the Time of Conditional Cash Transfers: The Effect of the Peruvian JUNTOS Program on Spousal Abuse, ECONOMIC DEVELOPMENT AND CULTURAL CHANGE, 2022</w:t>
      </w:r>
    </w:p>
    <w:p>
      <w:pPr>
        <w:pStyle w:val="3"/>
        <w:numPr>
          <w:ilvl w:val="0"/>
          <w:numId w:val="4"/>
        </w:numPr>
        <w:ind w:firstLineChars="0"/>
      </w:pPr>
      <w:r>
        <w:t>Guarnieri, Eleonora; Rainer, Helmut, Colonialism and female empowerment: A two-sided legacy, JOURNAL OF DEVELOPMENT ECONOMICS, 2021</w:t>
      </w:r>
    </w:p>
    <w:p>
      <w:pPr>
        <w:pStyle w:val="3"/>
        <w:numPr>
          <w:ilvl w:val="0"/>
          <w:numId w:val="4"/>
        </w:numPr>
        <w:ind w:firstLineChars="0"/>
      </w:pPr>
      <w:r>
        <w:t>Erten, Bilge; Keskin, Pinar, Breaking the Cycle? Education and the Intergenerational Transmission of Violence, REVIEW OF ECONOMICS AND STATISTICS, 2020</w:t>
      </w:r>
    </w:p>
    <w:p>
      <w:pPr>
        <w:pStyle w:val="3"/>
        <w:numPr>
          <w:ilvl w:val="0"/>
          <w:numId w:val="4"/>
        </w:numPr>
        <w:ind w:firstLineChars="0"/>
      </w:pPr>
      <w:r>
        <w:t>Chin, Yoo-Mi; Cunningham, Scott, Revisiting the effect of warrantless domestic violence arrest laws on intimate partner homicides, JOURNAL OF PUBLIC ECONOMICS, 2019</w:t>
      </w:r>
    </w:p>
    <w:p>
      <w:pPr>
        <w:pStyle w:val="3"/>
        <w:numPr>
          <w:ilvl w:val="0"/>
          <w:numId w:val="4"/>
        </w:numPr>
        <w:ind w:firstLineChars="0"/>
      </w:pPr>
      <w:r>
        <w:t>Anderberg, Dan; Rainer, Helmut; Wadsworth, Jonathan; Wilson, Tanya, UNEMPLOYMENT AND DOMESTIC VIOLENCE: THEORY AND EVIDENCE, ECONOMIC JOURNAL, 2016</w:t>
      </w:r>
    </w:p>
    <w:p>
      <w:pPr>
        <w:pStyle w:val="3"/>
        <w:numPr>
          <w:ilvl w:val="0"/>
          <w:numId w:val="4"/>
        </w:numPr>
        <w:ind w:firstLineChars="0"/>
      </w:pPr>
      <w:r>
        <w:t>Anderson, Siwan; Genicot, Garance, Suicide and property rights in India, JOURNAL OF DEVELOPMENT ECONOMICS, 2015</w:t>
      </w:r>
    </w:p>
    <w:p>
      <w:pPr>
        <w:pStyle w:val="3"/>
        <w:numPr>
          <w:ilvl w:val="0"/>
          <w:numId w:val="4"/>
        </w:numPr>
        <w:ind w:firstLineChars="0"/>
      </w:pPr>
      <w:r>
        <w:t>Pollak, R. A., An intergenerational model of domestic violence, JOURNAL OF POPULATION ECONOMICS, 2004</w:t>
      </w:r>
    </w:p>
    <w:p>
      <w:pPr>
        <w:pStyle w:val="3"/>
        <w:numPr>
          <w:ilvl w:val="0"/>
          <w:numId w:val="4"/>
        </w:numPr>
        <w:ind w:firstLineChars="0"/>
      </w:pPr>
      <w:r>
        <w:t>Currie, Janet; Mueller-Smith, Michael; Rossin-Slater, Maya, Violence While in Utero: The Impact of Assaults during Pregnancy on Birth Outcomes, REVIEW OF ECONOMICS AND STATISTICS, 2022</w:t>
      </w:r>
    </w:p>
    <w:p>
      <w:pPr>
        <w:pStyle w:val="3"/>
        <w:numPr>
          <w:ilvl w:val="0"/>
          <w:numId w:val="4"/>
        </w:numPr>
        <w:ind w:firstLineChars="0"/>
      </w:pPr>
      <w:r>
        <w:t>Peterman, Amber; Valli, Elsa; Palermo, Tia, Government Antipoverty Programming and Intimate Partner Violence in Ghana, ECONOMIC DEVELOPMENT AND CULTURAL CHANGE, 2022</w:t>
      </w:r>
    </w:p>
    <w:p>
      <w:pPr>
        <w:pStyle w:val="3"/>
        <w:numPr>
          <w:ilvl w:val="0"/>
          <w:numId w:val="4"/>
        </w:numPr>
        <w:ind w:firstLineChars="0"/>
      </w:pPr>
      <w:r>
        <w:t>Menon, Seetha, The effect of marital endowments on domestic violence in India, JOURNAL OF DEVELOPMENT ECONOMICS, 2020</w:t>
      </w:r>
    </w:p>
    <w:p>
      <w:pPr>
        <w:pStyle w:val="3"/>
        <w:numPr>
          <w:ilvl w:val="0"/>
          <w:numId w:val="4"/>
        </w:numPr>
        <w:ind w:firstLineChars="0"/>
      </w:pPr>
      <w:r>
        <w:t>Heath, Rachel; Hidrobo, Melissa; Roy, Shalini, Cash transfers, polygamy, and intimate partner violence: Experimental evidence from Mali, JOURNAL OF DEVELOPMENT ECONOMICS, 2020</w:t>
      </w:r>
    </w:p>
    <w:p>
      <w:pPr>
        <w:pStyle w:val="3"/>
        <w:numPr>
          <w:ilvl w:val="0"/>
          <w:numId w:val="4"/>
        </w:numPr>
        <w:ind w:firstLineChars="0"/>
      </w:pPr>
      <w:r>
        <w:t>Roy, Shalini; Hidrobo, Melissa; Hoddinott, John; Ahmed, Akhter, Transfers, Behavior Change Communication, and Intimate Partner Violence: Postprogram Evidence from Rural Bangladesh, REVIEW OF ECONOMICS AND STATISTICS, 2019</w:t>
      </w:r>
    </w:p>
    <w:p>
      <w:pPr>
        <w:pStyle w:val="3"/>
        <w:numPr>
          <w:ilvl w:val="0"/>
          <w:numId w:val="4"/>
        </w:numPr>
        <w:ind w:firstLineChars="0"/>
      </w:pPr>
      <w:r>
        <w:t>Bargain, Olivier; Boutin, Delphine; Champeaux, Hugues, Women's political participation and intrahousehold empowerment: Evidence from the Egyptian Arab Spring, JOURNAL OF DEVELOPMENT ECONOMICS, 2019</w:t>
      </w:r>
    </w:p>
    <w:p>
      <w:pPr>
        <w:pStyle w:val="3"/>
        <w:numPr>
          <w:ilvl w:val="0"/>
          <w:numId w:val="4"/>
        </w:numPr>
        <w:ind w:firstLineChars="0"/>
      </w:pPr>
      <w:r>
        <w:t>Palmer, Caroline; Phillips, David C.; Sullivan, James X., Does emergency financial assistance reduce crime?, JOURNAL OF PUBLIC ECONOMICS, 2019</w:t>
      </w:r>
    </w:p>
    <w:p>
      <w:pPr>
        <w:pStyle w:val="3"/>
        <w:numPr>
          <w:ilvl w:val="0"/>
          <w:numId w:val="4"/>
        </w:numPr>
        <w:ind w:firstLineChars="0"/>
      </w:pPr>
      <w:r>
        <w:t>Brassiolo, Pablo, Domestic Violence and Divorce Law: When Divorce Threats Become Credible, JOURNAL OF LABOR ECONOMICS, 2016</w:t>
      </w:r>
    </w:p>
    <w:p>
      <w:pPr>
        <w:pStyle w:val="3"/>
        <w:numPr>
          <w:ilvl w:val="0"/>
          <w:numId w:val="4"/>
        </w:numPr>
        <w:ind w:firstLineChars="0"/>
      </w:pPr>
      <w:r>
        <w:t>Anderberg, Dan; Rainer, Helmut, Economic abuse: A theory of intrahousehold sabotage, JOURNAL OF PUBLIC ECONOMICS, 2013</w:t>
      </w:r>
    </w:p>
    <w:p>
      <w:pPr>
        <w:pStyle w:val="3"/>
        <w:numPr>
          <w:ilvl w:val="0"/>
          <w:numId w:val="4"/>
        </w:numPr>
        <w:ind w:firstLineChars="0"/>
      </w:pPr>
      <w:r>
        <w:t>Bowlus, Audra J.; Seitz, Shannon, Domestic violence, employment, and divorce, INTERNATIONAL ECONOMIC REVIEW, 2006</w:t>
      </w:r>
    </w:p>
    <w:p>
      <w:pPr>
        <w:pStyle w:val="3"/>
        <w:numPr>
          <w:ilvl w:val="0"/>
          <w:numId w:val="4"/>
        </w:numPr>
        <w:ind w:firstLineChars="0"/>
      </w:pPr>
      <w:r>
        <w:t>Schneider, Daniel; Harknett, Kristen; McLanahan, Sara, Intimate Partner Violence in the Great Recession, DEMOGRAPHY, 2016</w:t>
      </w:r>
    </w:p>
    <w:p>
      <w:pPr>
        <w:pStyle w:val="3"/>
        <w:numPr>
          <w:ilvl w:val="0"/>
          <w:numId w:val="4"/>
        </w:numPr>
        <w:ind w:firstLineChars="0"/>
      </w:pPr>
      <w:r>
        <w:t>Tauchen, Hv; Witte, Ad; Long, Sk, Domestic Violence - a Nonrandom Affair, INTERNATIONAL ECONOMIC REVIEW, 1991</w:t>
      </w:r>
    </w:p>
    <w:p>
      <w:pPr>
        <w:pStyle w:val="3"/>
        <w:numPr>
          <w:ilvl w:val="0"/>
          <w:numId w:val="4"/>
        </w:numPr>
        <w:ind w:firstLineChars="0"/>
      </w:pPr>
      <w:r>
        <w:t>Stevenson, B.; Wolfers, J., Bargaining in the Shadow of the Law: Divorce Laws and Family Distress, The Quarterly Journal of Economics, 2006</w:t>
      </w:r>
    </w:p>
    <w:p>
      <w:pPr>
        <w:pStyle w:val="3"/>
        <w:numPr>
          <w:ilvl w:val="0"/>
          <w:numId w:val="4"/>
        </w:numPr>
        <w:ind w:firstLineChars="0"/>
      </w:pPr>
      <w:r>
        <w:t>Zhou, Dong; Li, Xue; Su, Yaqin, The Impacts of Education on Domestic Violence: Evidence from China, Applied Economics, 2021</w:t>
      </w:r>
    </w:p>
    <w:p>
      <w:pPr>
        <w:pStyle w:val="3"/>
        <w:numPr>
          <w:ilvl w:val="0"/>
          <w:numId w:val="4"/>
        </w:numPr>
        <w:ind w:firstLineChars="0"/>
      </w:pPr>
      <w:r>
        <w:t>Barzel, Yoram, An Economic Analysis of Slavery, The Journal of Law and Economics, 1977</w:t>
      </w:r>
    </w:p>
    <w:p>
      <w:pPr>
        <w:pStyle w:val="3"/>
        <w:numPr>
          <w:ilvl w:val="0"/>
          <w:numId w:val="4"/>
        </w:numPr>
        <w:ind w:firstLineChars="0"/>
      </w:pPr>
      <w:r>
        <w:t>Li, Bingjing, Export expansion, skill acquisition and industry specialization: evidence from china, JOURNAL OF INTERNATIONAL ECONOMICS, 2018</w:t>
      </w:r>
    </w:p>
    <w:p>
      <w:pPr>
        <w:pStyle w:val="3"/>
        <w:numPr>
          <w:ilvl w:val="0"/>
          <w:numId w:val="4"/>
        </w:numPr>
        <w:ind w:firstLineChars="0"/>
      </w:pPr>
      <w:r>
        <w:t>Gu, Xin; Li, Hao; Peng, Langchuan, The anti-domestic violence law and women's welfare: Evidence from a natural experiment in China, Journal of Economic Behavior &amp; Organization, 2022</w:t>
      </w:r>
    </w:p>
    <w:p>
      <w:pPr>
        <w:pStyle w:val="3"/>
        <w:numPr>
          <w:ilvl w:val="0"/>
          <w:numId w:val="4"/>
        </w:numPr>
        <w:ind w:firstLineChars="0"/>
      </w:pPr>
      <w:r>
        <w:t xml:space="preserve">Ramos, Alejandra, Household Decision Making with Violence: Implications for Conditional Cash Transfer Programs, , </w:t>
      </w:r>
    </w:p>
    <w:p>
      <w:pPr>
        <w:pStyle w:val="3"/>
        <w:numPr>
          <w:ilvl w:val="0"/>
          <w:numId w:val="4"/>
        </w:numPr>
        <w:ind w:firstLineChars="0"/>
      </w:pPr>
      <w:r>
        <w:t>Sun, Ang; Zhao, Yaohui, Divorce, abortion, and the child sex ratio: The impact of divorce reform in China, Journal of Development Economics, 2016</w:t>
      </w:r>
      <w:bookmarkEnd w:id="0"/>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Times New Roman (正文 CS 字体)">
    <w:altName w:val="Times New Roman"/>
    <w:panose1 w:val="020B0604020202020204"/>
    <w:charset w:val="86"/>
    <w:family w:val="roman"/>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等线 Light">
    <w:altName w:val="汉仪中等线KW"/>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9A6D25"/>
    <w:multiLevelType w:val="multilevel"/>
    <w:tmpl w:val="279A6D25"/>
    <w:lvl w:ilvl="0" w:tentative="0">
      <w:start w:val="1"/>
      <w:numFmt w:val="decimal"/>
      <w:pStyle w:val="4"/>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
    <w:nsid w:val="33E101EB"/>
    <w:multiLevelType w:val="multilevel"/>
    <w:tmpl w:val="33E101EB"/>
    <w:lvl w:ilvl="0" w:tentative="0">
      <w:start w:val="1"/>
      <w:numFmt w:val="chineseCountingThousand"/>
      <w:pStyle w:val="2"/>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
    <w:nsid w:val="51515AD7"/>
    <w:multiLevelType w:val="multilevel"/>
    <w:tmpl w:val="51515AD7"/>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ED"/>
    <w:rsid w:val="00001B72"/>
    <w:rsid w:val="0000403E"/>
    <w:rsid w:val="00013DAD"/>
    <w:rsid w:val="0002174B"/>
    <w:rsid w:val="00025851"/>
    <w:rsid w:val="00032531"/>
    <w:rsid w:val="00033701"/>
    <w:rsid w:val="000374F9"/>
    <w:rsid w:val="00041F25"/>
    <w:rsid w:val="00043947"/>
    <w:rsid w:val="00043F05"/>
    <w:rsid w:val="00067CC9"/>
    <w:rsid w:val="0008384D"/>
    <w:rsid w:val="00086288"/>
    <w:rsid w:val="0009358C"/>
    <w:rsid w:val="0009475D"/>
    <w:rsid w:val="000B1C85"/>
    <w:rsid w:val="000C61B1"/>
    <w:rsid w:val="000E040D"/>
    <w:rsid w:val="000E1F89"/>
    <w:rsid w:val="000E40D3"/>
    <w:rsid w:val="000F1F76"/>
    <w:rsid w:val="0011757C"/>
    <w:rsid w:val="00117C30"/>
    <w:rsid w:val="00124656"/>
    <w:rsid w:val="00126E51"/>
    <w:rsid w:val="001323FB"/>
    <w:rsid w:val="00133E1A"/>
    <w:rsid w:val="00136BF3"/>
    <w:rsid w:val="00150805"/>
    <w:rsid w:val="0015227D"/>
    <w:rsid w:val="00152C80"/>
    <w:rsid w:val="00152ECA"/>
    <w:rsid w:val="00155056"/>
    <w:rsid w:val="00160DBC"/>
    <w:rsid w:val="00160F82"/>
    <w:rsid w:val="0017044D"/>
    <w:rsid w:val="0017116F"/>
    <w:rsid w:val="0017309B"/>
    <w:rsid w:val="0017648A"/>
    <w:rsid w:val="001878CF"/>
    <w:rsid w:val="0019051A"/>
    <w:rsid w:val="001932CB"/>
    <w:rsid w:val="001A34C6"/>
    <w:rsid w:val="001A50E4"/>
    <w:rsid w:val="001B29D3"/>
    <w:rsid w:val="001B6964"/>
    <w:rsid w:val="001C203F"/>
    <w:rsid w:val="001D0DFD"/>
    <w:rsid w:val="001D4B9E"/>
    <w:rsid w:val="001E3941"/>
    <w:rsid w:val="001E5A8B"/>
    <w:rsid w:val="001E6626"/>
    <w:rsid w:val="001E6FB1"/>
    <w:rsid w:val="001E728A"/>
    <w:rsid w:val="001F1071"/>
    <w:rsid w:val="00207B5A"/>
    <w:rsid w:val="0021198B"/>
    <w:rsid w:val="002220A6"/>
    <w:rsid w:val="0022774D"/>
    <w:rsid w:val="00244BE5"/>
    <w:rsid w:val="00250CCA"/>
    <w:rsid w:val="002533D3"/>
    <w:rsid w:val="00257481"/>
    <w:rsid w:val="0026450B"/>
    <w:rsid w:val="00266674"/>
    <w:rsid w:val="0027135C"/>
    <w:rsid w:val="0027511E"/>
    <w:rsid w:val="002814D8"/>
    <w:rsid w:val="00282FA9"/>
    <w:rsid w:val="00286225"/>
    <w:rsid w:val="00295FE7"/>
    <w:rsid w:val="002A4901"/>
    <w:rsid w:val="002B3310"/>
    <w:rsid w:val="002B3DED"/>
    <w:rsid w:val="002B7DA6"/>
    <w:rsid w:val="002C1FDD"/>
    <w:rsid w:val="002C203F"/>
    <w:rsid w:val="002C3C12"/>
    <w:rsid w:val="002D31EF"/>
    <w:rsid w:val="002E4E94"/>
    <w:rsid w:val="002E6CDD"/>
    <w:rsid w:val="002F689A"/>
    <w:rsid w:val="002F6DD7"/>
    <w:rsid w:val="00301FD4"/>
    <w:rsid w:val="003169DB"/>
    <w:rsid w:val="00322A42"/>
    <w:rsid w:val="003267F0"/>
    <w:rsid w:val="00336535"/>
    <w:rsid w:val="00340E38"/>
    <w:rsid w:val="003465FA"/>
    <w:rsid w:val="003619A9"/>
    <w:rsid w:val="0037018A"/>
    <w:rsid w:val="00374451"/>
    <w:rsid w:val="003744BE"/>
    <w:rsid w:val="00374A3A"/>
    <w:rsid w:val="00375506"/>
    <w:rsid w:val="00381DB8"/>
    <w:rsid w:val="003821D5"/>
    <w:rsid w:val="0038309D"/>
    <w:rsid w:val="0038577A"/>
    <w:rsid w:val="003A5D71"/>
    <w:rsid w:val="003A5FB5"/>
    <w:rsid w:val="003B3F3A"/>
    <w:rsid w:val="003B6A61"/>
    <w:rsid w:val="003C3418"/>
    <w:rsid w:val="003C3EB0"/>
    <w:rsid w:val="003D5114"/>
    <w:rsid w:val="003F3833"/>
    <w:rsid w:val="003F4E43"/>
    <w:rsid w:val="004072DA"/>
    <w:rsid w:val="0041090A"/>
    <w:rsid w:val="00412802"/>
    <w:rsid w:val="004176AD"/>
    <w:rsid w:val="004223FF"/>
    <w:rsid w:val="00422405"/>
    <w:rsid w:val="00427668"/>
    <w:rsid w:val="0043249B"/>
    <w:rsid w:val="00433717"/>
    <w:rsid w:val="004347FE"/>
    <w:rsid w:val="004364C1"/>
    <w:rsid w:val="00437520"/>
    <w:rsid w:val="004378C7"/>
    <w:rsid w:val="0045752B"/>
    <w:rsid w:val="0046753C"/>
    <w:rsid w:val="004732B8"/>
    <w:rsid w:val="004762BF"/>
    <w:rsid w:val="00483E7F"/>
    <w:rsid w:val="004940CD"/>
    <w:rsid w:val="004A290E"/>
    <w:rsid w:val="004A3BBC"/>
    <w:rsid w:val="004A6901"/>
    <w:rsid w:val="004A729D"/>
    <w:rsid w:val="004A7FBA"/>
    <w:rsid w:val="004C53CF"/>
    <w:rsid w:val="004D1BA7"/>
    <w:rsid w:val="004D22F1"/>
    <w:rsid w:val="004E203D"/>
    <w:rsid w:val="004E7927"/>
    <w:rsid w:val="00503124"/>
    <w:rsid w:val="00511B55"/>
    <w:rsid w:val="00513B9C"/>
    <w:rsid w:val="00513D71"/>
    <w:rsid w:val="00517213"/>
    <w:rsid w:val="005172F9"/>
    <w:rsid w:val="00533EFC"/>
    <w:rsid w:val="0053503E"/>
    <w:rsid w:val="00540FD4"/>
    <w:rsid w:val="00542E0C"/>
    <w:rsid w:val="005522CA"/>
    <w:rsid w:val="005600F0"/>
    <w:rsid w:val="00561FBA"/>
    <w:rsid w:val="00564E27"/>
    <w:rsid w:val="005719CC"/>
    <w:rsid w:val="00572DE7"/>
    <w:rsid w:val="0057598D"/>
    <w:rsid w:val="00581DC6"/>
    <w:rsid w:val="005821AE"/>
    <w:rsid w:val="0059083C"/>
    <w:rsid w:val="00592656"/>
    <w:rsid w:val="005A06FE"/>
    <w:rsid w:val="005A5D5B"/>
    <w:rsid w:val="005A64A7"/>
    <w:rsid w:val="005B363F"/>
    <w:rsid w:val="005C28E6"/>
    <w:rsid w:val="005C60FF"/>
    <w:rsid w:val="005D0E92"/>
    <w:rsid w:val="005D11F6"/>
    <w:rsid w:val="005E190B"/>
    <w:rsid w:val="005E320B"/>
    <w:rsid w:val="005F4D40"/>
    <w:rsid w:val="005F5D47"/>
    <w:rsid w:val="00603762"/>
    <w:rsid w:val="00605DE5"/>
    <w:rsid w:val="00606ED9"/>
    <w:rsid w:val="00612DC8"/>
    <w:rsid w:val="006144D6"/>
    <w:rsid w:val="00615CD6"/>
    <w:rsid w:val="00617058"/>
    <w:rsid w:val="00617F02"/>
    <w:rsid w:val="006205DA"/>
    <w:rsid w:val="00621F9A"/>
    <w:rsid w:val="00636FB0"/>
    <w:rsid w:val="00657C8D"/>
    <w:rsid w:val="0066525C"/>
    <w:rsid w:val="00667622"/>
    <w:rsid w:val="00675A9A"/>
    <w:rsid w:val="00681D60"/>
    <w:rsid w:val="00684581"/>
    <w:rsid w:val="00684E42"/>
    <w:rsid w:val="006900E0"/>
    <w:rsid w:val="00695EDB"/>
    <w:rsid w:val="006960EA"/>
    <w:rsid w:val="006A5463"/>
    <w:rsid w:val="006A5C39"/>
    <w:rsid w:val="006A63D7"/>
    <w:rsid w:val="006B31F7"/>
    <w:rsid w:val="006C3815"/>
    <w:rsid w:val="006D5464"/>
    <w:rsid w:val="006D589A"/>
    <w:rsid w:val="0070173F"/>
    <w:rsid w:val="00712978"/>
    <w:rsid w:val="00713BC0"/>
    <w:rsid w:val="00714271"/>
    <w:rsid w:val="007173B5"/>
    <w:rsid w:val="00720D17"/>
    <w:rsid w:val="00735654"/>
    <w:rsid w:val="0075263D"/>
    <w:rsid w:val="0075407C"/>
    <w:rsid w:val="00764B3A"/>
    <w:rsid w:val="007707AA"/>
    <w:rsid w:val="00771091"/>
    <w:rsid w:val="00772A6F"/>
    <w:rsid w:val="00781805"/>
    <w:rsid w:val="00791F9A"/>
    <w:rsid w:val="00797D9D"/>
    <w:rsid w:val="007A26BE"/>
    <w:rsid w:val="007A366F"/>
    <w:rsid w:val="007A6D93"/>
    <w:rsid w:val="007B144C"/>
    <w:rsid w:val="007B46CC"/>
    <w:rsid w:val="007C19DE"/>
    <w:rsid w:val="007C5194"/>
    <w:rsid w:val="007E2221"/>
    <w:rsid w:val="007E3E1C"/>
    <w:rsid w:val="007F3B20"/>
    <w:rsid w:val="007F3E45"/>
    <w:rsid w:val="007F5538"/>
    <w:rsid w:val="00811233"/>
    <w:rsid w:val="00816084"/>
    <w:rsid w:val="00816437"/>
    <w:rsid w:val="0082286C"/>
    <w:rsid w:val="00825BE5"/>
    <w:rsid w:val="0086096C"/>
    <w:rsid w:val="0086110A"/>
    <w:rsid w:val="0086297F"/>
    <w:rsid w:val="00866B60"/>
    <w:rsid w:val="008712D1"/>
    <w:rsid w:val="008736AC"/>
    <w:rsid w:val="00882D09"/>
    <w:rsid w:val="0088351A"/>
    <w:rsid w:val="008857BD"/>
    <w:rsid w:val="00890934"/>
    <w:rsid w:val="0089095C"/>
    <w:rsid w:val="00891161"/>
    <w:rsid w:val="0089239C"/>
    <w:rsid w:val="008942D5"/>
    <w:rsid w:val="008962EF"/>
    <w:rsid w:val="008A4BA3"/>
    <w:rsid w:val="008A7274"/>
    <w:rsid w:val="008B4079"/>
    <w:rsid w:val="008C2958"/>
    <w:rsid w:val="008C6862"/>
    <w:rsid w:val="008D2621"/>
    <w:rsid w:val="008E1792"/>
    <w:rsid w:val="008E2AA5"/>
    <w:rsid w:val="008E2EE7"/>
    <w:rsid w:val="008E352D"/>
    <w:rsid w:val="008E41A7"/>
    <w:rsid w:val="008E53F4"/>
    <w:rsid w:val="008E7469"/>
    <w:rsid w:val="008E7479"/>
    <w:rsid w:val="008E7D28"/>
    <w:rsid w:val="008F3BDC"/>
    <w:rsid w:val="009122EA"/>
    <w:rsid w:val="00913ABB"/>
    <w:rsid w:val="00913D13"/>
    <w:rsid w:val="009145F4"/>
    <w:rsid w:val="0092317E"/>
    <w:rsid w:val="00923807"/>
    <w:rsid w:val="0095123B"/>
    <w:rsid w:val="00955031"/>
    <w:rsid w:val="009550D7"/>
    <w:rsid w:val="00960906"/>
    <w:rsid w:val="00963255"/>
    <w:rsid w:val="00965EBF"/>
    <w:rsid w:val="0096677D"/>
    <w:rsid w:val="00972E5F"/>
    <w:rsid w:val="00975A23"/>
    <w:rsid w:val="00983C5F"/>
    <w:rsid w:val="00987CCA"/>
    <w:rsid w:val="009945BA"/>
    <w:rsid w:val="009954FB"/>
    <w:rsid w:val="00996905"/>
    <w:rsid w:val="0099737B"/>
    <w:rsid w:val="009B159C"/>
    <w:rsid w:val="009B4F6A"/>
    <w:rsid w:val="009B58F8"/>
    <w:rsid w:val="009B6DD3"/>
    <w:rsid w:val="009C1026"/>
    <w:rsid w:val="009C6F21"/>
    <w:rsid w:val="009E736D"/>
    <w:rsid w:val="009F14D2"/>
    <w:rsid w:val="009F5F88"/>
    <w:rsid w:val="00A133ED"/>
    <w:rsid w:val="00A14F21"/>
    <w:rsid w:val="00A157C6"/>
    <w:rsid w:val="00A17C34"/>
    <w:rsid w:val="00A20640"/>
    <w:rsid w:val="00A2351C"/>
    <w:rsid w:val="00A304CF"/>
    <w:rsid w:val="00A354A7"/>
    <w:rsid w:val="00A37F10"/>
    <w:rsid w:val="00A44111"/>
    <w:rsid w:val="00A4789C"/>
    <w:rsid w:val="00A55AA3"/>
    <w:rsid w:val="00A5686E"/>
    <w:rsid w:val="00A569EE"/>
    <w:rsid w:val="00A61549"/>
    <w:rsid w:val="00A74A10"/>
    <w:rsid w:val="00A824A4"/>
    <w:rsid w:val="00A85E1F"/>
    <w:rsid w:val="00A93713"/>
    <w:rsid w:val="00A9533F"/>
    <w:rsid w:val="00AA02A6"/>
    <w:rsid w:val="00AB0A41"/>
    <w:rsid w:val="00AB492A"/>
    <w:rsid w:val="00AB525D"/>
    <w:rsid w:val="00AC313A"/>
    <w:rsid w:val="00AD437B"/>
    <w:rsid w:val="00AD4921"/>
    <w:rsid w:val="00AF41F5"/>
    <w:rsid w:val="00B008A0"/>
    <w:rsid w:val="00B030D2"/>
    <w:rsid w:val="00B06AED"/>
    <w:rsid w:val="00B14387"/>
    <w:rsid w:val="00B14772"/>
    <w:rsid w:val="00B17FC1"/>
    <w:rsid w:val="00B323BB"/>
    <w:rsid w:val="00B32E61"/>
    <w:rsid w:val="00B43FA1"/>
    <w:rsid w:val="00B50198"/>
    <w:rsid w:val="00B50391"/>
    <w:rsid w:val="00B52E64"/>
    <w:rsid w:val="00B55CE0"/>
    <w:rsid w:val="00B87D87"/>
    <w:rsid w:val="00B904E9"/>
    <w:rsid w:val="00B97757"/>
    <w:rsid w:val="00BA093D"/>
    <w:rsid w:val="00BA0979"/>
    <w:rsid w:val="00BA4545"/>
    <w:rsid w:val="00BA5FAE"/>
    <w:rsid w:val="00BB5DDE"/>
    <w:rsid w:val="00BC7524"/>
    <w:rsid w:val="00BD2584"/>
    <w:rsid w:val="00BE7602"/>
    <w:rsid w:val="00BF2F28"/>
    <w:rsid w:val="00BF5FE6"/>
    <w:rsid w:val="00C0579E"/>
    <w:rsid w:val="00C062DD"/>
    <w:rsid w:val="00C100D8"/>
    <w:rsid w:val="00C10D3A"/>
    <w:rsid w:val="00C12912"/>
    <w:rsid w:val="00C21B5A"/>
    <w:rsid w:val="00C23CF8"/>
    <w:rsid w:val="00C250A1"/>
    <w:rsid w:val="00C26FDA"/>
    <w:rsid w:val="00C40B90"/>
    <w:rsid w:val="00C41851"/>
    <w:rsid w:val="00C42215"/>
    <w:rsid w:val="00C42BF2"/>
    <w:rsid w:val="00C46A89"/>
    <w:rsid w:val="00C528F7"/>
    <w:rsid w:val="00C729D5"/>
    <w:rsid w:val="00C744E6"/>
    <w:rsid w:val="00C74FC2"/>
    <w:rsid w:val="00C75098"/>
    <w:rsid w:val="00C81CA0"/>
    <w:rsid w:val="00C9253F"/>
    <w:rsid w:val="00C925AB"/>
    <w:rsid w:val="00C952CF"/>
    <w:rsid w:val="00CA731C"/>
    <w:rsid w:val="00CB3FF2"/>
    <w:rsid w:val="00CC0B84"/>
    <w:rsid w:val="00CC13EC"/>
    <w:rsid w:val="00CD11BC"/>
    <w:rsid w:val="00CD6214"/>
    <w:rsid w:val="00CE15E4"/>
    <w:rsid w:val="00CE197D"/>
    <w:rsid w:val="00CE69ED"/>
    <w:rsid w:val="00CF4B47"/>
    <w:rsid w:val="00CF6AF7"/>
    <w:rsid w:val="00CF72EE"/>
    <w:rsid w:val="00D01BB5"/>
    <w:rsid w:val="00D2000A"/>
    <w:rsid w:val="00D20C7A"/>
    <w:rsid w:val="00D21F95"/>
    <w:rsid w:val="00D334E7"/>
    <w:rsid w:val="00D411C5"/>
    <w:rsid w:val="00D42B69"/>
    <w:rsid w:val="00D46EA8"/>
    <w:rsid w:val="00D7065E"/>
    <w:rsid w:val="00D71477"/>
    <w:rsid w:val="00D742F3"/>
    <w:rsid w:val="00D80024"/>
    <w:rsid w:val="00D87B90"/>
    <w:rsid w:val="00D941B1"/>
    <w:rsid w:val="00D942C8"/>
    <w:rsid w:val="00DB028C"/>
    <w:rsid w:val="00DB2499"/>
    <w:rsid w:val="00DB430B"/>
    <w:rsid w:val="00DB4E4D"/>
    <w:rsid w:val="00DC01FC"/>
    <w:rsid w:val="00DC0C27"/>
    <w:rsid w:val="00DC7C1F"/>
    <w:rsid w:val="00DE31BB"/>
    <w:rsid w:val="00DE5BD4"/>
    <w:rsid w:val="00DE7861"/>
    <w:rsid w:val="00DF5996"/>
    <w:rsid w:val="00DF7F16"/>
    <w:rsid w:val="00E10B18"/>
    <w:rsid w:val="00E14946"/>
    <w:rsid w:val="00E26D5C"/>
    <w:rsid w:val="00E27938"/>
    <w:rsid w:val="00E37225"/>
    <w:rsid w:val="00E55B61"/>
    <w:rsid w:val="00E61211"/>
    <w:rsid w:val="00E92545"/>
    <w:rsid w:val="00E92843"/>
    <w:rsid w:val="00EB1FA4"/>
    <w:rsid w:val="00EC44AA"/>
    <w:rsid w:val="00EC528F"/>
    <w:rsid w:val="00EC7DFB"/>
    <w:rsid w:val="00ED4CF6"/>
    <w:rsid w:val="00ED530C"/>
    <w:rsid w:val="00EE292A"/>
    <w:rsid w:val="00EE7213"/>
    <w:rsid w:val="00EF35CF"/>
    <w:rsid w:val="00EF4156"/>
    <w:rsid w:val="00F00D38"/>
    <w:rsid w:val="00F019E0"/>
    <w:rsid w:val="00F16B9B"/>
    <w:rsid w:val="00F21E67"/>
    <w:rsid w:val="00F21EB7"/>
    <w:rsid w:val="00F234C1"/>
    <w:rsid w:val="00F24620"/>
    <w:rsid w:val="00F30F3A"/>
    <w:rsid w:val="00F36D52"/>
    <w:rsid w:val="00F46EDF"/>
    <w:rsid w:val="00F474C2"/>
    <w:rsid w:val="00F55BED"/>
    <w:rsid w:val="00F5785E"/>
    <w:rsid w:val="00F63C48"/>
    <w:rsid w:val="00F75225"/>
    <w:rsid w:val="00F87851"/>
    <w:rsid w:val="00F900DD"/>
    <w:rsid w:val="00F95E1E"/>
    <w:rsid w:val="00F96384"/>
    <w:rsid w:val="00FA3A81"/>
    <w:rsid w:val="00FB2C13"/>
    <w:rsid w:val="00FC2B35"/>
    <w:rsid w:val="00FC7972"/>
    <w:rsid w:val="00FD1113"/>
    <w:rsid w:val="00FE1995"/>
    <w:rsid w:val="00FF4234"/>
    <w:rsid w:val="4FF76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正文 CS 字体)"/>
      <w:kern w:val="2"/>
      <w:sz w:val="24"/>
      <w:szCs w:val="24"/>
      <w:lang w:val="en-US" w:eastAsia="zh-CN" w:bidi="ar-SA"/>
    </w:rPr>
  </w:style>
  <w:style w:type="paragraph" w:styleId="2">
    <w:name w:val="heading 1"/>
    <w:basedOn w:val="3"/>
    <w:next w:val="1"/>
    <w:link w:val="13"/>
    <w:qFormat/>
    <w:uiPriority w:val="9"/>
    <w:pPr>
      <w:numPr>
        <w:ilvl w:val="0"/>
        <w:numId w:val="1"/>
      </w:numPr>
      <w:spacing w:before="312" w:beforeLines="100"/>
      <w:ind w:left="0" w:firstLine="0" w:firstLineChars="0"/>
      <w:outlineLvl w:val="0"/>
    </w:pPr>
    <w:rPr>
      <w:b/>
      <w:bCs/>
      <w:sz w:val="32"/>
      <w:szCs w:val="32"/>
    </w:rPr>
  </w:style>
  <w:style w:type="paragraph" w:styleId="4">
    <w:name w:val="heading 2"/>
    <w:basedOn w:val="3"/>
    <w:next w:val="1"/>
    <w:link w:val="14"/>
    <w:unhideWhenUsed/>
    <w:qFormat/>
    <w:uiPriority w:val="9"/>
    <w:pPr>
      <w:numPr>
        <w:ilvl w:val="0"/>
        <w:numId w:val="2"/>
      </w:numPr>
      <w:spacing w:before="156" w:beforeLines="50"/>
      <w:ind w:left="0" w:firstLine="0" w:firstLineChars="0"/>
      <w:outlineLvl w:val="1"/>
    </w:pPr>
    <w:rPr>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firstLine="420"/>
    </w:p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tabs>
        <w:tab w:val="center" w:pos="4153"/>
        <w:tab w:val="right" w:pos="8306"/>
      </w:tabs>
      <w:snapToGrid w:val="0"/>
      <w:jc w:val="center"/>
    </w:pPr>
    <w:rPr>
      <w:sz w:val="18"/>
      <w:szCs w:val="18"/>
    </w:rPr>
  </w:style>
  <w:style w:type="paragraph" w:styleId="7">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uiPriority w:val="99"/>
    <w:rPr>
      <w:sz w:val="18"/>
      <w:szCs w:val="18"/>
    </w:rPr>
  </w:style>
  <w:style w:type="character" w:customStyle="1" w:styleId="12">
    <w:name w:val="页脚 字符"/>
    <w:basedOn w:val="10"/>
    <w:link w:val="5"/>
    <w:uiPriority w:val="99"/>
    <w:rPr>
      <w:sz w:val="18"/>
      <w:szCs w:val="18"/>
    </w:rPr>
  </w:style>
  <w:style w:type="character" w:customStyle="1" w:styleId="13">
    <w:name w:val="标题 1 字符"/>
    <w:basedOn w:val="10"/>
    <w:link w:val="2"/>
    <w:uiPriority w:val="9"/>
    <w:rPr>
      <w:rFonts w:ascii="Times New Roman" w:hAnsi="Times New Roman" w:eastAsia="宋体" w:cs="Times New Roman (正文 CS 字体)"/>
      <w:b/>
      <w:bCs/>
      <w:sz w:val="32"/>
      <w:szCs w:val="32"/>
    </w:rPr>
  </w:style>
  <w:style w:type="character" w:customStyle="1" w:styleId="14">
    <w:name w:val="标题 2 字符"/>
    <w:basedOn w:val="10"/>
    <w:link w:val="4"/>
    <w:uiPriority w:val="9"/>
    <w:rPr>
      <w:rFonts w:ascii="Times New Roman" w:hAnsi="Times New Roman" w:eastAsia="宋体" w:cs="Times New Roman (正文 CS 字体)"/>
      <w:b/>
      <w:bCs/>
      <w:sz w:val="28"/>
      <w:szCs w:val="28"/>
    </w:rPr>
  </w:style>
  <w:style w:type="character" w:customStyle="1" w:styleId="15">
    <w:name w:val="标题 字符"/>
    <w:basedOn w:val="10"/>
    <w:link w:val="7"/>
    <w:uiPriority w:val="10"/>
    <w:rPr>
      <w:rFonts w:asciiTheme="majorHAnsi" w:hAnsiTheme="majorHAnsi" w:eastAsiaTheme="majorEastAsia" w:cstheme="majorBidi"/>
      <w:b/>
      <w:bCs/>
      <w:sz w:val="32"/>
      <w:szCs w:val="32"/>
    </w:rPr>
  </w:style>
  <w:style w:type="character" w:customStyle="1" w:styleId="16">
    <w:name w:val="15"/>
    <w:basedOn w:val="10"/>
    <w:uiPriority w:val="0"/>
    <w:rPr>
      <w:rFonts w:hint="eastAsia" w:ascii="DengXian" w:hAnsi="DengXian" w:eastAsia="DengXian"/>
    </w:rPr>
  </w:style>
  <w:style w:type="character" w:styleId="17">
    <w:name w:val="Placeholder Text"/>
    <w:basedOn w:val="10"/>
    <w:semiHidden/>
    <w:uiPriority w:val="99"/>
    <w:rPr>
      <w:color w:val="808080"/>
    </w:rPr>
  </w:style>
  <w:style w:type="paragraph" w:styleId="18">
    <w:name w:val="No Spacing"/>
    <w:qFormat/>
    <w:uiPriority w:val="1"/>
    <w:pPr>
      <w:widowControl w:val="0"/>
      <w:ind w:firstLine="200" w:firstLineChars="200"/>
      <w:jc w:val="both"/>
    </w:pPr>
    <w:rPr>
      <w:rFonts w:ascii="Times New Roman" w:hAnsi="Times New Roman" w:eastAsia="宋体" w:cs="Times New Roman (正文 CS 字体)"/>
      <w:kern w:val="2"/>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yuan/study/&#31185;&#30740;/&#30805;&#22763;&#23398;&#20301;&#35770;&#25991;/documents/&#24320;&#39064;/2010&#25551;&#36848;&#24615;&#32479;&#357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妻子收入</a:t>
            </a:r>
            <a:r>
              <a:rPr lang="en-US" altLang="zh-CN"/>
              <a:t>/</a:t>
            </a:r>
            <a:r>
              <a:rPr lang="zh-CN" altLang="en-US"/>
              <a:t>丈夫收入</a:t>
            </a:r>
            <a:endParaRPr lang="zh-CN" altLang="en-US"/>
          </a:p>
        </c:rich>
      </c:tx>
      <c:layout/>
      <c:overlay val="0"/>
      <c:spPr>
        <a:noFill/>
        <a:ln>
          <a:noFill/>
        </a:ln>
        <a:effectLst/>
      </c:spPr>
    </c:title>
    <c:autoTitleDeleted val="0"/>
    <c:plotArea>
      <c:layout/>
      <c:barChart>
        <c:barDir val="col"/>
        <c:grouping val="clustered"/>
        <c:varyColors val="0"/>
        <c:ser>
          <c:idx val="0"/>
          <c:order val="0"/>
          <c:tx>
            <c:strRef>
              <c:f>收入影响!$C$46</c:f>
              <c:strCache>
                <c:ptCount val="1"/>
                <c:pt idx="0">
                  <c:v>不家暴组</c:v>
                </c:pt>
              </c:strCache>
            </c:strRef>
          </c:tx>
          <c:spPr>
            <a:solidFill>
              <a:schemeClr val="accent1"/>
            </a:solidFill>
            <a:ln>
              <a:noFill/>
            </a:ln>
            <a:effectLst/>
          </c:spPr>
          <c:invertIfNegative val="0"/>
          <c:dLbls>
            <c:delete val="1"/>
          </c:dLbls>
          <c:cat>
            <c:strRef>
              <c:f>收入影响!$D$45:$G$45</c:f>
              <c:strCache>
                <c:ptCount val="4"/>
                <c:pt idx="0">
                  <c:v>丈夫收入
        位于前1/4	</c:v>
                </c:pt>
                <c:pt idx="1">
                  <c:v>丈夫收入
位于前1/4-前1/2	</c:v>
                </c:pt>
                <c:pt idx="2">
                  <c:v>丈夫收入
        位于1/2-3/4	</c:v>
                </c:pt>
                <c:pt idx="3">
                  <c:v>丈夫收入
        位于后3/4	</c:v>
                </c:pt>
              </c:strCache>
            </c:strRef>
          </c:cat>
          <c:val>
            <c:numRef>
              <c:f>收入影响!$D$46:$G$46</c:f>
              <c:numCache>
                <c:formatCode>General</c:formatCode>
                <c:ptCount val="4"/>
                <c:pt idx="0">
                  <c:v>1.76</c:v>
                </c:pt>
                <c:pt idx="1">
                  <c:v>0.82</c:v>
                </c:pt>
                <c:pt idx="2">
                  <c:v>0.72</c:v>
                </c:pt>
                <c:pt idx="3">
                  <c:v>0.6</c:v>
                </c:pt>
              </c:numCache>
            </c:numRef>
          </c:val>
        </c:ser>
        <c:ser>
          <c:idx val="1"/>
          <c:order val="1"/>
          <c:tx>
            <c:strRef>
              <c:f>收入影响!$C$47</c:f>
              <c:strCache>
                <c:ptCount val="1"/>
                <c:pt idx="0">
                  <c:v>家暴组</c:v>
                </c:pt>
              </c:strCache>
            </c:strRef>
          </c:tx>
          <c:spPr>
            <a:solidFill>
              <a:schemeClr val="accent2"/>
            </a:solidFill>
            <a:ln>
              <a:noFill/>
            </a:ln>
            <a:effectLst/>
          </c:spPr>
          <c:invertIfNegative val="0"/>
          <c:dLbls>
            <c:delete val="1"/>
          </c:dLbls>
          <c:cat>
            <c:strRef>
              <c:f>收入影响!$D$45:$G$45</c:f>
              <c:strCache>
                <c:ptCount val="4"/>
                <c:pt idx="0">
                  <c:v>丈夫收入
        位于前1/4	</c:v>
                </c:pt>
                <c:pt idx="1">
                  <c:v>丈夫收入
位于前1/4-前1/2	</c:v>
                </c:pt>
                <c:pt idx="2">
                  <c:v>丈夫收入
        位于1/2-3/4	</c:v>
                </c:pt>
                <c:pt idx="3">
                  <c:v>丈夫收入
        位于后3/4	</c:v>
                </c:pt>
              </c:strCache>
            </c:strRef>
          </c:cat>
          <c:val>
            <c:numRef>
              <c:f>收入影响!$D$47:$G$47</c:f>
              <c:numCache>
                <c:formatCode>General</c:formatCode>
                <c:ptCount val="4"/>
                <c:pt idx="0">
                  <c:v>1.369</c:v>
                </c:pt>
                <c:pt idx="1">
                  <c:v>0.75</c:v>
                </c:pt>
                <c:pt idx="2">
                  <c:v>0.55</c:v>
                </c:pt>
                <c:pt idx="3">
                  <c:v>1.41</c:v>
                </c:pt>
              </c:numCache>
            </c:numRef>
          </c:val>
        </c:ser>
        <c:dLbls>
          <c:showLegendKey val="0"/>
          <c:showVal val="0"/>
          <c:showCatName val="0"/>
          <c:showSerName val="0"/>
          <c:showPercent val="0"/>
          <c:showBubbleSize val="0"/>
        </c:dLbls>
        <c:gapWidth val="219"/>
        <c:overlap val="-27"/>
        <c:axId val="1333178672"/>
        <c:axId val="1333184464"/>
      </c:barChart>
      <c:catAx>
        <c:axId val="1333178672"/>
        <c:scaling>
          <c:orientation val="minMax"/>
        </c:scaling>
        <c:delete val="0"/>
        <c:axPos val="b"/>
        <c:numFmt formatCode="#,##0;\-#,##0"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33184464"/>
        <c:crosses val="autoZero"/>
        <c:auto val="1"/>
        <c:lblAlgn val="ctr"/>
        <c:lblOffset val="100"/>
        <c:noMultiLvlLbl val="0"/>
      </c:catAx>
      <c:valAx>
        <c:axId val="133318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331786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1975</Words>
  <Characters>11260</Characters>
  <Lines>93</Lines>
  <Paragraphs>26</Paragraphs>
  <TotalTime>4</TotalTime>
  <ScaleCrop>false</ScaleCrop>
  <LinksUpToDate>false</LinksUpToDate>
  <CharactersWithSpaces>13209</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2023-09-22T12:03:00Z</dcterms:created>
  <dc:creator>8618919993880</dc:creator>
  <cp:lastModifiedBy>结结</cp:lastModifiedBy>
  <cp:lastPrinted>2023-09-22T12:03:00Z</cp:lastPrinted>
  <dcterms:modified xsi:type="dcterms:W3CDTF">2024-03-07T20:55:50Z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E98C607A04F7481A56B9E9659D8DDC96_42</vt:lpwstr>
  </property>
</Properties>
</file>