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4BEE6D" w14:textId="3CEA98D7" w:rsidR="009A66C6" w:rsidRPr="00B0050F" w:rsidRDefault="009A66C6" w:rsidP="00167845">
      <w:pPr>
        <w:pStyle w:val="Standard"/>
        <w:spacing w:line="360" w:lineRule="auto"/>
        <w:jc w:val="center"/>
        <w:rPr>
          <w:rFonts w:ascii="sans-serif" w:eastAsia="sans-serif" w:hAnsi="sans-serif" w:cs="sans-serif"/>
          <w:b/>
          <w:bCs/>
          <w:lang w:val="en-US"/>
        </w:rPr>
      </w:pPr>
      <w:r w:rsidRPr="68073F21">
        <w:rPr>
          <w:rFonts w:ascii="sans-serif" w:eastAsia="sans-serif" w:hAnsi="sans-serif" w:cs="sans-serif"/>
          <w:b/>
          <w:bCs/>
          <w:lang w:val="en-US"/>
        </w:rPr>
        <w:t xml:space="preserve">Transcriptomic analysis of breast cancer patients sensitive and resistant to chemotherapy: Looking for overall survival and drug resistance </w:t>
      </w:r>
      <w:proofErr w:type="gramStart"/>
      <w:r w:rsidRPr="68073F21">
        <w:rPr>
          <w:rFonts w:ascii="sans-serif" w:eastAsia="sans-serif" w:hAnsi="sans-serif" w:cs="sans-serif"/>
          <w:b/>
          <w:bCs/>
          <w:lang w:val="en-US"/>
        </w:rPr>
        <w:t>biomarkers</w:t>
      </w:r>
      <w:proofErr w:type="gramEnd"/>
    </w:p>
    <w:p w14:paraId="4AB7F390" w14:textId="14F83EA1" w:rsidR="009A66C6" w:rsidRPr="00D55BC2" w:rsidRDefault="009A66C6" w:rsidP="009A66C6">
      <w:pPr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</w:pPr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Carlos Alfredo Barr</w:t>
      </w:r>
      <w:r w:rsidRPr="00D55BC2"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  <w:t>ó</w:t>
      </w:r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n-</w:t>
      </w:r>
      <w:proofErr w:type="spellStart"/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Gallardo</w:t>
      </w:r>
      <w:proofErr w:type="spellEnd"/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, Mariel Garcia-</w:t>
      </w:r>
      <w:proofErr w:type="spellStart"/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Chagoll</w:t>
      </w:r>
      <w:r w:rsidRPr="00D55BC2"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  <w:t>á</w:t>
      </w:r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n</w:t>
      </w:r>
      <w:proofErr w:type="spellEnd"/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, And</w:t>
      </w:r>
      <w:r w:rsidRPr="00D55BC2"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  <w:t>ré</w:t>
      </w:r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s de Je</w:t>
      </w:r>
      <w:r w:rsidRPr="00D55BC2"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  <w:t>sú</w:t>
      </w:r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s M</w:t>
      </w:r>
      <w:r w:rsidRPr="00D55BC2"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  <w:t>orá</w:t>
      </w:r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n-Mendoza, R</w:t>
      </w:r>
      <w:r w:rsidRPr="00D55BC2"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  <w:t>aúl</w:t>
      </w:r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 xml:space="preserve"> Delgadillo-</w:t>
      </w:r>
      <w:proofErr w:type="spellStart"/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Cristerna</w:t>
      </w:r>
      <w:proofErr w:type="spellEnd"/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, Ma</w:t>
      </w:r>
      <w:r w:rsidRPr="00D55BC2"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  <w:t>ría</w:t>
      </w:r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 xml:space="preserve"> Guadalupe Mar</w:t>
      </w:r>
      <w:r w:rsidRPr="00D55BC2"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  <w:t>tí</w:t>
      </w:r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nez-Silva, Adriana Aguilar-Lemarroy, Luis Felipe Jave-S</w:t>
      </w:r>
      <w:r w:rsidRPr="00D55BC2"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  <w:t>uár</w:t>
      </w:r>
      <w:r w:rsidRPr="00D55BC2">
        <w:rPr>
          <w:rFonts w:ascii="sans-serif" w:eastAsia="sans-serif" w:hAnsi="sans-serif" w:cs="sans-serif" w:hint="eastAsia"/>
          <w:kern w:val="3"/>
          <w:sz w:val="24"/>
          <w:szCs w:val="24"/>
          <w:lang w:eastAsia="zh-CN" w:bidi="hi-IN"/>
        </w:rPr>
        <w:t>ez</w:t>
      </w:r>
    </w:p>
    <w:p w14:paraId="04891735" w14:textId="592CFFF2" w:rsidR="00B33998" w:rsidRDefault="00B33998">
      <w:pPr>
        <w:spacing w:after="0" w:line="240" w:lineRule="auto"/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</w:pPr>
    </w:p>
    <w:p w14:paraId="2E63DAD4" w14:textId="77777777" w:rsidR="008743D8" w:rsidRPr="00D55BC2" w:rsidRDefault="008743D8">
      <w:pPr>
        <w:spacing w:after="0" w:line="240" w:lineRule="auto"/>
        <w:rPr>
          <w:rFonts w:ascii="sans-serif" w:eastAsia="sans-serif" w:hAnsi="sans-serif" w:cs="sans-serif"/>
          <w:kern w:val="3"/>
          <w:sz w:val="24"/>
          <w:szCs w:val="24"/>
          <w:lang w:eastAsia="zh-CN" w:bidi="hi-IN"/>
        </w:rPr>
      </w:pPr>
    </w:p>
    <w:p w14:paraId="045FB8F8" w14:textId="4D7E4D05" w:rsidR="009A66C6" w:rsidRPr="00F40170" w:rsidRDefault="00D55BC2">
      <w:pPr>
        <w:rPr>
          <w:rFonts w:ascii="sans-serif" w:eastAsia="sans-serif" w:hAnsi="sans-serif" w:cs="sans-serif"/>
          <w:b/>
          <w:bCs/>
          <w:kern w:val="3"/>
          <w:sz w:val="24"/>
          <w:szCs w:val="24"/>
          <w:lang w:val="en-US" w:eastAsia="zh-CN" w:bidi="hi-IN"/>
        </w:rPr>
      </w:pPr>
      <w:r w:rsidRPr="00D55BC2">
        <w:rPr>
          <w:rFonts w:ascii="sans-serif" w:eastAsia="sans-serif" w:hAnsi="sans-serif" w:cs="sans-serif"/>
          <w:b/>
          <w:bCs/>
          <w:kern w:val="3"/>
          <w:sz w:val="24"/>
          <w:szCs w:val="24"/>
          <w:lang w:val="en-US" w:eastAsia="zh-CN" w:bidi="hi-IN"/>
        </w:rPr>
        <w:t>Supplementary table 1. Clinical Characteristics of Patients.</w:t>
      </w:r>
    </w:p>
    <w:tbl>
      <w:tblPr>
        <w:tblStyle w:val="Tablaconcuadrcula"/>
        <w:tblW w:w="15568" w:type="dxa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497"/>
        <w:gridCol w:w="2171"/>
        <w:gridCol w:w="2024"/>
        <w:gridCol w:w="664"/>
        <w:gridCol w:w="1475"/>
        <w:gridCol w:w="1799"/>
        <w:gridCol w:w="1301"/>
        <w:gridCol w:w="1554"/>
        <w:gridCol w:w="2290"/>
        <w:gridCol w:w="1793"/>
      </w:tblGrid>
      <w:tr w:rsidR="00FA00E9" w:rsidRPr="00F40170" w14:paraId="24B35411" w14:textId="77777777" w:rsidTr="009A66C6">
        <w:tc>
          <w:tcPr>
            <w:tcW w:w="803" w:type="dxa"/>
            <w:tcBorders>
              <w:left w:val="nil"/>
              <w:bottom w:val="nil"/>
              <w:right w:val="nil"/>
            </w:tcBorders>
          </w:tcPr>
          <w:p w14:paraId="0A970367" w14:textId="08A0311F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ID</w:t>
            </w:r>
          </w:p>
        </w:tc>
        <w:tc>
          <w:tcPr>
            <w:tcW w:w="2887" w:type="dxa"/>
            <w:tcBorders>
              <w:left w:val="nil"/>
              <w:bottom w:val="nil"/>
              <w:right w:val="nil"/>
            </w:tcBorders>
          </w:tcPr>
          <w:p w14:paraId="2738279D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CHEMOTHERAPY SCHEME</w:t>
            </w:r>
          </w:p>
        </w:tc>
        <w:tc>
          <w:tcPr>
            <w:tcW w:w="2100" w:type="dxa"/>
            <w:tcBorders>
              <w:left w:val="nil"/>
              <w:bottom w:val="nil"/>
              <w:right w:val="nil"/>
            </w:tcBorders>
          </w:tcPr>
          <w:p w14:paraId="23DBD74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CHEMOTHERAPY RESPONSE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2D84B55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AGE</w:t>
            </w:r>
          </w:p>
        </w:tc>
        <w:tc>
          <w:tcPr>
            <w:tcW w:w="1506" w:type="dxa"/>
            <w:tcBorders>
              <w:left w:val="nil"/>
              <w:bottom w:val="nil"/>
              <w:right w:val="nil"/>
            </w:tcBorders>
          </w:tcPr>
          <w:p w14:paraId="195108B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ESTROGEN RECEPTORS</w:t>
            </w:r>
          </w:p>
        </w:tc>
        <w:tc>
          <w:tcPr>
            <w:tcW w:w="1530" w:type="dxa"/>
            <w:tcBorders>
              <w:left w:val="nil"/>
              <w:bottom w:val="nil"/>
              <w:right w:val="nil"/>
            </w:tcBorders>
          </w:tcPr>
          <w:p w14:paraId="58FB4F2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PROGESTERON RECEPTORS</w:t>
            </w:r>
          </w:p>
        </w:tc>
        <w:tc>
          <w:tcPr>
            <w:tcW w:w="1090" w:type="dxa"/>
            <w:tcBorders>
              <w:left w:val="nil"/>
              <w:bottom w:val="nil"/>
              <w:right w:val="nil"/>
            </w:tcBorders>
          </w:tcPr>
          <w:p w14:paraId="09631A0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HER 2 NEU</w:t>
            </w:r>
          </w:p>
        </w:tc>
        <w:tc>
          <w:tcPr>
            <w:tcW w:w="1343" w:type="dxa"/>
            <w:tcBorders>
              <w:left w:val="nil"/>
              <w:bottom w:val="nil"/>
              <w:right w:val="nil"/>
            </w:tcBorders>
          </w:tcPr>
          <w:p w14:paraId="41D2F800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MOLECULAR SUBTYPE</w:t>
            </w:r>
          </w:p>
        </w:tc>
        <w:tc>
          <w:tcPr>
            <w:tcW w:w="1851" w:type="dxa"/>
            <w:tcBorders>
              <w:left w:val="nil"/>
              <w:bottom w:val="nil"/>
              <w:right w:val="nil"/>
            </w:tcBorders>
          </w:tcPr>
          <w:p w14:paraId="2F3E1EF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HISTOLOGICAL TYPE</w:t>
            </w:r>
          </w:p>
        </w:tc>
        <w:tc>
          <w:tcPr>
            <w:tcW w:w="1480" w:type="dxa"/>
            <w:tcBorders>
              <w:left w:val="nil"/>
              <w:bottom w:val="nil"/>
              <w:right w:val="nil"/>
            </w:tcBorders>
          </w:tcPr>
          <w:p w14:paraId="6CD0DED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HISTOLOGICAL GRADE</w:t>
            </w:r>
          </w:p>
        </w:tc>
      </w:tr>
      <w:tr w:rsidR="00FA00E9" w:rsidRPr="00F40170" w14:paraId="1634556E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18F999B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2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03EBDDE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 and docetaxel 1 cycle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7D4B508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4B34824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29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5EDD8E8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50F252D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743B8F0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79B70D5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LUMINAL A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3A122FC0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66B63B5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</w:t>
            </w:r>
          </w:p>
        </w:tc>
      </w:tr>
      <w:tr w:rsidR="00FA00E9" w:rsidRPr="00F40170" w14:paraId="591A7F4C" w14:textId="77777777" w:rsidTr="009A66C6"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5FCD5EC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3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</w:tcPr>
          <w:p w14:paraId="75BFAD2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cycles, docetaxel 4 cycles and trastuzumab 3 cycles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17834A3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54368C0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49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2F13866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1FE3A2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7A8DF98D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 w14:paraId="6EC9D9E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HER 2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4D8219D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14:paraId="4B470EB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</w:t>
            </w:r>
          </w:p>
        </w:tc>
      </w:tr>
      <w:tr w:rsidR="00FA00E9" w:rsidRPr="00F40170" w14:paraId="7812FB6A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78941E4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0FAE623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 and carboplatin-paclitaxel 4 cycles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5690C6B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64397A9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44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05A3ABD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025810A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418E74F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6BBD585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TRIPLE NEGATIVE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4412173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28733C0C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SBRIII</w:t>
            </w:r>
          </w:p>
        </w:tc>
      </w:tr>
      <w:tr w:rsidR="00FA00E9" w:rsidRPr="00F40170" w14:paraId="2B838DE8" w14:textId="77777777" w:rsidTr="009A66C6"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29B4EA1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6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</w:tcPr>
          <w:p w14:paraId="1F77E42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 and docetaxel 4 cycles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782E7E6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5FE3165D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55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3B8F0F8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B4BB87D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4BD4BF3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 w14:paraId="7B13181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LUMINAL A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4F72432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ADENOCARCINOMA LOBULILLAR INVASIVO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14:paraId="5BDB552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</w:t>
            </w:r>
          </w:p>
        </w:tc>
      </w:tr>
      <w:tr w:rsidR="00FA00E9" w:rsidRPr="00F40170" w14:paraId="17A22D77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44B0A20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8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6D32DE1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Doxorubicin-cyclophosphamide 2 cycles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05DF990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3F6FB1E0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53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1B5150F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7704D6C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76AA0DF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6874124D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LUMINAL B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0199C5F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4D2AAC6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</w:t>
            </w:r>
          </w:p>
        </w:tc>
      </w:tr>
      <w:tr w:rsidR="00FA00E9" w:rsidRPr="00F40170" w14:paraId="756B82DE" w14:textId="77777777" w:rsidTr="009A66C6"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4737E36C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lastRenderedPageBreak/>
              <w:t>11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</w:tcPr>
          <w:p w14:paraId="377E7B3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6 cycles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65FDA53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3CBA40D0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51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07F1F0F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492D6FC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7D5C1C2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 w14:paraId="58C7E56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TRIPLE NEGATIVO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6B621BA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14:paraId="534116B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SBRIII</w:t>
            </w:r>
          </w:p>
        </w:tc>
      </w:tr>
      <w:tr w:rsidR="00FA00E9" w:rsidRPr="00F40170" w14:paraId="6C8AEB96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4B73E58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12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11957E2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Fluorouracil-</w:t>
            </w: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6 cycles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7575AF8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46DE38F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65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6CA5B47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2509272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339417CC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62B57AA0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HER 2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5EC4569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5F44E06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</w:t>
            </w:r>
          </w:p>
        </w:tc>
      </w:tr>
      <w:tr w:rsidR="00FA00E9" w:rsidRPr="00F40170" w14:paraId="5EC0C81E" w14:textId="77777777" w:rsidTr="009A66C6"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44C2641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22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</w:tcPr>
          <w:p w14:paraId="0B19AC5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Epirubicina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 and docetaxel 4 cycles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1440D73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04C1D53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62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61BD423D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973078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58293A0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 w14:paraId="55CF375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LUMINAL A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4066C1A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14:paraId="18ADA3F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</w:t>
            </w:r>
          </w:p>
        </w:tc>
      </w:tr>
      <w:tr w:rsidR="00FA00E9" w:rsidRPr="00F40170" w14:paraId="212652C8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4BFDD700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25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209F3C2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Doxorubicin-cyclophosphamide 4 cycles and docetaxel 4 cycles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1E7FF4E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0868EBB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54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285120C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3FD6743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1BA8DF3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77E5F3AC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LUMINAL B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07BA1AB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37CA32A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</w:t>
            </w:r>
          </w:p>
        </w:tc>
      </w:tr>
      <w:tr w:rsidR="00FA00E9" w:rsidRPr="00F40170" w14:paraId="18FCF19C" w14:textId="77777777" w:rsidTr="009A66C6"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41C0AA5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27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</w:tcPr>
          <w:p w14:paraId="7DF00A2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 xml:space="preserve">-cyclophosphamide 4 cycles, docetaxel 4 </w:t>
            </w: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ciclo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 xml:space="preserve"> and trastuzumab 3 cycles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1C0BBEA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6F8A58D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56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47802E3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66A8CC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7DCF97F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 w14:paraId="4091AE9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HER 2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7D66C7B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14:paraId="146E812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NA</w:t>
            </w:r>
          </w:p>
        </w:tc>
      </w:tr>
      <w:tr w:rsidR="00FA00E9" w:rsidRPr="00F40170" w14:paraId="0166E3DC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57393B2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28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520009D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cycles, paclitaxel-carboplatin weekly 4 cycles and trastuzumab 8 cycles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34C5E2B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7CE58F4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33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12BF6E6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3FE3E67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0FEF9F5A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0CC077D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HER 2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186D808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416059BD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SBRIII</w:t>
            </w:r>
          </w:p>
        </w:tc>
      </w:tr>
      <w:tr w:rsidR="00FA00E9" w:rsidRPr="00F40170" w14:paraId="26321F8F" w14:textId="77777777" w:rsidTr="009A66C6"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704A35C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40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</w:tcPr>
          <w:p w14:paraId="13E187DC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 + paclitaxel 4 cycles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5F0C32A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4694188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3DE0B24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2474AC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52C68D3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 w14:paraId="2595AC6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TRIPLE NEGATIVE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5810D88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14:paraId="1B66F52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SBRIII</w:t>
            </w:r>
          </w:p>
        </w:tc>
      </w:tr>
      <w:tr w:rsidR="00FA00E9" w:rsidRPr="00F40170" w14:paraId="6F4DB312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270091A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lastRenderedPageBreak/>
              <w:t>44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459D2C3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Carboplatin-docetaxel-trastuzumab 6 cycles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331237F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RESISTANT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60E7A8A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58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3E413C5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670D25D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342F5F9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694F944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HER 2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0F12AC4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6F27D89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</w:t>
            </w:r>
          </w:p>
        </w:tc>
      </w:tr>
      <w:tr w:rsidR="00FA00E9" w:rsidRPr="00F40170" w14:paraId="40DE8DF7" w14:textId="77777777" w:rsidTr="009A66C6"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75697EEC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7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</w:tcPr>
          <w:p w14:paraId="7214E25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Doxorubicin-cyclophosphamide 4 cycles, docetaxel 4 cycles and trastuzumab 3 cycles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4A2B505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SENSITIVE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55440C0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64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15E8AD8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6AD0EF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4FD0705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 w14:paraId="6A18E94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HER 2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79526B3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14:paraId="4A84D8B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 II</w:t>
            </w:r>
          </w:p>
        </w:tc>
      </w:tr>
      <w:tr w:rsidR="00FA00E9" w:rsidRPr="00F40170" w14:paraId="79BE0864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2B2B730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9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0972BA8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 and carboplatin-paclitaxel weekly 4 cycles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6535CBF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SENSITIVE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2C8B330C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31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570618AA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2ADAD0B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5496B81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51BF566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LUMINAL B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745CCE8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6E550CC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</w:t>
            </w:r>
          </w:p>
        </w:tc>
      </w:tr>
      <w:tr w:rsidR="00FA00E9" w:rsidRPr="00F40170" w14:paraId="74573323" w14:textId="77777777" w:rsidTr="009A66C6"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5007C90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20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</w:tcPr>
          <w:p w14:paraId="53DEC6F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Doxorubicin-cyclophosphamide 4 cycles + docetaxel 4 cycles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0F29620A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SENSITIVE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43FBD11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45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36C199D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F74EA3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6118E82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 w14:paraId="01D260A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LUMINAL B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7D579D3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14:paraId="0CD5210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SBRIII</w:t>
            </w:r>
          </w:p>
        </w:tc>
      </w:tr>
      <w:tr w:rsidR="00FA00E9" w:rsidRPr="00F40170" w14:paraId="605A3E3A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7B56821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21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29984987" w14:textId="433FCF6D" w:rsidR="00FA00E9" w:rsidRPr="00F40170" w:rsidRDefault="643F1918" w:rsidP="643F1918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cycles, carboplatin-paclitaxel 4 cycles and trastuzumab 8 cycles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79CD05E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SENSITIVE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6089FD3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48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0ED13D9A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7DC4EF3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37940E3D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795EC43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LUMINAL B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222EE8C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5A027DF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SBRIII</w:t>
            </w:r>
          </w:p>
        </w:tc>
      </w:tr>
      <w:tr w:rsidR="00FA00E9" w:rsidRPr="00F40170" w14:paraId="017CEA59" w14:textId="77777777" w:rsidTr="009A66C6"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1D8EB8E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24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</w:tcPr>
          <w:p w14:paraId="177BE57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cycles, carboplatin-paclitaxel 4 cycles and trastuzumab 6 cycles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5D6B804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SENSITIVE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1CB76B5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67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6770675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452F1C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145EBFC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 w14:paraId="7C71740A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HER 2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2CF491C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14:paraId="365BB3B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SBRIII</w:t>
            </w:r>
          </w:p>
        </w:tc>
      </w:tr>
      <w:tr w:rsidR="00FA00E9" w:rsidRPr="00F40170" w14:paraId="5E0DE95E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219897C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lastRenderedPageBreak/>
              <w:t>30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1C15260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 xml:space="preserve">-cyclophosphamide 3 cycles and carboplatin-paclitaxel 4 cycles 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2258DD1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SENSITIVE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0E95CDC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NA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1299531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NA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391525AD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NA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680296A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NA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2731640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NA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58D527F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NA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3981882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NA</w:t>
            </w:r>
          </w:p>
        </w:tc>
      </w:tr>
      <w:tr w:rsidR="00FA00E9" w:rsidRPr="00F40170" w14:paraId="5E1ADDE3" w14:textId="77777777" w:rsidTr="009A66C6"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434292C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32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</w:tcPr>
          <w:p w14:paraId="6DD7EF35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Doxorubicin-cyclophosphamide 4 cycles and docetaxel 4 cycles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146B582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SENSITIVE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658417D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55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</w:tcPr>
          <w:p w14:paraId="1675F60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21E048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14:paraId="0AAEFC8A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 w14:paraId="7CB80B9E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HER 2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</w:tcPr>
          <w:p w14:paraId="250CDB7F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</w:tcPr>
          <w:p w14:paraId="7D6A8340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 III</w:t>
            </w:r>
          </w:p>
        </w:tc>
      </w:tr>
      <w:tr w:rsidR="00FA00E9" w:rsidRPr="00F40170" w14:paraId="0A3CBDA4" w14:textId="77777777" w:rsidTr="009A66C6">
        <w:tc>
          <w:tcPr>
            <w:tcW w:w="803" w:type="dxa"/>
            <w:tcBorders>
              <w:left w:val="nil"/>
              <w:right w:val="nil"/>
            </w:tcBorders>
          </w:tcPr>
          <w:p w14:paraId="61A51A77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39</w:t>
            </w:r>
          </w:p>
        </w:tc>
        <w:tc>
          <w:tcPr>
            <w:tcW w:w="2887" w:type="dxa"/>
            <w:tcBorders>
              <w:left w:val="nil"/>
              <w:right w:val="nil"/>
            </w:tcBorders>
          </w:tcPr>
          <w:p w14:paraId="7785CF1C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 + docetaxel 4 cycles</w:t>
            </w:r>
          </w:p>
        </w:tc>
        <w:tc>
          <w:tcPr>
            <w:tcW w:w="2100" w:type="dxa"/>
            <w:tcBorders>
              <w:left w:val="nil"/>
              <w:right w:val="nil"/>
            </w:tcBorders>
          </w:tcPr>
          <w:p w14:paraId="06F922ED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SENSITIVE</w:t>
            </w:r>
          </w:p>
        </w:tc>
        <w:tc>
          <w:tcPr>
            <w:tcW w:w="978" w:type="dxa"/>
            <w:tcBorders>
              <w:left w:val="nil"/>
              <w:right w:val="nil"/>
            </w:tcBorders>
          </w:tcPr>
          <w:p w14:paraId="6886189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50</w:t>
            </w:r>
          </w:p>
        </w:tc>
        <w:tc>
          <w:tcPr>
            <w:tcW w:w="1506" w:type="dxa"/>
            <w:tcBorders>
              <w:left w:val="nil"/>
              <w:right w:val="nil"/>
            </w:tcBorders>
          </w:tcPr>
          <w:p w14:paraId="78CBACF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665EB00B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left w:val="nil"/>
              <w:right w:val="nil"/>
            </w:tcBorders>
          </w:tcPr>
          <w:p w14:paraId="6593880A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343" w:type="dxa"/>
            <w:tcBorders>
              <w:left w:val="nil"/>
              <w:right w:val="nil"/>
            </w:tcBorders>
          </w:tcPr>
          <w:p w14:paraId="3396E234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TRIPLE NEGATIVE</w:t>
            </w:r>
          </w:p>
        </w:tc>
        <w:tc>
          <w:tcPr>
            <w:tcW w:w="1851" w:type="dxa"/>
            <w:tcBorders>
              <w:left w:val="nil"/>
              <w:right w:val="nil"/>
            </w:tcBorders>
          </w:tcPr>
          <w:p w14:paraId="318AE386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CARCINOMA MAMARIO INVASIVO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14:paraId="1B90D1B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SBRIII</w:t>
            </w:r>
          </w:p>
        </w:tc>
      </w:tr>
      <w:tr w:rsidR="00FA00E9" w:rsidRPr="00F40170" w14:paraId="70893C30" w14:textId="77777777" w:rsidTr="009A66C6">
        <w:tc>
          <w:tcPr>
            <w:tcW w:w="803" w:type="dxa"/>
            <w:tcBorders>
              <w:top w:val="nil"/>
              <w:left w:val="nil"/>
              <w:right w:val="nil"/>
            </w:tcBorders>
          </w:tcPr>
          <w:p w14:paraId="245D991A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41</w:t>
            </w:r>
          </w:p>
        </w:tc>
        <w:tc>
          <w:tcPr>
            <w:tcW w:w="2887" w:type="dxa"/>
            <w:tcBorders>
              <w:top w:val="nil"/>
              <w:left w:val="nil"/>
              <w:right w:val="nil"/>
            </w:tcBorders>
          </w:tcPr>
          <w:p w14:paraId="7854C4F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proofErr w:type="spellStart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Epirubicin</w:t>
            </w:r>
            <w:proofErr w:type="spellEnd"/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-cyclophosphamide 4 cycles, carboplatin-paclitaxel 4 cycles and trastuzumab 6 cycles</w:t>
            </w:r>
          </w:p>
        </w:tc>
        <w:tc>
          <w:tcPr>
            <w:tcW w:w="2100" w:type="dxa"/>
            <w:tcBorders>
              <w:top w:val="nil"/>
              <w:left w:val="nil"/>
              <w:right w:val="nil"/>
            </w:tcBorders>
          </w:tcPr>
          <w:p w14:paraId="022D1888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SENSITIVE</w:t>
            </w:r>
          </w:p>
        </w:tc>
        <w:tc>
          <w:tcPr>
            <w:tcW w:w="978" w:type="dxa"/>
            <w:tcBorders>
              <w:top w:val="nil"/>
              <w:left w:val="nil"/>
              <w:right w:val="nil"/>
            </w:tcBorders>
          </w:tcPr>
          <w:p w14:paraId="00B008B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52</w:t>
            </w:r>
          </w:p>
        </w:tc>
        <w:tc>
          <w:tcPr>
            <w:tcW w:w="1506" w:type="dxa"/>
            <w:tcBorders>
              <w:top w:val="nil"/>
              <w:left w:val="nil"/>
              <w:right w:val="nil"/>
            </w:tcBorders>
          </w:tcPr>
          <w:p w14:paraId="4E8AF883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530" w:type="dxa"/>
            <w:tcBorders>
              <w:top w:val="nil"/>
              <w:left w:val="nil"/>
              <w:right w:val="nil"/>
            </w:tcBorders>
          </w:tcPr>
          <w:p w14:paraId="420DDCB1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NEGATIVE</w:t>
            </w:r>
          </w:p>
        </w:tc>
        <w:tc>
          <w:tcPr>
            <w:tcW w:w="1090" w:type="dxa"/>
            <w:tcBorders>
              <w:top w:val="nil"/>
              <w:left w:val="nil"/>
              <w:right w:val="nil"/>
            </w:tcBorders>
          </w:tcPr>
          <w:p w14:paraId="4387E08A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POSITIVE</w:t>
            </w:r>
          </w:p>
        </w:tc>
        <w:tc>
          <w:tcPr>
            <w:tcW w:w="1343" w:type="dxa"/>
            <w:tcBorders>
              <w:top w:val="nil"/>
              <w:left w:val="nil"/>
              <w:right w:val="nil"/>
            </w:tcBorders>
          </w:tcPr>
          <w:p w14:paraId="5AE98AA2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LUMINAL B</w:t>
            </w:r>
          </w:p>
        </w:tc>
        <w:tc>
          <w:tcPr>
            <w:tcW w:w="1851" w:type="dxa"/>
            <w:tcBorders>
              <w:top w:val="nil"/>
              <w:left w:val="nil"/>
              <w:right w:val="nil"/>
            </w:tcBorders>
          </w:tcPr>
          <w:p w14:paraId="769AE719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INVASIVE DUCTAL CARCINOMA</w:t>
            </w:r>
          </w:p>
        </w:tc>
        <w:tc>
          <w:tcPr>
            <w:tcW w:w="1480" w:type="dxa"/>
            <w:tcBorders>
              <w:top w:val="nil"/>
              <w:left w:val="nil"/>
              <w:right w:val="nil"/>
            </w:tcBorders>
          </w:tcPr>
          <w:p w14:paraId="320C7CBC" w14:textId="77777777" w:rsidR="00FA00E9" w:rsidRPr="00F40170" w:rsidRDefault="00F40170">
            <w:pPr>
              <w:spacing w:after="0" w:line="240" w:lineRule="auto"/>
              <w:jc w:val="center"/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</w:pPr>
            <w:r w:rsidRPr="00F40170">
              <w:rPr>
                <w:rFonts w:ascii="sans-serif" w:eastAsia="sans-serif" w:hAnsi="sans-serif" w:cs="sans-serif"/>
                <w:kern w:val="3"/>
                <w:sz w:val="24"/>
                <w:szCs w:val="24"/>
                <w:lang w:val="en-US" w:eastAsia="zh-CN" w:bidi="hi-IN"/>
              </w:rPr>
              <w:t>SBRII</w:t>
            </w:r>
          </w:p>
        </w:tc>
      </w:tr>
    </w:tbl>
    <w:p w14:paraId="672A6659" w14:textId="77777777" w:rsidR="00FA00E9" w:rsidRPr="00F40170" w:rsidRDefault="00FA00E9">
      <w:pPr>
        <w:rPr>
          <w:rFonts w:ascii="sans-serif" w:eastAsia="sans-serif" w:hAnsi="sans-serif" w:cs="sans-serif"/>
          <w:kern w:val="3"/>
          <w:sz w:val="24"/>
          <w:szCs w:val="24"/>
          <w:lang w:val="en-US" w:eastAsia="zh-CN" w:bidi="hi-IN"/>
        </w:rPr>
      </w:pPr>
    </w:p>
    <w:sectPr w:rsidR="00FA00E9" w:rsidRPr="00F40170">
      <w:pgSz w:w="16838" w:h="11906" w:orient="landscape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eeSans">
    <w:altName w:val="Calibri"/>
    <w:charset w:val="00"/>
    <w:family w:val="auto"/>
    <w:pitch w:val="variable"/>
  </w:font>
  <w:font w:name="sans-serif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3F1918"/>
    <w:rsid w:val="00167845"/>
    <w:rsid w:val="00473C4D"/>
    <w:rsid w:val="008743D8"/>
    <w:rsid w:val="009A66C6"/>
    <w:rsid w:val="00B33998"/>
    <w:rsid w:val="00D55BC2"/>
    <w:rsid w:val="00F40170"/>
    <w:rsid w:val="00FA00E9"/>
    <w:rsid w:val="643F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D201"/>
  <w15:docId w15:val="{6B0BAAE5-AF38-428D-AA84-72DCFCE3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1B235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B2354"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andard">
    <w:name w:val="Standard"/>
    <w:link w:val="StandardCar"/>
    <w:rsid w:val="009A66C6"/>
    <w:pPr>
      <w:autoSpaceDN w:val="0"/>
      <w:textAlignment w:val="baseline"/>
    </w:pPr>
    <w:rPr>
      <w:rFonts w:ascii="Liberation Serif" w:eastAsia="SimSun" w:hAnsi="Liberation Serif" w:cs="FreeSans"/>
      <w:kern w:val="3"/>
      <w:sz w:val="24"/>
      <w:szCs w:val="24"/>
      <w:lang w:eastAsia="zh-CN" w:bidi="hi-IN"/>
    </w:rPr>
  </w:style>
  <w:style w:type="character" w:customStyle="1" w:styleId="StandardCar">
    <w:name w:val="Standard Car"/>
    <w:basedOn w:val="Fuentedeprrafopredeter"/>
    <w:link w:val="Standard"/>
    <w:rsid w:val="009A66C6"/>
    <w:rPr>
      <w:rFonts w:ascii="Liberation Serif" w:eastAsia="SimSun" w:hAnsi="Liberation Serif" w:cs="Free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602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alfredo barron gallardo</dc:creator>
  <dc:description/>
  <cp:lastModifiedBy>Luis Felipe Jave Suárez</cp:lastModifiedBy>
  <cp:revision>12</cp:revision>
  <cp:lastPrinted>2020-12-07T17:51:00Z</cp:lastPrinted>
  <dcterms:created xsi:type="dcterms:W3CDTF">2020-11-24T21:19:00Z</dcterms:created>
  <dcterms:modified xsi:type="dcterms:W3CDTF">2021-03-22T16:12:00Z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