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color w:val="2E74B5"/>
          <w:sz w:val="20"/>
        </w:rPr>
        <w:t>RESPONSE</w:t>
      </w:r>
    </w:p>
    <w:p>
      <w:pPr>
        <w:spacing w:after="100"/>
      </w:pPr>
      <w:r>
        <w:rPr>
          <w:rFonts w:ascii="Arial" w:hAnsi="Arial"/>
          <w:b/>
          <w:sz w:val="44"/>
        </w:rPr>
        <w:t>Industry-wise Pain Points &amp; SAK ERP Solutions</w:t>
      </w:r>
    </w:p>
    <w:p>
      <w:pPr>
        <w:spacing w:after="320"/>
      </w:pPr>
      <w:r>
        <w:rPr>
          <w:rFonts w:ascii="Arial" w:hAnsi="Arial"/>
          <w:i/>
          <w:color w:val="595959"/>
          <w:sz w:val="24"/>
        </w:rPr>
        <w:t>Topic 3: Proposed vertical GTM direction</w:t>
      </w:r>
    </w:p>
    <w:p>
      <w:pPr>
        <w:spacing w:after="40"/>
      </w:pPr>
      <w:r>
        <w:rPr>
          <w:rFonts w:ascii="Arial" w:hAnsi="Arial"/>
          <w:b/>
          <w:sz w:val="21"/>
        </w:rPr>
        <w:t xml:space="preserve">Subject: </w:t>
      </w:r>
      <w:r>
        <w:rPr>
          <w:rFonts w:ascii="Arial" w:hAnsi="Arial"/>
          <w:sz w:val="21"/>
        </w:rPr>
        <w:t>Approval of the vertical-specific sales-story approach</w:t>
      </w:r>
    </w:p>
    <w:p>
      <w:pPr>
        <w:spacing w:after="40"/>
      </w:pPr>
      <w:r>
        <w:rPr>
          <w:rFonts w:ascii="Arial" w:hAnsi="Arial"/>
          <w:b/>
          <w:sz w:val="21"/>
        </w:rPr>
        <w:t xml:space="preserve">Status: </w:t>
      </w:r>
      <w:r>
        <w:rPr>
          <w:rFonts w:ascii="Arial" w:hAnsi="Arial"/>
          <w:sz w:val="21"/>
        </w:rPr>
        <w:t>Aligned — proceed with Metal Fabrication &amp; Machining first</w:t>
      </w:r>
    </w:p>
    <w:p/>
    <w:p>
      <w:r>
        <w:rPr>
          <w:rFonts w:ascii="Arial" w:hAnsi="Arial"/>
          <w:b w:val="0"/>
          <w:sz w:val="22"/>
        </w:rPr>
        <w:t xml:space="preserve">Thank you for laying out a clear direction for Topic 3. </w:t>
      </w:r>
      <w:r>
        <w:rPr>
          <w:rFonts w:ascii="Arial" w:hAnsi="Arial"/>
          <w:b/>
          <w:sz w:val="22"/>
        </w:rPr>
        <w:t>I agree with the proposed approach: our go-to-market message should lead with the operational problems each vertical faces, rather than a generic list of ERP modules.</w:t>
      </w:r>
    </w:p>
    <w:p>
      <w:r>
        <w:rPr>
          <w:rFonts w:ascii="Arial" w:hAnsi="Arial"/>
          <w:sz w:val="22"/>
        </w:rPr>
        <w:t>This will make SAK ERP easier for prospects to understand because the conversation starts with their day-to-day challenges and shows a direct path to control, visibility, and measurable business improvement.</w:t>
      </w:r>
    </w:p>
    <w:p>
      <w:pPr>
        <w:pStyle w:val="Heading1"/>
      </w:pPr>
      <w:r>
        <w:t>What I support</w:t>
      </w:r>
    </w:p>
    <w:p>
      <w:pPr>
        <w:pStyle w:val="ListBullet"/>
        <w:spacing w:after="100"/>
      </w:pPr>
      <w:r>
        <w:rPr>
          <w:rFonts w:ascii="Arial" w:hAnsi="Arial"/>
          <w:b/>
          <w:sz w:val="22"/>
        </w:rPr>
        <w:t xml:space="preserve">Vertical-specific story: </w:t>
      </w:r>
      <w:r>
        <w:rPr>
          <w:rFonts w:ascii="Arial" w:hAnsi="Arial"/>
          <w:sz w:val="22"/>
        </w:rPr>
        <w:t>Build a distinct narrative for each priority industry, anchored in the customer’s operational and financial pain points.</w:t>
      </w:r>
    </w:p>
    <w:p>
      <w:pPr>
        <w:pStyle w:val="ListBullet"/>
        <w:spacing w:after="100"/>
      </w:pPr>
      <w:r>
        <w:rPr>
          <w:rFonts w:ascii="Arial" w:hAnsi="Arial"/>
          <w:b/>
          <w:sz w:val="22"/>
        </w:rPr>
        <w:t xml:space="preserve">Consistent framework: </w:t>
      </w:r>
      <w:r>
        <w:rPr>
          <w:rFonts w:ascii="Arial" w:hAnsi="Arial"/>
          <w:sz w:val="22"/>
        </w:rPr>
        <w:t>Use the proposed Pain → Consequence → SAK Intervention → Proof → Outcome model so sales, marketing, and product demonstrations use the same logic.</w:t>
      </w:r>
    </w:p>
    <w:p>
      <w:pPr>
        <w:pStyle w:val="ListBullet"/>
        <w:spacing w:after="100"/>
      </w:pPr>
      <w:r>
        <w:rPr>
          <w:rFonts w:ascii="Arial" w:hAnsi="Arial"/>
          <w:b/>
          <w:sz w:val="22"/>
        </w:rPr>
        <w:t xml:space="preserve">Focused launch: </w:t>
      </w:r>
      <w:r>
        <w:rPr>
          <w:rFonts w:ascii="Arial" w:hAnsi="Arial"/>
          <w:sz w:val="22"/>
        </w:rPr>
        <w:t>Prioritize Metal Fabrication &amp; Machining for the first UAE campaign because outside processing and material-to-money traceability are compelling SAK ERP differentiators.</w:t>
      </w:r>
    </w:p>
    <w:p>
      <w:pPr>
        <w:pStyle w:val="ListBullet"/>
        <w:spacing w:after="100"/>
      </w:pPr>
      <w:r>
        <w:rPr>
          <w:rFonts w:ascii="Arial" w:hAnsi="Arial"/>
          <w:b/>
          <w:sz w:val="22"/>
        </w:rPr>
        <w:t xml:space="preserve">Repeatable expansion: </w:t>
      </w:r>
      <w:r>
        <w:rPr>
          <w:rFonts w:ascii="Arial" w:hAnsi="Arial"/>
          <w:sz w:val="22"/>
        </w:rPr>
        <w:t>Use the validated message, proof points, and campaign assets as the foundation for the other four verticals.</w:t>
      </w:r>
    </w:p>
    <w:p>
      <w:pPr>
        <w:pStyle w:val="Heading1"/>
      </w:pPr>
      <w:r>
        <w:t>Recommended next deliverable</w:t>
      </w:r>
    </w:p>
    <w:p>
      <w:r>
        <w:rPr>
          <w:rFonts w:ascii="Arial" w:hAnsi="Arial"/>
          <w:sz w:val="22"/>
        </w:rPr>
        <w:t>The first deliverable should be a Metal Fabrication &amp; Machining vertical playbook that answers all ten questions in the proposed structure. It should include: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The target customer profile and the language management uses to describe its operational challenges.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The specific pain points around outside processing, material leakage, WIP visibility, multiple UOMs, production cost, and quality control.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A mapped SAK ERP intervention, supported by realistic proof points and a focused demonstration flow.</w:t>
      </w:r>
    </w:p>
    <w:p>
      <w:pPr>
        <w:pStyle w:val="ListNumber"/>
        <w:spacing w:after="80"/>
      </w:pPr>
      <w:r>
        <w:rPr>
          <w:rFonts w:ascii="Arial" w:hAnsi="Arial"/>
          <w:sz w:val="22"/>
        </w:rPr>
        <w:t>Sales talk tracks, campaign messaging, landing-page copy, cold-outreach angles, and measurable outcome statements.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D78"/>
                <w:sz w:val="21"/>
              </w:rPr>
              <w:t xml:space="preserve">Strategic guardrail: </w:t>
            </w:r>
            <w:r>
              <w:rPr>
                <w:rFonts w:ascii="Arial" w:hAnsi="Arial"/>
                <w:color w:val="1F4D78"/>
                <w:sz w:val="21"/>
              </w:rPr>
              <w:t>Keep outcome claims specific and supportable. Each promise should connect to a demonstrable workflow and, where possible, a customer-approved proof point or baseline metric.</w:t>
            </w:r>
          </w:p>
        </w:tc>
      </w:tr>
    </w:tbl>
    <w:p/>
    <w:p>
      <w:r>
        <w:rPr>
          <w:rFonts w:ascii="Arial" w:hAnsi="Arial"/>
          <w:sz w:val="22"/>
        </w:rPr>
        <w:t>With this focus, we can establish a credible, repeatable industry message before extending it across the remaining priority verticals.</w:t>
      </w:r>
    </w:p>
    <w:p>
      <w:pPr>
        <w:spacing w:before="240"/>
      </w:pPr>
      <w:r>
        <w:rPr>
          <w:rFonts w:ascii="Arial" w:hAnsi="Arial"/>
          <w:sz w:val="22"/>
        </w:rPr>
        <w:t>Regards,</w:t>
      </w:r>
    </w:p>
    <w:p>
      <w:pPr>
        <w:spacing w:after="0"/>
      </w:pPr>
      <w:r>
        <w:rPr>
          <w:rFonts w:ascii="Arial" w:hAnsi="Arial"/>
          <w:b/>
          <w:sz w:val="22"/>
        </w:rPr>
        <w:t>SAK ERP Team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7"/>
      </w:rPr>
      <w:t>SAK ERP — Topic 3 Response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5959"/>
        <w:sz w:val="18"/>
      </w:rPr>
      <w:t>SAK ERP | GTM Strategy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