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3302F20F" w:rsidR="007434F8" w:rsidRDefault="0051361C" w:rsidP="007434F8">
            <w:pPr>
              <w:rPr>
                <w:lang w:val="en-US"/>
              </w:rPr>
            </w:pPr>
            <w:r>
              <w:rPr>
                <w:lang w:val="en-US"/>
              </w:rPr>
              <w:t>Qurrat Ulain</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56F253E2" w:rsidR="00D5745A" w:rsidRDefault="0051361C" w:rsidP="007434F8">
            <w:pPr>
              <w:rPr>
                <w:lang w:val="en-US"/>
              </w:rPr>
            </w:pPr>
            <w:r>
              <w:rPr>
                <w:lang w:val="en-US"/>
              </w:rPr>
              <w:t>Regina (</w:t>
            </w:r>
            <w:r>
              <w:rPr>
                <w:lang w:val="en-US"/>
              </w:rPr>
              <w:t>#16 – Peace, Justice and Strong Institutions, #4 – Quality Education</w:t>
            </w:r>
            <w:r>
              <w:rPr>
                <w:lang w:val="en-US"/>
              </w:rPr>
              <w:t>)</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7A1B5CA9" w:rsidR="007434F8" w:rsidRDefault="0051361C" w:rsidP="007434F8">
            <w:pPr>
              <w:rPr>
                <w:lang w:val="en-US"/>
              </w:rPr>
            </w:pPr>
            <w:r>
              <w:rPr>
                <w:lang w:val="en-US"/>
              </w:rPr>
              <w:t>October 4, 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w:t>
        </w:r>
        <w:r w:rsidRPr="001D6C2D">
          <w:rPr>
            <w:rStyle w:val="Hyperlink"/>
            <w:rFonts w:ascii="AGaramondPro-Regular" w:hAnsi="AGaramondPro-Regular" w:cs="AGaramondPro-Regular"/>
          </w:rPr>
          <w:t>e</w:t>
        </w:r>
        <w:r w:rsidRPr="001D6C2D">
          <w:rPr>
            <w:rStyle w:val="Hyperlink"/>
            <w:rFonts w:ascii="AGaramondPro-Regular" w:hAnsi="AGaramondPro-Regular" w:cs="AGaramondPro-Regular"/>
          </w:rPr>
          <w:t>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D34BEE"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D34BEE"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D34BEE"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AFCA3A2" w:rsidR="00000467" w:rsidRPr="00000467" w:rsidRDefault="00D34BEE" w:rsidP="00000467">
            <w:pPr>
              <w:spacing w:before="60" w:after="60"/>
              <w:rPr>
                <w:lang w:val="en-US"/>
              </w:rPr>
            </w:pPr>
            <w:sdt>
              <w:sdtPr>
                <w:rPr>
                  <w:lang w:val="en-US"/>
                </w:rPr>
                <w:id w:val="-659851814"/>
                <w14:checkbox>
                  <w14:checked w14:val="1"/>
                  <w14:checkedState w14:val="2612" w14:font="MS Gothic"/>
                  <w14:uncheckedState w14:val="2610" w14:font="MS Gothic"/>
                </w14:checkbox>
              </w:sdtPr>
              <w:sdtEndPr/>
              <w:sdtContent>
                <w:r w:rsidR="0051361C">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30F22F31" w14:textId="77777777" w:rsidR="0051361C" w:rsidRDefault="0051361C" w:rsidP="0051361C">
            <w:pPr>
              <w:pStyle w:val="ListParagraph"/>
              <w:numPr>
                <w:ilvl w:val="0"/>
                <w:numId w:val="10"/>
              </w:numPr>
              <w:spacing w:before="60" w:after="60"/>
              <w:rPr>
                <w:lang w:val="en-US"/>
              </w:rPr>
            </w:pPr>
            <w:r w:rsidRPr="0051361C">
              <w:rPr>
                <w:lang w:val="en-US"/>
              </w:rPr>
              <w:t xml:space="preserve">The community will tolerate a reasonable amount of disruption as long as it doesn’t interfere with the general population’s ease of life. If the disruption starts getting in the way of the general public’s autonomous life, the community will fight against it. </w:t>
            </w:r>
          </w:p>
          <w:p w14:paraId="6EF542C7" w14:textId="134505A3" w:rsidR="00000467" w:rsidRDefault="0051361C" w:rsidP="0051361C">
            <w:pPr>
              <w:pStyle w:val="ListParagraph"/>
              <w:numPr>
                <w:ilvl w:val="0"/>
                <w:numId w:val="10"/>
              </w:numPr>
              <w:spacing w:before="60" w:after="60"/>
              <w:rPr>
                <w:lang w:val="en-US"/>
              </w:rPr>
            </w:pPr>
            <w:r w:rsidRPr="0051361C">
              <w:rPr>
                <w:lang w:val="en-US"/>
              </w:rPr>
              <w:t>The new tools would be integrated by taking advantage of a current rising technology, smart phone applications. It will</w:t>
            </w:r>
            <w:r>
              <w:rPr>
                <w:lang w:val="en-US"/>
              </w:rPr>
              <w:t xml:space="preserve"> take advantage of the public’s willingness to try using new applications and market towards </w:t>
            </w:r>
            <w:r w:rsidR="00AC4279">
              <w:rPr>
                <w:lang w:val="en-US"/>
              </w:rPr>
              <w:t>citizens of Regina most interested in trying new technology.</w:t>
            </w:r>
          </w:p>
          <w:p w14:paraId="11614651" w14:textId="03D4BC36" w:rsidR="00AC4279" w:rsidRPr="0051361C" w:rsidRDefault="00AC4279" w:rsidP="0051361C">
            <w:pPr>
              <w:pStyle w:val="ListParagraph"/>
              <w:numPr>
                <w:ilvl w:val="0"/>
                <w:numId w:val="10"/>
              </w:numPr>
              <w:spacing w:before="60" w:after="60"/>
              <w:rPr>
                <w:lang w:val="en-US"/>
              </w:rPr>
            </w:pPr>
            <w:r>
              <w:rPr>
                <w:lang w:val="en-US"/>
              </w:rPr>
              <w:lastRenderedPageBreak/>
              <w:t>It would not affect existing practices at all, since it would not take the place of an existing technology or require any additional involvement from anyone in the community.</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lastRenderedPageBreak/>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3FA51250" w14:textId="77777777" w:rsidR="000720B9" w:rsidRDefault="00AC4279" w:rsidP="0087181B">
            <w:pPr>
              <w:spacing w:before="60" w:after="60"/>
              <w:rPr>
                <w:lang w:val="en-US"/>
              </w:rPr>
            </w:pPr>
            <w:r>
              <w:rPr>
                <w:lang w:val="en-US"/>
              </w:rPr>
              <w:t xml:space="preserve">Lots of </w:t>
            </w:r>
            <w:r w:rsidR="000720B9">
              <w:rPr>
                <w:lang w:val="en-US"/>
              </w:rPr>
              <w:t>diversity in Regina, t</w:t>
            </w:r>
            <w:r w:rsidR="000720B9" w:rsidRPr="000720B9">
              <w:rPr>
                <w:lang w:val="en-US"/>
              </w:rPr>
              <w:t>he racial composition of the city is 79% White, 9.9% Aboriginal (5.8% First Nations, 3.9% Metis), 3.5% Southeast Asian, 2.6% South Asian, 2.2% East Asian, 1.6% Black, 0.7% Latin American, and 0.6% Arab and West Asian.</w:t>
            </w:r>
            <w:r w:rsidR="000720B9">
              <w:rPr>
                <w:lang w:val="en-US"/>
              </w:rPr>
              <w:t xml:space="preserve"> (as of 2021)</w:t>
            </w:r>
          </w:p>
          <w:p w14:paraId="661B03E4" w14:textId="35713C69" w:rsidR="000720B9" w:rsidRDefault="000720B9" w:rsidP="0087181B">
            <w:pPr>
              <w:spacing w:before="60" w:after="60"/>
              <w:rPr>
                <w:lang w:val="en-US"/>
              </w:rPr>
            </w:pPr>
          </w:p>
          <w:p w14:paraId="54276847" w14:textId="76EEFD4B" w:rsidR="000720B9" w:rsidRDefault="000720B9" w:rsidP="0087181B">
            <w:pPr>
              <w:spacing w:before="60" w:after="60"/>
              <w:rPr>
                <w:lang w:val="en-US"/>
              </w:rPr>
            </w:pPr>
            <w:r w:rsidRPr="000720B9">
              <w:rPr>
                <w:lang w:val="en-US"/>
              </w:rPr>
              <w:t>94% of </w:t>
            </w:r>
            <w:hyperlink r:id="rId9" w:history="1">
              <w:r w:rsidRPr="000720B9">
                <w:rPr>
                  <w:lang w:val="en-US"/>
                </w:rPr>
                <w:t>people in Regina</w:t>
              </w:r>
            </w:hyperlink>
            <w:r w:rsidRPr="000720B9">
              <w:rPr>
                <w:lang w:val="en-US"/>
              </w:rPr>
              <w:t> are Canadian citizens while 5.5% are recent immigrants.</w:t>
            </w:r>
          </w:p>
          <w:p w14:paraId="4978307D" w14:textId="22E90A32" w:rsidR="000720B9" w:rsidRDefault="000720B9" w:rsidP="0087181B">
            <w:pPr>
              <w:spacing w:before="60" w:after="60"/>
              <w:rPr>
                <w:lang w:val="en-US"/>
              </w:rPr>
            </w:pPr>
          </w:p>
          <w:p w14:paraId="6138F162" w14:textId="1EFACB6E" w:rsidR="000720B9" w:rsidRDefault="000720B9" w:rsidP="0087181B">
            <w:pPr>
              <w:spacing w:before="60" w:after="60"/>
              <w:rPr>
                <w:lang w:val="en-US"/>
              </w:rPr>
            </w:pPr>
            <w:r>
              <w:rPr>
                <w:lang w:val="en-US"/>
              </w:rPr>
              <w:t>The levels of participation of these communities is mostly equal, with each community involved in different ways in the city, whether that be jobs in the public sector, volunteering, events, etc. However, considering the difference in the populations of white vs non-white people, there is a difference in opportunities available.</w:t>
            </w:r>
          </w:p>
          <w:p w14:paraId="165AF243" w14:textId="3A0CA9C4" w:rsidR="000720B9" w:rsidRDefault="000720B9" w:rsidP="0087181B">
            <w:pPr>
              <w:spacing w:before="60" w:after="60"/>
              <w:rPr>
                <w:lang w:val="en-US"/>
              </w:rPr>
            </w:pPr>
          </w:p>
          <w:p w14:paraId="1EDFEBF8" w14:textId="070E5C42" w:rsidR="000720B9" w:rsidRDefault="000720B9" w:rsidP="0087181B">
            <w:pPr>
              <w:spacing w:before="60" w:after="60"/>
              <w:rPr>
                <w:lang w:val="en-US"/>
              </w:rPr>
            </w:pPr>
            <w:hyperlink r:id="rId10" w:history="1">
              <w:r w:rsidRPr="001905DA">
                <w:rPr>
                  <w:rStyle w:val="Hyperlink"/>
                  <w:lang w:val="en-US"/>
                </w:rPr>
                <w:t>https://worldpopulationreview.com/world-cities/regina-population</w:t>
              </w:r>
            </w:hyperlink>
            <w:r>
              <w:rPr>
                <w:lang w:val="en-US"/>
              </w:rPr>
              <w:t xml:space="preserve"> </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7317EC64" w:rsidR="007434F8" w:rsidRDefault="000720B9" w:rsidP="0087181B">
            <w:pPr>
              <w:spacing w:before="60" w:after="60"/>
              <w:rPr>
                <w:lang w:val="en-US"/>
              </w:rPr>
            </w:pPr>
            <w:r>
              <w:rPr>
                <w:lang w:val="en-US"/>
              </w:rPr>
              <w:t>The location, City of Regina, is 180 km squared, so not too big, and its time zone follows the Central Canada time zone, CST</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ECF482B" w:rsidR="007434F8" w:rsidRDefault="000720B9" w:rsidP="0087181B">
            <w:pPr>
              <w:spacing w:before="60" w:after="60"/>
              <w:rPr>
                <w:lang w:val="en-US"/>
              </w:rPr>
            </w:pPr>
            <w:r>
              <w:rPr>
                <w:lang w:val="en-US"/>
              </w:rPr>
              <w:t>Languages in Regina vary based on different community members, however the primary language in the city is English and the secondary language is French.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59859DE9" w:rsidR="007434F8" w:rsidRDefault="000720B9" w:rsidP="0087181B">
            <w:pPr>
              <w:spacing w:before="60" w:after="60"/>
              <w:rPr>
                <w:lang w:val="en-US"/>
              </w:rPr>
            </w:pPr>
            <w:r>
              <w:rPr>
                <w:lang w:val="en-US"/>
              </w:rPr>
              <w:t>Considering the history of First Nations people in Canada and Regina, I will be thinking a lot about that when constructing the educational component of my app, specifically the topic of Missing and Murdered Indigenous Women and how the patterns in the missing people of Regina relate to it.</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D34BEE"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28C6CD27" w:rsidR="00A83068" w:rsidRDefault="00D34BEE"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0720B9">
                  <w:rPr>
                    <w:rFonts w:ascii="MS Gothic" w:eastAsia="MS Gothic" w:hAnsi="MS Gothic" w:hint="eastAsia"/>
                    <w:lang w:val="en-US"/>
                  </w:rPr>
                  <w:t>☒</w:t>
                </w:r>
              </w:sdtContent>
            </w:sdt>
            <w:r w:rsidR="00A83068">
              <w:rPr>
                <w:lang w:val="en-US"/>
              </w:rPr>
              <w:t xml:space="preserve"> Open boundaries</w:t>
            </w:r>
          </w:p>
          <w:p w14:paraId="7386E22D" w14:textId="73A27E2C" w:rsidR="00A83068" w:rsidRDefault="00D34BEE"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EndPr/>
              <w:sdtContent>
                <w:r w:rsidR="000720B9">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19D138B1" w:rsidR="00A83068" w:rsidRDefault="000720B9" w:rsidP="0087181B">
            <w:pPr>
              <w:spacing w:before="60" w:after="60"/>
              <w:rPr>
                <w:lang w:val="en-US"/>
              </w:rPr>
            </w:pPr>
            <w:r>
              <w:rPr>
                <w:lang w:val="en-US"/>
              </w:rPr>
              <w:t>Regina has largely open boundaries, with both private and public spaces available in the community. While my app will focus on the Regina community, it will have the potential for expansion to the surrounding areas, where this kind of technology is even less common.</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4EF546B9" w:rsidR="00A81D6E" w:rsidRDefault="000720B9" w:rsidP="0087181B">
            <w:pPr>
              <w:spacing w:before="60" w:after="60"/>
              <w:rPr>
                <w:lang w:val="en-US"/>
              </w:rPr>
            </w:pPr>
            <w:r>
              <w:rPr>
                <w:lang w:val="en-US"/>
              </w:rPr>
              <w:t xml:space="preserve">As the community of Regina is very diverse, it already does a fine job with interacting with outside communities, whether that be through hosting a range of multicultural events, politician meetings, etc. However, one thing the Regina community would benefit from is </w:t>
            </w:r>
            <w:r>
              <w:rPr>
                <w:lang w:val="en-US"/>
              </w:rPr>
              <w:lastRenderedPageBreak/>
              <w:t xml:space="preserve">increasing inclusivity within the smaller groups in the community and increasing communication between them. </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lastRenderedPageBreak/>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18A461E1" w14:textId="78F0EA33" w:rsidR="00810AE9" w:rsidRDefault="00593018" w:rsidP="0087181B">
            <w:pPr>
              <w:spacing w:before="60" w:after="60"/>
              <w:rPr>
                <w:lang w:val="en-US"/>
              </w:rPr>
            </w:pPr>
            <w:r>
              <w:rPr>
                <w:lang w:val="en-US"/>
              </w:rPr>
              <w:t>My community is fairly interested in technology and implementing new technologies in the community. A few examples of such technologies being introduced are having solar panel canopies installed at gas stations, implementing free QR code apps for businesses/residents to verify vaccinations, and automated bag valve masks at hospitals.</w:t>
            </w:r>
          </w:p>
          <w:p w14:paraId="751919C6" w14:textId="77777777" w:rsidR="00593018" w:rsidRDefault="00593018" w:rsidP="0087181B">
            <w:pPr>
              <w:spacing w:before="60" w:after="60"/>
              <w:rPr>
                <w:lang w:val="en-US"/>
              </w:rPr>
            </w:pPr>
          </w:p>
          <w:p w14:paraId="401C3FF1" w14:textId="77777777" w:rsidR="00593018" w:rsidRDefault="00593018" w:rsidP="0087181B">
            <w:pPr>
              <w:spacing w:before="60" w:after="60"/>
              <w:rPr>
                <w:lang w:val="en-US"/>
              </w:rPr>
            </w:pPr>
            <w:hyperlink r:id="rId11" w:history="1">
              <w:r w:rsidRPr="001905DA">
                <w:rPr>
                  <w:rStyle w:val="Hyperlink"/>
                  <w:lang w:val="en-US"/>
                </w:rPr>
                <w:t>https://www.620ckrm.com/2021/10/04/solar-panel-canopy-installed-at-co-op-cardlock-in-regina/</w:t>
              </w:r>
            </w:hyperlink>
            <w:r>
              <w:rPr>
                <w:lang w:val="en-US"/>
              </w:rPr>
              <w:t xml:space="preserve"> </w:t>
            </w:r>
          </w:p>
          <w:p w14:paraId="6B79B3C7" w14:textId="77777777" w:rsidR="00593018" w:rsidRDefault="00593018" w:rsidP="0087181B">
            <w:pPr>
              <w:spacing w:before="60" w:after="60"/>
              <w:rPr>
                <w:lang w:val="en-US"/>
              </w:rPr>
            </w:pPr>
            <w:hyperlink r:id="rId12" w:history="1">
              <w:r w:rsidRPr="001905DA">
                <w:rPr>
                  <w:rStyle w:val="Hyperlink"/>
                  <w:lang w:val="en-US"/>
                </w:rPr>
                <w:t>https://www.cbc.ca/news/canada/saskatchewan/proof-of-vaccine-qr-code-reader-app-saskatchewan-1.6193913</w:t>
              </w:r>
            </w:hyperlink>
            <w:r>
              <w:rPr>
                <w:lang w:val="en-US"/>
              </w:rPr>
              <w:t xml:space="preserve"> </w:t>
            </w:r>
          </w:p>
          <w:p w14:paraId="50192C72" w14:textId="575B562C" w:rsidR="00593018" w:rsidRDefault="00593018" w:rsidP="0087181B">
            <w:pPr>
              <w:spacing w:before="60" w:after="60"/>
              <w:rPr>
                <w:lang w:val="en-US"/>
              </w:rPr>
            </w:pPr>
            <w:hyperlink r:id="rId13" w:history="1">
              <w:r w:rsidRPr="001905DA">
                <w:rPr>
                  <w:rStyle w:val="Hyperlink"/>
                  <w:lang w:val="en-US"/>
                </w:rPr>
                <w:t>https://globalnews.ca/news/7753900/regina-engineering-technologists-health-care-technology/</w:t>
              </w:r>
            </w:hyperlink>
            <w:r>
              <w:rPr>
                <w:lang w:val="en-US"/>
              </w:rPr>
              <w:t xml:space="preserve"> </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3A8051F1" w:rsidR="00810AE9" w:rsidRDefault="00593018" w:rsidP="0087181B">
            <w:pPr>
              <w:spacing w:before="60" w:after="60"/>
              <w:rPr>
                <w:lang w:val="en-US"/>
              </w:rPr>
            </w:pPr>
            <w:r>
              <w:rPr>
                <w:lang w:val="en-US"/>
              </w:rPr>
              <w:t>The capacity for learning new tools is high with the university departments always encouraging new advancements and various certifications around the city introducing new technologies.</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3C099ADA" w14:textId="77777777" w:rsidR="00810AE9" w:rsidRDefault="00593018" w:rsidP="0087181B">
            <w:pPr>
              <w:spacing w:before="60" w:after="60"/>
              <w:rPr>
                <w:lang w:val="en-US"/>
              </w:rPr>
            </w:pPr>
            <w:r>
              <w:rPr>
                <w:lang w:val="en-US"/>
              </w:rPr>
              <w:t>The range of skills is wide, with employees in various sectors and types of jobs as well as lots of volunteering options for younger students.</w:t>
            </w:r>
          </w:p>
          <w:p w14:paraId="5A527FCE" w14:textId="77777777" w:rsidR="00593018" w:rsidRDefault="00593018" w:rsidP="0087181B">
            <w:pPr>
              <w:spacing w:before="60" w:after="60"/>
              <w:rPr>
                <w:lang w:val="en-US"/>
              </w:rPr>
            </w:pPr>
          </w:p>
          <w:p w14:paraId="0E43BA88" w14:textId="545685CB" w:rsidR="00593018" w:rsidRDefault="00593018" w:rsidP="0087181B">
            <w:pPr>
              <w:spacing w:before="60" w:after="60"/>
              <w:rPr>
                <w:lang w:val="en-US"/>
              </w:rPr>
            </w:pPr>
            <w:r>
              <w:rPr>
                <w:lang w:val="en-US"/>
              </w:rPr>
              <w:t>These interests and skills are not likely to cause conflicts or distractions. Instead, they do the opposite by encouraging the population to try new things and further advance the community.</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4805D3A3" w:rsidR="00810AE9" w:rsidRDefault="00593018" w:rsidP="0087181B">
            <w:pPr>
              <w:spacing w:before="60" w:after="60"/>
              <w:rPr>
                <w:lang w:val="en-US"/>
              </w:rPr>
            </w:pPr>
            <w:r>
              <w:rPr>
                <w:lang w:val="en-US"/>
              </w:rPr>
              <w:t>Members of the community are very tolerant of a wide variety of tools, with the municipal government taking part in decisions to employ a wide variety of tools in public sectors such as hospitals and schools and encouraging businesses to do so as well.</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2D5D815F" w:rsidR="00810AE9" w:rsidRDefault="00593018" w:rsidP="0087181B">
            <w:pPr>
              <w:spacing w:before="60" w:after="60"/>
              <w:rPr>
                <w:lang w:val="en-US"/>
              </w:rPr>
            </w:pPr>
            <w:r>
              <w:rPr>
                <w:lang w:val="en-US"/>
              </w:rPr>
              <w:t>TBD</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431ABED6" w14:textId="220C7D33" w:rsidR="00D1281C" w:rsidRDefault="00593018" w:rsidP="0087181B">
            <w:pPr>
              <w:spacing w:before="60" w:after="60"/>
              <w:rPr>
                <w:lang w:val="en-US"/>
              </w:rPr>
            </w:pPr>
            <w:r>
              <w:rPr>
                <w:lang w:val="en-US"/>
              </w:rPr>
              <w:t xml:space="preserve">The community is small compared to some of the other cities in Canada, and that leads to constraints in terms of resources available. As well, because it is a smaller city, it is not as internationally recognized as the larger ones like Toronto or </w:t>
            </w:r>
            <w:r>
              <w:rPr>
                <w:lang w:val="en-US"/>
              </w:rPr>
              <w:lastRenderedPageBreak/>
              <w:t xml:space="preserve">Vancouver. This also adds on to the constraint of </w:t>
            </w:r>
            <w:r w:rsidR="00573BD2">
              <w:rPr>
                <w:lang w:val="en-US"/>
              </w:rPr>
              <w:t xml:space="preserve">technological </w:t>
            </w:r>
            <w:r>
              <w:rPr>
                <w:lang w:val="en-US"/>
              </w:rPr>
              <w:t>resources and opportunities available</w:t>
            </w:r>
            <w:r w:rsidR="00573BD2">
              <w:rPr>
                <w:lang w:val="en-US"/>
              </w:rPr>
              <w:t xml:space="preserve"> since there is less international interest.</w:t>
            </w:r>
          </w:p>
          <w:p w14:paraId="54AA3DAA" w14:textId="77777777" w:rsidR="00573BD2" w:rsidRDefault="00573BD2" w:rsidP="0087181B">
            <w:pPr>
              <w:spacing w:before="60" w:after="60"/>
              <w:rPr>
                <w:lang w:val="en-US"/>
              </w:rPr>
            </w:pPr>
          </w:p>
          <w:p w14:paraId="0DDC4EAD" w14:textId="71CE725C" w:rsidR="00573BD2" w:rsidRDefault="00573BD2" w:rsidP="0087181B">
            <w:pPr>
              <w:spacing w:before="60" w:after="60"/>
              <w:rPr>
                <w:lang w:val="en-US"/>
              </w:rPr>
            </w:pPr>
            <w:r>
              <w:rPr>
                <w:lang w:val="en-US"/>
              </w:rPr>
              <w:t>The operating systems face a similar constraint, with a personal example to help with information. My dad used to work at CTV Regina, and he now works at CTV Vancouver. He tells me that the equipment available in Regina, and the amount of money allowed to spend on advancing that equipment was significantly lower than the money the engineering department is allowed to spend in Vancouver. This can lead to some constraints in the different advancements they are able to bring into the city, as they cannot go out of budget.</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lastRenderedPageBreak/>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2CD28E37" w:rsidR="00D1281C" w:rsidRDefault="00573BD2" w:rsidP="0087181B">
            <w:pPr>
              <w:spacing w:before="60" w:after="60"/>
              <w:rPr>
                <w:lang w:val="en-US"/>
              </w:rPr>
            </w:pPr>
            <w:r>
              <w:rPr>
                <w:lang w:val="en-US"/>
              </w:rPr>
              <w:t>The members of the community fall within a wide range of online participation. There are a lot of manual labour jobs in Regina, from farming to construction. These members have limited online time as they are mostly working outside. However, office works or members that work/study indoors will have much more time to be online.</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1"/>
              <w14:checkedState w14:val="2612" w14:font="MS Gothic"/>
              <w14:uncheckedState w14:val="2610" w14:font="MS Gothic"/>
            </w14:checkbox>
          </w:sdtPr>
          <w:sdtEndPr/>
          <w:sdtContent>
            <w:tc>
              <w:tcPr>
                <w:tcW w:w="448" w:type="dxa"/>
                <w:gridSpan w:val="2"/>
                <w:shd w:val="clear" w:color="auto" w:fill="auto"/>
              </w:tcPr>
              <w:p w14:paraId="33C5DA43" w14:textId="278CD84D" w:rsidR="00806855" w:rsidRDefault="00573BD2"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4120FF3F" w:rsidR="00806855" w:rsidRDefault="00D34BEE"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EndPr/>
              <w:sdtContent>
                <w:r w:rsidR="00573BD2">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D34BEE"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D34BEE"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6086A24A" w14:textId="77777777" w:rsidR="00806855" w:rsidRDefault="00573BD2" w:rsidP="00B16C8A">
            <w:pPr>
              <w:spacing w:before="60" w:after="60"/>
            </w:pPr>
            <w:r>
              <w:t>There are lots of activities to bring communities together in Regina. However, most community events are organized by a smaller community group, targeted mainly towards the smaller community.</w:t>
            </w:r>
          </w:p>
          <w:p w14:paraId="1061EF02" w14:textId="77777777" w:rsidR="00573BD2" w:rsidRDefault="00573BD2" w:rsidP="00B16C8A">
            <w:pPr>
              <w:spacing w:before="60" w:after="60"/>
            </w:pPr>
          </w:p>
          <w:p w14:paraId="734A26A3" w14:textId="4D09E00F" w:rsidR="00573BD2" w:rsidRPr="00B16C8A" w:rsidRDefault="00573BD2" w:rsidP="00B16C8A">
            <w:pPr>
              <w:spacing w:before="60" w:after="60"/>
            </w:pPr>
            <w:r>
              <w:t>In terms of large city scale events, there are only a select few that cater to all members of the community (such as Queen City Ex or Mosaic)</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F2FDD10" w14:textId="1359C9D8" w:rsidR="00806855" w:rsidRDefault="00573BD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D34BEE"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D34BEE"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1E16A6C9" w:rsidR="00451A3A" w:rsidRDefault="00D34BEE" w:rsidP="00451A3A">
            <w:pPr>
              <w:tabs>
                <w:tab w:val="center" w:pos="1197"/>
              </w:tabs>
              <w:spacing w:before="60" w:after="60"/>
              <w:rPr>
                <w:lang w:val="en-US"/>
              </w:rPr>
            </w:pPr>
            <w:sdt>
              <w:sdtPr>
                <w:rPr>
                  <w:lang w:val="en-US"/>
                </w:rPr>
                <w:id w:val="1957213559"/>
                <w14:checkbox>
                  <w14:checked w14:val="1"/>
                  <w14:checkedState w14:val="2612" w14:font="MS Gothic"/>
                  <w14:uncheckedState w14:val="2610" w14:font="MS Gothic"/>
                </w14:checkbox>
              </w:sdtPr>
              <w:sdtEndPr/>
              <w:sdtContent>
                <w:r w:rsidR="00573BD2">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F66142D" w:rsidR="00806855" w:rsidRDefault="00573BD2" w:rsidP="00806855">
            <w:pPr>
              <w:spacing w:before="60" w:after="60"/>
              <w:rPr>
                <w:lang w:val="en-US"/>
              </w:rPr>
            </w:pPr>
            <w:r>
              <w:rPr>
                <w:lang w:val="en-US"/>
              </w:rPr>
              <w:t xml:space="preserve">There are lots of conversations and opportunities for conversations in Regina. Alongside a free and communicative atmosphere in public spaces, there are also town halls in which members of the public are encouraged to </w:t>
            </w:r>
            <w:r>
              <w:rPr>
                <w:lang w:val="en-US"/>
              </w:rPr>
              <w:lastRenderedPageBreak/>
              <w:t>participate and watch and possibly ask questions.</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1B2D1DDB" w:rsidR="00806855" w:rsidRDefault="00573BD2"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EndPr/>
          <w:sdtContent>
            <w:tc>
              <w:tcPr>
                <w:tcW w:w="454" w:type="dxa"/>
                <w:shd w:val="clear" w:color="auto" w:fill="auto"/>
              </w:tcPr>
              <w:p w14:paraId="153F3A04" w14:textId="089F6D9A" w:rsidR="00806855" w:rsidRDefault="00573BD2"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D34BEE"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1442EA47" w:rsidR="00500A19" w:rsidRDefault="00D34BEE"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EndPr/>
              <w:sdtContent>
                <w:r w:rsidR="00573BD2">
                  <w:rPr>
                    <w:rFonts w:ascii="MS Gothic" w:eastAsia="MS Gothic" w:hAnsi="MS Gothic" w:hint="eastAsia"/>
                    <w:lang w:val="en-US"/>
                  </w:rPr>
                  <w:t>☒</w:t>
                </w:r>
              </w:sdtContent>
            </w:sdt>
            <w:r w:rsidR="00500A19">
              <w:rPr>
                <w:lang w:val="en-US"/>
              </w:rPr>
              <w:t xml:space="preserve"> Project teams</w:t>
            </w:r>
          </w:p>
          <w:p w14:paraId="0C9DECCC" w14:textId="47E96FE9" w:rsidR="00500A19" w:rsidRDefault="00D34BEE"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57931D77" w:rsidR="00806855" w:rsidRDefault="00573BD2" w:rsidP="00806855">
            <w:pPr>
              <w:spacing w:before="60" w:after="60"/>
              <w:rPr>
                <w:lang w:val="en-US"/>
              </w:rPr>
            </w:pPr>
            <w:r>
              <w:rPr>
                <w:lang w:val="en-US"/>
              </w:rPr>
              <w:t>There are lots of projects within the city, all part of a different sector. Each workplace has their own projects that focus on a certain aspect of the city, and different members can take a part of them. Some projects are open to the public such as school parent boards or protests, whereas some are closed off within a certain company or school.</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1C46DD07" w:rsidR="00806855" w:rsidRDefault="00372CB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2BFA6E46" w:rsidR="00806855" w:rsidRDefault="00D34BEE"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Library</w:t>
            </w:r>
          </w:p>
          <w:p w14:paraId="7DE6A37A" w14:textId="65D3A76D" w:rsidR="00E65873" w:rsidRDefault="00D34BEE"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D34BEE"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D34BEE"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C65325" w:rsidR="00806855" w:rsidRDefault="00372CB7" w:rsidP="00806855">
            <w:pPr>
              <w:spacing w:before="60" w:after="60"/>
              <w:rPr>
                <w:lang w:val="en-US"/>
              </w:rPr>
            </w:pPr>
            <w:r>
              <w:rPr>
                <w:lang w:val="en-US"/>
              </w:rPr>
              <w:t>The communities in Regina are great with distributing content. Driven primarily with news/radio/newspaper opportunities, research and opinion pieces are encouraged and discussed upon. As well, there are local magazines that publish articles on local research and tools.</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EndPr/>
          <w:sdtContent>
            <w:tc>
              <w:tcPr>
                <w:tcW w:w="448" w:type="dxa"/>
                <w:gridSpan w:val="2"/>
                <w:shd w:val="clear" w:color="auto" w:fill="auto"/>
              </w:tcPr>
              <w:p w14:paraId="53FF5D5C" w14:textId="112C7C2D" w:rsidR="00806855" w:rsidRDefault="00372CB7"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2CF46862" w:rsidR="00806855" w:rsidRDefault="00372CB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5EA97327" w:rsidR="00806855" w:rsidRDefault="00D34BEE"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Questions &amp; requests</w:t>
            </w:r>
          </w:p>
          <w:p w14:paraId="4AF968AA" w14:textId="7415F24A" w:rsidR="00E65873" w:rsidRDefault="00D34BEE"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D34BEE"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D34BEE"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6A2E5C9F" w:rsidR="00E65873" w:rsidRDefault="00D34BEE"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93646AA" w:rsidR="00806855" w:rsidRDefault="00372CB7" w:rsidP="00806855">
            <w:pPr>
              <w:spacing w:before="60" w:after="60"/>
              <w:rPr>
                <w:lang w:val="en-US"/>
              </w:rPr>
            </w:pPr>
            <w:r>
              <w:rPr>
                <w:lang w:val="en-US"/>
              </w:rPr>
              <w:t>The access to expertise is good in Regina, as it is easy to find an expert in the field you are looking in and reach out to them. However, not all experts are interested in answering questions or sharing knowledge so it can be difficult to get in touch with someone willing to help.</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11051049" w14:textId="237E305C" w:rsidR="00806855" w:rsidRDefault="00372CB7"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3D79AFF7" w:rsidR="00806855" w:rsidRDefault="00D34BEE"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Connecting</w:t>
            </w:r>
          </w:p>
          <w:p w14:paraId="578034D4" w14:textId="3D717A6C" w:rsidR="00E65873" w:rsidRDefault="00D34BEE" w:rsidP="00806855">
            <w:pPr>
              <w:spacing w:before="60" w:after="60"/>
              <w:rPr>
                <w:lang w:val="en-US"/>
              </w:rPr>
            </w:pPr>
            <w:sdt>
              <w:sdtPr>
                <w:rPr>
                  <w:lang w:val="en-US"/>
                </w:rPr>
                <w:id w:val="-1728140213"/>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Knowing about people</w:t>
            </w:r>
          </w:p>
          <w:p w14:paraId="5F3EBE25" w14:textId="4BD83F35" w:rsidR="00E65873" w:rsidRDefault="00D34BEE" w:rsidP="00806855">
            <w:pPr>
              <w:spacing w:before="60" w:after="60"/>
              <w:rPr>
                <w:lang w:val="en-US"/>
              </w:rPr>
            </w:pPr>
            <w:sdt>
              <w:sdtPr>
                <w:rPr>
                  <w:lang w:val="en-US"/>
                </w:rPr>
                <w:id w:val="-599720824"/>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59011A94" w:rsidR="00806855" w:rsidRDefault="00372CB7" w:rsidP="00806855">
            <w:pPr>
              <w:spacing w:before="60" w:after="60"/>
              <w:rPr>
                <w:lang w:val="en-US"/>
              </w:rPr>
            </w:pPr>
            <w:r>
              <w:rPr>
                <w:lang w:val="en-US"/>
              </w:rPr>
              <w:t>I’ve touched in this before, but the relationships between internal groups in Regina isn’t the best. While there are efforts made to lessen the gaps by hosting events and inviting different groups of people to them, overall there is a divide in the internal relationships.</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EndPr/>
          <w:sdtContent>
            <w:tc>
              <w:tcPr>
                <w:tcW w:w="454" w:type="dxa"/>
                <w:shd w:val="clear" w:color="auto" w:fill="auto"/>
              </w:tcPr>
              <w:p w14:paraId="778F73F4" w14:textId="40FA0C5D" w:rsidR="00806855" w:rsidRDefault="00372CB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DAF21C8" w:rsidR="00806855" w:rsidRDefault="00D34BEE"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D34BEE"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162CF4EE" w:rsidR="00E65873" w:rsidRDefault="00D34BEE" w:rsidP="00806855">
            <w:pPr>
              <w:spacing w:before="60" w:after="60"/>
              <w:rPr>
                <w:lang w:val="en-US"/>
              </w:rPr>
            </w:pPr>
            <w:sdt>
              <w:sdtPr>
                <w:rPr>
                  <w:lang w:val="en-US"/>
                </w:rPr>
                <w:id w:val="-1042438747"/>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Individual development</w:t>
            </w:r>
          </w:p>
          <w:p w14:paraId="6C9265BA" w14:textId="71CE5DCE" w:rsidR="00E65873" w:rsidRDefault="00D34BEE" w:rsidP="00806855">
            <w:pPr>
              <w:spacing w:before="60" w:after="60"/>
              <w:rPr>
                <w:lang w:val="en-US"/>
              </w:rPr>
            </w:pPr>
            <w:sdt>
              <w:sdtPr>
                <w:rPr>
                  <w:lang w:val="en-US"/>
                </w:rPr>
                <w:id w:val="637616430"/>
                <w14:checkbox>
                  <w14:checked w14:val="1"/>
                  <w14:checkedState w14:val="2612" w14:font="MS Gothic"/>
                  <w14:uncheckedState w14:val="2610" w14:font="MS Gothic"/>
                </w14:checkbox>
              </w:sdtPr>
              <w:sdtEndPr/>
              <w:sdtContent>
                <w:r w:rsidR="00372CB7">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1EF363C" w:rsidR="00806855" w:rsidRDefault="00372CB7" w:rsidP="00806855">
            <w:pPr>
              <w:spacing w:before="60" w:after="60"/>
              <w:rPr>
                <w:lang w:val="en-US"/>
              </w:rPr>
            </w:pPr>
            <w:r>
              <w:rPr>
                <w:lang w:val="en-US"/>
              </w:rPr>
              <w:t xml:space="preserve">There is lots of individual participation within Regina, and lots of opportunities for people to get involved and develop their skills and contribute more to the community. From programs for new immigrants and workers at Open Door, to </w:t>
            </w:r>
            <w:r w:rsidR="00FF536C">
              <w:rPr>
                <w:lang w:val="en-US"/>
              </w:rPr>
              <w:t>various clubs and events and the different community centers, individual participation is encouraged often.</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104502D9" w14:textId="0C0684DC" w:rsidR="00806855" w:rsidRDefault="00FF536C"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01BD65AB" w:rsidR="00806855" w:rsidRDefault="00FF536C"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33AFFE61" w:rsidR="00806855" w:rsidRDefault="00D34BEE"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FF536C">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D34BEE"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AED18A1" w:rsidR="00CF57D5" w:rsidRDefault="00D34BEE"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FF536C">
                  <w:rPr>
                    <w:rFonts w:ascii="MS Gothic" w:eastAsia="MS Gothic" w:hAnsi="MS Gothic" w:hint="eastAsia"/>
                    <w:lang w:val="en-US"/>
                  </w:rPr>
                  <w:t>☒</w:t>
                </w:r>
              </w:sdtContent>
            </w:sdt>
            <w:r w:rsidR="00CF57D5">
              <w:rPr>
                <w:lang w:val="en-US"/>
              </w:rPr>
              <w:t xml:space="preserve"> Internal coordination</w:t>
            </w:r>
          </w:p>
          <w:p w14:paraId="7AC88C5B" w14:textId="2D509320" w:rsidR="00CF57D5" w:rsidRDefault="00D34BEE"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FF536C">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67DF1437" w:rsidR="00806855" w:rsidRDefault="00FF536C" w:rsidP="00806855">
            <w:pPr>
              <w:spacing w:before="60" w:after="60"/>
              <w:rPr>
                <w:lang w:val="en-US"/>
              </w:rPr>
            </w:pPr>
            <w:r>
              <w:rPr>
                <w:lang w:val="en-US"/>
              </w:rPr>
              <w:t xml:space="preserve">The main governing group in the Regina community is its municipal government. And while they are involved and focused on cultivating the community, the provincial government also plays a large part in the city’s structure and proceedings. </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1"/>
              <w14:checkedState w14:val="2612" w14:font="MS Gothic"/>
              <w14:uncheckedState w14:val="2610" w14:font="MS Gothic"/>
            </w14:checkbox>
          </w:sdtPr>
          <w:sdtEndPr/>
          <w:sdtContent>
            <w:tc>
              <w:tcPr>
                <w:tcW w:w="447" w:type="dxa"/>
                <w:shd w:val="clear" w:color="auto" w:fill="auto"/>
              </w:tcPr>
              <w:p w14:paraId="0319F27F" w14:textId="400A8EE0" w:rsidR="00806855" w:rsidRDefault="00FF536C"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D34BEE"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D34BEE"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D34BEE"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D34BEE"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25A6A02F" w:rsidR="00806855" w:rsidRDefault="00FF536C" w:rsidP="00806855">
            <w:pPr>
              <w:spacing w:before="60" w:after="60"/>
              <w:rPr>
                <w:lang w:val="en-US"/>
              </w:rPr>
            </w:pPr>
            <w:r>
              <w:rPr>
                <w:lang w:val="en-US"/>
              </w:rPr>
              <w:t>There isn’t really one service context within the city. As there are many smaller groups in the community, the main city helps to cultivate those groups and equally encourage all of their services, rather than focusing on one service context for the whole city</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32FE" w14:textId="77777777" w:rsidR="00D34BEE" w:rsidRDefault="00D34BEE" w:rsidP="007434F8">
      <w:pPr>
        <w:spacing w:after="0" w:line="240" w:lineRule="auto"/>
      </w:pPr>
      <w:r>
        <w:separator/>
      </w:r>
    </w:p>
  </w:endnote>
  <w:endnote w:type="continuationSeparator" w:id="0">
    <w:p w14:paraId="7DE1BBDC" w14:textId="77777777" w:rsidR="00D34BEE" w:rsidRDefault="00D34BEE"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B555" w14:textId="77777777" w:rsidR="00D34BEE" w:rsidRDefault="00D34BEE" w:rsidP="007434F8">
      <w:pPr>
        <w:spacing w:after="0" w:line="240" w:lineRule="auto"/>
      </w:pPr>
      <w:r>
        <w:separator/>
      </w:r>
    </w:p>
  </w:footnote>
  <w:footnote w:type="continuationSeparator" w:id="0">
    <w:p w14:paraId="05D96938" w14:textId="77777777" w:rsidR="00D34BEE" w:rsidRDefault="00D34BEE"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5D7"/>
    <w:multiLevelType w:val="hybridMultilevel"/>
    <w:tmpl w:val="09A08CF4"/>
    <w:lvl w:ilvl="0" w:tplc="3426F4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1"/>
  </w:num>
  <w:num w:numId="4">
    <w:abstractNumId w:val="3"/>
  </w:num>
  <w:num w:numId="5">
    <w:abstractNumId w:val="9"/>
  </w:num>
  <w:num w:numId="6">
    <w:abstractNumId w:val="5"/>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720B9"/>
    <w:rsid w:val="000D6F35"/>
    <w:rsid w:val="001409CD"/>
    <w:rsid w:val="00217E29"/>
    <w:rsid w:val="00243360"/>
    <w:rsid w:val="00293B8D"/>
    <w:rsid w:val="00322B6F"/>
    <w:rsid w:val="0033471C"/>
    <w:rsid w:val="00372CB7"/>
    <w:rsid w:val="00380E18"/>
    <w:rsid w:val="003B4F09"/>
    <w:rsid w:val="003C35BA"/>
    <w:rsid w:val="00402394"/>
    <w:rsid w:val="00451A3A"/>
    <w:rsid w:val="00500A19"/>
    <w:rsid w:val="0051361C"/>
    <w:rsid w:val="00526596"/>
    <w:rsid w:val="00570AA8"/>
    <w:rsid w:val="00573BD2"/>
    <w:rsid w:val="00584D80"/>
    <w:rsid w:val="00591D16"/>
    <w:rsid w:val="00593018"/>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C4279"/>
    <w:rsid w:val="00AE1626"/>
    <w:rsid w:val="00B16C8A"/>
    <w:rsid w:val="00B27600"/>
    <w:rsid w:val="00C567C1"/>
    <w:rsid w:val="00C93EA6"/>
    <w:rsid w:val="00CB017A"/>
    <w:rsid w:val="00CD480F"/>
    <w:rsid w:val="00CF57D5"/>
    <w:rsid w:val="00D1281C"/>
    <w:rsid w:val="00D16D8B"/>
    <w:rsid w:val="00D34BEE"/>
    <w:rsid w:val="00D5745A"/>
    <w:rsid w:val="00E546D4"/>
    <w:rsid w:val="00E65873"/>
    <w:rsid w:val="00E659FD"/>
    <w:rsid w:val="00E96FB0"/>
    <w:rsid w:val="00EC0765"/>
    <w:rsid w:val="00EE22CD"/>
    <w:rsid w:val="00F26597"/>
    <w:rsid w:val="00F44187"/>
    <w:rsid w:val="00FF5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51361C"/>
    <w:rPr>
      <w:color w:val="954F72" w:themeColor="followedHyperlink"/>
      <w:u w:val="single"/>
    </w:rPr>
  </w:style>
  <w:style w:type="paragraph" w:styleId="ListParagraph">
    <w:name w:val="List Paragraph"/>
    <w:basedOn w:val="Normal"/>
    <w:uiPriority w:val="34"/>
    <w:qFormat/>
    <w:rsid w:val="00513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13" Type="http://schemas.openxmlformats.org/officeDocument/2006/relationships/hyperlink" Target="https://globalnews.ca/news/7753900/regina-engineering-technologists-health-care-techn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bc.ca/news/canada/saskatchewan/proof-of-vaccine-qr-code-reader-app-saskatchewan-1.61939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620ckrm.com/2021/10/04/solar-panel-canopy-installed-at-co-op-cardlock-in-regin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ldpopulationreview.com/world-cities/regina-population" TargetMode="External"/><Relationship Id="rId4" Type="http://schemas.openxmlformats.org/officeDocument/2006/relationships/settings" Target="settings.xml"/><Relationship Id="rId9" Type="http://schemas.openxmlformats.org/officeDocument/2006/relationships/hyperlink" Target="https://www12.statcan.gc.ca/census-recensement/2016/dp-pd/prof/details/page.cfm?Lang=E&amp;Geo1=CMACA&amp;Code1=705&amp;Geo2=PR&amp;Code2=47&amp;Data=Count&amp;SearchText=Regina&amp;SearchType=Begins&amp;SearchPR=01&amp;B1=Al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Qurrat Ulain</cp:lastModifiedBy>
  <cp:revision>35</cp:revision>
  <dcterms:created xsi:type="dcterms:W3CDTF">2019-09-16T00:44:00Z</dcterms:created>
  <dcterms:modified xsi:type="dcterms:W3CDTF">2021-10-05T08:56:00Z</dcterms:modified>
</cp:coreProperties>
</file>