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Boundary Conditions of Model Associated Style</w:t>
      </w:r>
    </w:p>
    <w:p>
      <w:pPr>
        <w:pStyle w:val="Subtitle"/>
      </w:pPr>
      <w:r>
        <w:t>Local separability and transfer across creative writing environments</w:t>
      </w:r>
    </w:p>
    <w:p>
      <w:pPr>
        <w:spacing w:after="60"/>
      </w:pPr>
      <w:r>
        <w:t>Bo Chesterton</w:t>
      </w:r>
    </w:p>
    <w:p>
      <w:pPr>
        <w:spacing w:after="240"/>
      </w:pPr>
      <w:r>
        <w:t>Independent Researcher</w:t>
      </w:r>
    </w:p>
    <w:p>
      <w:pPr>
        <w:pStyle w:val="Heading2"/>
      </w:pPr>
      <w:r>
        <w:t>Abstract</w:t>
      </w:r>
    </w:p>
    <w:p>
      <w:r>
        <w:t>An attribution rule can fail to transfer to a corpus even when model identity remains recoverable within that corpus. We examine this distinction using 5,938 creative-writing responses from two May 2026 studies of six named language-model endpoints. A harmonized representation of 22 body-level features and a fixed logistic-regression pipeline provide an interpretable attribution assay. Training on 5,398 poems from Study 2 yielded 48.9% accuracy on 180 independently collected Study 1 poems, against a balanced six-class reference of 16.7%. Training on 360 stories and animal descriptions instead yielded 17.8% on the same poetry target. In a post-review exploratory diagnostic, local training within that target produced median accuracy of 57.8% across repeated balanced 90/90 splits. An outcome-informed training-size check reduced the separate poetry source to 360 records and retained median transfer accuracy of 46.1%. Within Study 2, pooled held-out-phrasing and held-out-line-cap accuracies were 61.9% and 48.4%. Individual features differed in cross-study rank stability, and substantial transfer remained after excluding six form and structure predictors. These findings distinguish target-local recoverability from transfer of a source-trained rule under a specified representation and learner. Model-associated stylistic claims should identify the production and measurement conditions under which they hold.</w:t>
      </w:r>
    </w:p>
    <w:p>
      <w:r>
        <w:t>Keywords: language models; stylometry; model attribution; distribution shift; portability</w:t>
      </w:r>
    </w:p>
    <w:p>
      <w:pPr>
        <w:pStyle w:val="Heading1"/>
      </w:pPr>
      <w:r>
        <w:t>Introduction</w:t>
      </w:r>
    </w:p>
    <w:p>
      <w:r>
        <w:t>A claim that a language model tends to use a particular style often reaches beyond the setting in which the tendency was measured. Punctuation, pronoun use, line structure, or response framing may distinguish models under one task without doing so in the same way under another. Establishing an observable difference and establishing its range of application are separate empirical tasks.</w:t>
      </w:r>
    </w:p>
    <w:p>
      <w:r>
        <w:t>Model-attribution research shows that generated text can carry information about its source. McGovern et al. (2025) identify lexical and morphosyntactic differences useful for model identification and report robust machine-text detection across domains. Bitton et al. (2025) document stylistic differences among model families. Lu et al. (2026) combine stylometric and semantic representations for detection and attribution. These studies motivate examining which measurements remain useful when the production environment changes; they do not require every model difference to be invariant.</w:t>
      </w:r>
    </w:p>
    <w:p>
      <w:r>
        <w:t>The problem is familiar in human stylometry. Topic, genre, and writing situation can affect attribution, and evaluation designs must distinguish authorship information from correlated contextual features (Stamatatos, 2009; Sundararajan and Woodard, 2018; Altakrori et al., 2021). Language-model evaluation raises related measurement questions: prompt formatting and benchmark composition can change performance estimates, while the evaluation procedure can itself create apparent sensitivity (Sclar et al., 2024; Siska et al., 2024; Hua et al., 2025). Behavioral testing and construct-validity work likewise emphasize that a measurement supports claims only within the scope of its design (Ribeiro et al., 2020; Bean et al., 2025).</w:t>
      </w:r>
    </w:p>
    <w:p>
      <w:r>
        <w:t>Here, local separability means that model identity is recoverable when a classifier is trained and tested within a specified environment. Portability means that a classifier learned in a source environment remains predictive in a target environment without target retraining. Both are operational quantities: they depend on the measured features, learner, training sample, and evaluation split. Low transfer accuracy does not establish that the target lacks model-associated information. Conversely, successful transfer does not establish constant feature values, equally recognizable models, or context-independent style.</w:t>
      </w:r>
    </w:p>
    <w:p>
      <w:r>
        <w:t>We investigate this distinction through a secondary analysis of two independently collected creative-writing studies. Study 1 includes stories, invented-animal descriptions, and poems. Study 2 includes a larger poetry sample with crossed variations in prompt phrasing and requested line limits. Poetry provides a common target for comparing different training sources and, in an exploratory diagnostic, local training. A single harmonized body representation makes the measurements comparable despite differences between the original feature pipelines.</w:t>
      </w:r>
    </w:p>
    <w:p>
      <w:r>
        <w:t>The contribution is a concrete comparison of local recoverability and predictive transfer in these six endpoints, accompanied by evidence about which features retain model ordering. The study does not seek a new maximum-performance attribution system or establish a general law of model style. It asks how far particular model-associated differences travel under the tested changes in creative-writing conditions.</w:t>
      </w:r>
    </w:p>
    <w:p>
      <w:pPr>
        <w:pStyle w:val="Heading1"/>
      </w:pPr>
      <w:r>
        <w:t>Methods</w:t>
      </w:r>
    </w:p>
    <w:p>
      <w:pPr>
        <w:pStyle w:val="Heading2"/>
      </w:pPr>
      <w:r>
        <w:t>Source studies and inclusion</w:t>
      </w:r>
    </w:p>
    <w:p>
      <w:r>
        <w:t>The September 2026 synthesis reanalyzes frozen responses generated in May 2026. It generates no new model outputs. Study 1, an exploratory discovery study, contains 540 successful responses: six models × nine prompts × ten repetitions. Its prompts cross three creative-writing categories with three length conditions. Each category contributes 180 responses, including 30 per model. The animal task asks the model to invent and describe an animal; we use “category” rather than treating it as a genre directly parallel to story and poem.</w:t>
      </w:r>
    </w:p>
    <w:p>
      <w:r>
        <w:t>Study 2, a prospectively preregistered poetry follow-up, planned 5,400 calls: six models × three phrasings × three line limits × 100 repetitions. Its frozen raw file contains 5,398 successful non-empty responses and two API errors. The historical May feature table omitted one additional successful response and therefore contained 5,397 rows. Following the September inclusion rule, we derive inclusion from raw responses and restore that row, giving 5,938 harmonized records across the two studies. This reconciliation does not change the historical May report.</w:t>
      </w:r>
    </w:p>
    <w:p>
      <w:r>
        <w:t>Both studies used temperature 1.0, no system message, and a 400-token generation ceiling. Requested response length and the API generation ceiling are distinct: the former is an instruction in sentences or lines; the latter is an upper output-token budget. Table 1 summarizes the design. Appendix A preserves the exact prompt wording.</w:t>
      </w:r>
    </w:p>
    <w:p>
      <w:pPr>
        <w:pStyle w:val="Caption"/>
        <w:keepNext/>
      </w:pPr>
      <w:r>
        <w:rPr>
          <w:b/>
        </w:rPr>
        <w:t>Table 1 Source studies</w:t>
      </w:r>
    </w:p>
    <w:tbl>
      <w:tblPr>
        <w:tblW w:type="auto" w:w="0"/>
        <w:jc w:val="center"/>
        <w:tblLayout w:type="fixed"/>
        <w:tblLook w:firstColumn="1" w:firstRow="1" w:lastColumn="0" w:lastRow="0" w:noHBand="0" w:noVBand="1" w:val="04A0"/>
      </w:tblPr>
      <w:tblGrid>
        <w:gridCol w:w="2563"/>
        <w:gridCol w:w="3499"/>
        <w:gridCol w:w="3643"/>
      </w:tblGrid>
      <w:tr>
        <w:trPr>
          <w:cantSplit/>
          <w:tblHeader/>
        </w:trPr>
        <w:tc>
          <w:tcPr>
            <w:tcW w:type="dxa" w:w="2563"/>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Characteristic</w:t>
            </w:r>
          </w:p>
        </w:tc>
        <w:tc>
          <w:tcPr>
            <w:tcW w:type="dxa" w:w="3499"/>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Study 1</w:t>
            </w:r>
          </w:p>
        </w:tc>
        <w:tc>
          <w:tcPr>
            <w:tcW w:type="dxa" w:w="3643"/>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Study 2</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Design status</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Exploratory discovery</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Preregistered follow-up</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Successful responses</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540</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5,398</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Writing categories</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Story, animal description, poem</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Poem</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Requested lengths</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Fewer than 5 or 10 sentences/lines; open</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Fewer than 5, 10, or 20 lines</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Phrasing variation</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Create; fixed within category</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Write, compose, gimme</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Repetitions per model and prompt</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10</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100</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Poetry responses per model</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30</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Approximately 900</w:t>
            </w:r>
          </w:p>
        </w:tc>
      </w:tr>
      <w:tr>
        <w:trPr>
          <w:cantSplit/>
        </w:trPr>
        <w:tc>
          <w:tcPr>
            <w:tcW w:type="dxa" w:w="256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Common generation settings</w:t>
            </w:r>
          </w:p>
        </w:tc>
        <w:tc>
          <w:tcPr>
            <w:tcW w:type="dxa" w:w="3499"/>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Temperature 1.0; no system message; 400-token ceiling</w:t>
            </w:r>
          </w:p>
        </w:tc>
        <w:tc>
          <w:tcPr>
            <w:tcW w:type="dxa" w:w="3643"/>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Temperature 1.0; no system message; 400-token ceiling</w:t>
            </w:r>
          </w:p>
        </w:tc>
      </w:tr>
    </w:tbl>
    <w:p>
      <w:pPr>
        <w:spacing w:after="0"/>
      </w:pPr>
    </w:p>
    <w:p>
      <w:r>
        <w:t>The requested model identifiers were claude-haiku-4-5-20251001, claude-sonnet-4-6, claude-opus-4-7, gpt-5.4-nano, gpt-5.4-mini, and gpt-5.4. Only the Haiku request was explicitly date-pinned. The same names were used across studies, but alias reuse does not establish immutable deployments. There is one endpoint at each provider-by-tier position, so provider and tier comparisons are descriptive of this set rather than estimates over independently replicated model populations.</w:t>
      </w:r>
    </w:p>
    <w:p>
      <w:pPr>
        <w:pStyle w:val="Heading2"/>
      </w:pPr>
      <w:r>
        <w:t>Harmonization and measurement</w:t>
      </w:r>
    </w:p>
    <w:p>
      <w:r>
        <w:t>The original studies used different feature pipelines, including historical title and preamble processing problems documented in the repository. The September analysis therefore extracts every feature anew from raw text using a locked common parser. It separates leading assistant framing, a title when detected, and the creative body. Body measurements exclude detected preambles and titles. Line endings and outer whitespace are normalized; internal line breaks, capitalization, punctuation, spelling, grammar, and markdown are otherwise retained.</w:t>
      </w:r>
    </w:p>
    <w:p>
      <w:r>
        <w:t>Before outcome analysis, the parser was checked against a locked human-validation sample of 180 responses: 90 per study and 15 per model per study, with model and provider identities hidden. Agreement exceeded the prespecified 0.90 threshold for each applicable field: preamble presence, .989; title presence, .994; preamble boundary, .920 among 25 applicable cases; title boundary, .986 among 73; and body starting point, .989. This validates the tested parsing decisions, not the accuracy of every downstream linguistic measure or the parser on arbitrary text.</w:t>
      </w:r>
    </w:p>
    <w:p>
      <w:r>
        <w:t>The primary representation contains 22 numeric body features. Six measure form and structure: word count, non-empty line count, stanza count, mean words per line, within-response standard deviation of words per line, and mean word length. Five measure part-of-speech composition: noun/proper-noun, verb/auxiliary, adjective, adverb, and pronoun ratios. Four measure first-person singular, first-person plural, second-person, and third-person shares among lexically recognized pronouns; all four are zero when no recognized pronoun occurs. Seven count punctuation events per 100 body words: em dashes, semicolons, colons, commas, exclamation marks, question marks, and ellipses.</w:t>
      </w:r>
    </w:p>
    <w:p>
      <w:r>
        <w:t>Word, line, and opening features use the fixed lexical rules in the harmonizer. POS ratios use spaCy en_core_web_trf, excluding tokens tagged as punctuation, space, or symbol from their denominator. Literal line and stanza measures are retained for prose as well as poetry. The first lexical token and opening bigram are extracted separately for frequency and entropy analyses and are excluded from the classifier. Appendix B records the software and implementation details.</w:t>
      </w:r>
    </w:p>
    <w:p>
      <w:pPr>
        <w:pStyle w:val="Heading2"/>
      </w:pPr>
      <w:r>
        <w:t>Attribution comparisons</w:t>
      </w:r>
    </w:p>
    <w:p>
      <w:r>
        <w:t>Body-only attribution uses a fixed scikit-learn pipeline: training-fitted median imputation, training-fitted standardization, and default logistic regression. No feature selection, classifier comparison, or hyperparameter search uses held-out outcomes. This simple learner is an assay of transfer under a fixed representation, not an estimate of the maximum information recoverable from the text.</w:t>
      </w:r>
    </w:p>
    <w:p>
      <w:r>
        <w:t>Cross-study transfer trains on all 5,398 Study 2 poems and tests on the 180 Study 1 poems without retraining. Cross-category transfer within Study 1 leaves out each of the three categories in turn, training on 360 responses and testing on 180. Within Study 2, separate leave-one-group-out analyses hold out each phrasing or each requested line limit. A pooled accuracy combines the three held-out prediction sets within one transfer family; it is not one fitted classifier evaluated on the entire corpus. A separate binary provider-label classifier repeats the cross-study comparison descriptively.</w:t>
      </w:r>
    </w:p>
    <w:p>
      <w:r>
        <w:t>Two exploratory comparisons clarify the poetry-target results. The training-size check draws 360 Study 2 poems, 60 per model, and repeats cross-study transfer over 1,000 resamples. The local-separability diagnostic splits each of the 18 Study 1 model × poetry-prompt cells into five training and five test responses. It refits the same body-only pipeline over 1,000 balanced 90/90 splits. Both halves contain examples from every existing prompt cell. This tests recovery among held-out responses under the same three prompts, not generalization to new prompts. The repeated splits reuse 180 poems and do not constitute 1,000 independent replications.</w:t>
      </w:r>
    </w:p>
    <w:p>
      <w:r>
        <w:t>The balanced six-class reference is 1/6, or 16.7%. Accuracy and balanced accuracy coincide in the balanced Study 1 evaluations and are nearly identical in Study 2. The cross-study 95% interval uses 10,000 stratified bootstrap resamples of fixed target predictions within model × prompt cells. It conditions on the fitted classifier, sampled endpoints, and prompts; it does not include training-set or model-population uncertainty. The local and training-size analyses instead report medians and empirical 2.5th–97.5th percentile ranges across their respective resamples. Those ranges are not population confidence intervals.</w:t>
      </w:r>
    </w:p>
    <w:p>
      <w:pPr>
        <w:pStyle w:val="Heading2"/>
      </w:pPr>
      <w:r>
        <w:t>Feature analyses and diagnostic checks</w:t>
      </w:r>
    </w:p>
    <w:p>
      <w:r>
        <w:t>Planned secondary analyses compare model means across the two poetry samples using Spearman correlations, summarize Study 2 model effects, revisit salient May observations, and decompose Study 1 variation into model, category, interaction, and within-cell components. Feature correlations use six endpoint means; 2,000 stratified response bootstraps describe sampling uncertainty conditional on those endpoints. Opening-token entropy is also compared using 10,000 rarefactions of Study 2 to 30 poems per model, matching Study 1 poetry. Agreement with a rarefaction interval is descriptive compatibility, not a formal equivalence test.</w:t>
      </w:r>
    </w:p>
    <w:p>
      <w:r>
        <w:t>A planned presentation analysis adds title presence, preamble presence, and their token counts to the body features. Its preprocessing and iteration-limit differences are documented in Appendix B. An outcome-informed feature-family analysis separately fits form/structure, grammar/person, punctuation, their nonstructural combination, and the full body vector. These are predictive comparisons among correlated feature sets, not causal decompositions of style.</w:t>
      </w:r>
    </w:p>
    <w:p>
      <w:r>
        <w:t>A post-review diagnostic audits the generation ceiling using archived output-token counts and provider termination metadata where available. Direct termination evidence is distinguished from token-count proximity. A conditional rerun of Study 2 line-limit transfer would be triggered by any direct cap termination; otherwise the frozen primary analysis is retained.</w:t>
      </w:r>
    </w:p>
    <w:p>
      <w:pPr>
        <w:pStyle w:val="Heading2"/>
      </w:pPr>
      <w:r>
        <w:t>Analysis history</w:t>
      </w:r>
    </w:p>
    <w:p>
      <w:r>
        <w:t>The September primary analyses and secondary scientific questions were specified before inspection of harmonized September outcomes, but after the May studies and their findings existed. They are prospective specifications for an existing-data synthesis, not a new prospective generation experiment. Some secondary implementation details were fixed after the primary results were seen and before secondary results were inspected. Training-size and feature-family analyses were explicitly outcome-informed. Local separability and the ceiling audit were planned and frozen after critical review but before their own results were observed; they remain exploratory. Appendix B maps these stages to the repository analysis identifiers.</w:t>
      </w:r>
    </w:p>
    <w:p>
      <w:pPr>
        <w:pStyle w:val="Heading1"/>
      </w:pPr>
      <w:r>
        <w:t>Results</w:t>
      </w:r>
    </w:p>
    <w:p>
      <w:pPr>
        <w:pStyle w:val="Heading2"/>
      </w:pPr>
      <w:r>
        <w:t>Different training sources for the same poetry target</w:t>
      </w:r>
    </w:p>
    <w:p>
      <w:r>
        <w:t>Training on Study 2 poetry produced 48.9% accuracy on the 180 Study 1 poems, with a conditional 95% bootstrap interval of 42.8–55.0%. Training instead on Study 1 stories and animal descriptions produced 17.8% on that same target. The latter is numerically close to the 16.7% reference; no test establishes equivalence to chance or absence of all transferable information.</w:t>
      </w:r>
    </w:p>
    <w:p>
      <w:r>
        <w:t>The poetry target nevertheless supported substantial local recovery. In the post-review diagnostic, balanced local splits yielded median accuracy of 57.8%, mean 58.0%, and a 2.5th–97.5th percentile range of 50.0–66.7%. Thus the body representation retained information accessible to the classifier within the target, even though the rule learned from the other Study 1 categories performed poorly there. Local splits use 90 test responses at a time, whereas the transfer comparisons test all 180. Their numerical difference is not a matched estimate of the benefit of local training.</w:t>
      </w:r>
    </w:p>
    <w:p>
      <w:r>
        <w:t>Reducing the Study 2 training source from 5,398 to 360 poems retained median accuracy of 46.1%, with an empirical range of 40.6–52.2%. Matching the cross-category training count therefore did not remove the contrast. This weakens an explanation based solely on sample count without identifying which source-distribution differences caused the transfer gap. Figure 1 keeps the evaluation and uncertainty types distinct.</w:t>
      </w:r>
    </w:p>
    <w:p>
      <w:pPr>
        <w:keepNext/>
        <w:spacing w:after="40"/>
      </w:pPr>
      <w:r>
        <w:drawing>
          <wp:inline xmlns:a="http://schemas.openxmlformats.org/drawingml/2006/main" xmlns:pic="http://schemas.openxmlformats.org/drawingml/2006/picture">
            <wp:extent cx="6126480" cy="3063240"/>
            <wp:docPr id="1" name="Picture 1" descr="Four attribution configurations: local poetry median 57.8 percent; cross-study poetry 48.9; size-matched poetry median 46.1; stories and animal descriptions to poetry 17.8. Range types differ as explained in caption."/>
            <wp:cNvGraphicFramePr>
              <a:graphicFrameLocks noChangeAspect="1"/>
            </wp:cNvGraphicFramePr>
            <a:graphic>
              <a:graphicData uri="http://schemas.openxmlformats.org/drawingml/2006/picture">
                <pic:pic>
                  <pic:nvPicPr>
                    <pic:cNvPr id="0" name="core_comparison.png"/>
                    <pic:cNvPicPr/>
                  </pic:nvPicPr>
                  <pic:blipFill>
                    <a:blip r:embed="rId10"/>
                    <a:stretch>
                      <a:fillRect/>
                    </a:stretch>
                  </pic:blipFill>
                  <pic:spPr>
                    <a:xfrm>
                      <a:off x="0" y="0"/>
                      <a:ext cx="6126480" cy="3063240"/>
                    </a:xfrm>
                    <a:prstGeom prst="rect"/>
                  </pic:spPr>
                </pic:pic>
              </a:graphicData>
            </a:graphic>
          </wp:inline>
        </w:drawing>
      </w:r>
    </w:p>
    <w:p>
      <w:pPr>
        <w:pStyle w:val="Caption"/>
      </w:pPr>
      <w:r>
        <w:t>Figure 1 Local recovery and transfer to Study 1 poetry. The local split (D1) tests 90 of the 180 poems per split; the three transfer configurations test all 180. Blue diamonds and dashed ranges are exploratory resampling medians and 2.5th–97.5th percentiles (D1 and IA1). The black P1 point has a conditional 95% bootstrap interval of fixed predictions. P3 is a fixed holdout estimate without an archived interval. These are different uncertainty summaries, not interchangeable error bars.</w:t>
      </w:r>
    </w:p>
    <w:p>
      <w:r>
        <w:t>Recovery also varied by endpoint. Cross-study recall ranged from 10.0% for Claude Opus 4.7 to 73.3% for Claude Haiku 4.5. The aggregate result therefore does not imply six equally portable signatures. Appendix C reports endpoint recalls across the principal comparisons. The separate provider-label classifier achieved 70.6% accuracy, with a conditional 95% interval of 65.0–76.1%; this remains a description of the six tested endpoints.</w:t>
      </w:r>
    </w:p>
    <w:p>
      <w:pPr>
        <w:pStyle w:val="Heading2"/>
      </w:pPr>
      <w:r>
        <w:t>Transfer across prompt phrasing and requested length</w:t>
      </w:r>
    </w:p>
    <w:p>
      <w:r>
        <w:t>Within Study 2, held-out-phrasing accuracy was 64.1% for write, 65.9% for compose, and 55.7% for gimme, yielding 61.9% pooled accuracy. Held-out-line-limit accuracy was 49.6% for fewer than 5 lines, 57.4% for fewer than 10, and 38.3% for fewer than 20, yielding 48.4% pooled accuracy. Each value measures the specified source-to-target configuration; the 20-line comparison also extrapolates beyond the two shorter requested limits in its training set.</w:t>
      </w:r>
    </w:p>
    <w:p>
      <w:r>
        <w:t>Within Study 1, held-out-category accuracy was 24.4% for stories, 25.0% for animal descriptions, and 17.8% for poems, or 22.4% pooled. Cross-category transfer was weaker in these configurations than the within-poetry transfers, but the experiments do not isolate category change from differences in prompt wording, length regime, collection, and source composition. These accuracies cannot be treated as a general ranking of the difficulty of different distribution shifts.</w:t>
      </w:r>
    </w:p>
    <w:p>
      <w:pPr>
        <w:pStyle w:val="Heading2"/>
      </w:pPr>
      <w:r>
        <w:t>The generation ceiling audit</w:t>
      </w:r>
    </w:p>
    <w:p>
      <w:r>
        <w:t>No successful Study 2 response had direct provider evidence of termination at the 400-token ceiling, reached 400 reported output tokens, or reached the 95% proximity threshold of 380 tokens. Median output length was 68 tokens, the 95th percentile was 149, and the maximum was 255. In the fewer-than-20-lines condition, the corresponding values were 115, 187, and 255. The conditional sensitivity analysis did not trigger. Observed ceiling truncation or near-ceiling output therefore does not account for the weaker 20-line transfer result.</w:t>
      </w:r>
    </w:p>
    <w:p>
      <w:r>
        <w:t>The Study 1 audit is less conclusive: 44 responses reported 400 output tokens and 50 reported at least 380. All 50 near-ceiling responses belong to the uncapped story or animal-description prompts; none are poems. Study 1 raw records lack the provider termination metadata needed for the same direct check. Absence of a recorded cap flag is therefore not evidence of nontermination. Possible ceiling effects therefore remain a limitation of the prose source material used in the cross-category comparisons.</w:t>
      </w:r>
    </w:p>
    <w:p>
      <w:pPr>
        <w:pStyle w:val="Heading2"/>
      </w:pPr>
      <w:r>
        <w:t>Transfer after excluding form and structure predictors</w:t>
      </w:r>
    </w:p>
    <w:p>
      <w:r>
        <w:t>Substantial transfer remained when the six designated form and structure variables were excluded. Grammar/person and punctuation features together yielded 43.3% cross-study accuracy and 55.8% held-out-phrasing accuracy, compared with 48.9% and 61.9% for all 22 features. Under held-out line limits, this combination yielded 49.6%, compared with 48.4% for the full representation. The small reversal is descriptive and does not establish that structure generally harms prediction.</w:t>
      </w:r>
    </w:p>
    <w:p>
      <w:pPr>
        <w:pStyle w:val="Caption"/>
        <w:keepNext/>
      </w:pPr>
      <w:r>
        <w:rPr>
          <w:b/>
        </w:rPr>
        <w:t>Table 2 Six way accuracy by feature representation</w:t>
      </w:r>
    </w:p>
    <w:tbl>
      <w:tblPr>
        <w:tblW w:type="auto" w:w="0"/>
        <w:jc w:val="center"/>
        <w:tblLayout w:type="fixed"/>
        <w:tblLook w:firstColumn="1" w:firstRow="1" w:lastColumn="0" w:lastRow="0" w:noHBand="0" w:noVBand="1" w:val="04A0"/>
      </w:tblPr>
      <w:tblGrid>
        <w:gridCol w:w="3370"/>
        <w:gridCol w:w="1512"/>
        <w:gridCol w:w="1728"/>
        <w:gridCol w:w="1512"/>
        <w:gridCol w:w="1584"/>
      </w:tblGrid>
      <w:tr>
        <w:trPr>
          <w:cantSplit/>
          <w:tblHeader/>
        </w:trPr>
        <w:tc>
          <w:tcPr>
            <w:tcW w:type="dxa" w:w="3370"/>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Features</w:t>
            </w:r>
          </w:p>
        </w:tc>
        <w:tc>
          <w:tcPr>
            <w:tcW w:type="dxa" w:w="1512"/>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Cross study</w:t>
            </w:r>
          </w:p>
        </w:tc>
        <w:tc>
          <w:tcPr>
            <w:tcW w:type="dxa" w:w="1728"/>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Cross category</w:t>
            </w:r>
          </w:p>
        </w:tc>
        <w:tc>
          <w:tcPr>
            <w:tcW w:type="dxa" w:w="1512"/>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Phrasing</w:t>
            </w:r>
          </w:p>
        </w:tc>
        <w:tc>
          <w:tcPr>
            <w:tcW w:type="dxa" w:w="1584"/>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Line limit</w:t>
            </w:r>
          </w:p>
        </w:tc>
      </w:tr>
      <w:tr>
        <w:trPr>
          <w:cantSplit/>
        </w:trPr>
        <w:tc>
          <w:tcPr>
            <w:tcW w:type="dxa" w:w="337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Form / structure (6)</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34.4%</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23.5%</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31.0%</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27.4%</w:t>
            </w:r>
          </w:p>
        </w:tc>
      </w:tr>
      <w:tr>
        <w:trPr>
          <w:cantSplit/>
        </w:trPr>
        <w:tc>
          <w:tcPr>
            <w:tcW w:type="dxa" w:w="337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Grammar / person (9)</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31.7%</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18.3%</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45.3%</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40.1%</w:t>
            </w:r>
          </w:p>
        </w:tc>
      </w:tr>
      <w:tr>
        <w:trPr>
          <w:cantSplit/>
        </w:trPr>
        <w:tc>
          <w:tcPr>
            <w:tcW w:type="dxa" w:w="337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Punctuation (7)</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33.9%</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23.9%</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40.9%</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35.8%</w:t>
            </w:r>
          </w:p>
        </w:tc>
      </w:tr>
      <w:tr>
        <w:trPr>
          <w:cantSplit/>
        </w:trPr>
        <w:tc>
          <w:tcPr>
            <w:tcW w:type="dxa" w:w="337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Grammar + punctuation (16)</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43.3%</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20.4%</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55.8%</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49.6%</w:t>
            </w:r>
          </w:p>
        </w:tc>
      </w:tr>
      <w:tr>
        <w:trPr>
          <w:cantSplit/>
        </w:trPr>
        <w:tc>
          <w:tcPr>
            <w:tcW w:type="dxa" w:w="337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Full body (22)</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48.9%</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22.4%</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61.9%</w:t>
            </w:r>
          </w:p>
        </w:tc>
        <w:tc>
          <w:tcPr>
            <w:tcW w:type="dxa" w:w="158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48.4%</w:t>
            </w:r>
          </w:p>
        </w:tc>
      </w:tr>
    </w:tbl>
    <w:p>
      <w:pPr>
        <w:pStyle w:val="Caption"/>
        <w:spacing w:before="80"/>
      </w:pPr>
      <w:r>
        <w:t>Outcome-informed exploratory feature-family analysis (IA2). Cross-category, phrasing, and line-limit values pool held-out predictions from three separate fits. Parentheses give feature counts.</w:t>
      </w:r>
    </w:p>
    <w:p>
      <w:r>
        <w:t>The ablation shows that the six explicit form variables are not necessary for substantial prediction in these poetry transfers. It does not establish independence from length or formatting: punctuation rates, POS ratios, and pronoun composition may still covary with those properties. None of the tested representations produced comparably high pooled cross-category accuracy.</w:t>
      </w:r>
    </w:p>
    <w:p>
      <w:pPr>
        <w:pStyle w:val="Heading2"/>
      </w:pPr>
      <w:r>
        <w:t>Feature ordering and category dependence</w:t>
      </w:r>
    </w:p>
    <w:p>
      <w:r>
        <w:t>Individual measurements differed in cross-study stability. Across the six model means, semicolon rate had Spearman ρ = .986. Em-dash rate, mean words per line, and overall pronoun ratio each had ρ = .829; first-person-plural share had ρ = .714. Body word count (ρ = −.429), non-empty line count (−.543), and stanza count (−.314) did not retain the same ordering. Twenty-one of the 22 correlations were finite; ellipsis rate had no defined rank correlation because the model means were constant in at least one study. Rank similarity concerns relative ordering, not equal magnitudes across samples.</w:t>
      </w:r>
    </w:p>
    <w:p>
      <w:r>
        <w:t>Other harmonized measurements also retained similar rankings: opening-token entropy, ρ = .943; title rate, .939; modal opening concentration, .928; and em-dash prevalence, .812. Four of six Study 1 entropy values fell inside the corresponding Study 2 rarefaction intervals. These summaries are conditional on six endpoints and the sampled poetry conditions.</w:t>
      </w:r>
    </w:p>
    <w:p>
      <w:r>
        <w:t>Within Study 2, the largest descriptive model effects among body features included semicolon rate (η² = .315), em-dash rate (.301), overall pronoun ratio (.226), and first-person-singular share (.206). In Study 1, strong model differences coexisted with category dependence. For semicolon rate, model η² was .082 and model × category η² was .146; for em-dash rate the corresponding values were .178 and .133. Mean word length yielded .155 and .108, and mean words per line .072 and .052. These are shares of total variation under the archived decomposition, not partial η². The interaction component describes variation in model differences across the sampled categories; it does not by itself establish a reversal in model ordering. Requested-length conditions are pooled within category in this decomposition.</w:t>
      </w:r>
    </w:p>
    <w:p>
      <w:pPr>
        <w:pStyle w:val="Heading2"/>
      </w:pPr>
      <w:r>
        <w:t>Higher accuracy with the presentation pipeline</w:t>
      </w:r>
    </w:p>
    <w:p>
      <w:r>
        <w:t>The secondary pipeline incorporating four title and preamble variables increased six-way cross-study accuracy from 48.9% to 67.2%, pooled cross-category accuracy from 22.4% to 31.5%, phrasing-transfer accuracy from 61.9% to 80.8%, and line-limit transfer from 48.4% to 63.0%. The descriptive provider-label comparison increased from 70.6% to 90.6%.</w:t>
      </w:r>
    </w:p>
    <w:p>
      <w:r>
        <w:t>The body-plus-presentation pipeline therefore achieved higher accuracy in each configuration. The four variables were added jointly, are correlated with one another and potentially with body features, and were not individually manipulated. Because preprocessing and the iteration limit also differ from the primary pipeline, these comparisons do not isolate the gain attributable to the added variables alone, much less separate causal contributions of titles and preambles.</w:t>
      </w:r>
    </w:p>
    <w:p>
      <w:pPr>
        <w:pStyle w:val="Heading1"/>
      </w:pPr>
      <w:r>
        <w:t>Discussion</w:t>
      </w:r>
    </w:p>
    <w:p>
      <w:pPr>
        <w:pStyle w:val="Heading2"/>
      </w:pPr>
      <w:r>
        <w:t>What the shared target establishes</w:t>
      </w:r>
    </w:p>
    <w:p>
      <w:r>
        <w:t>The central finding is a divergence between local recoverability and transfer of a source-trained rule. Study 1 poetry supports model prediction from the 22-feature representation when training occurs within its prompt cells. The same representation and learner family perform poorly on that corpus when trained on stories and animal descriptions. Poor transfer therefore cannot be interpreted as disappearance of all model-associated information from the poetry target.</w:t>
      </w:r>
    </w:p>
    <w:p>
      <w:r>
        <w:t>This conclusion is narrower than an explanation of the transfer failure. Changes in feature means, covariance, scaling, or model ordering could contribute, as could differences in the tasks and collection regimes. The local diagnostic establishes an informative target under its own split; it does not supply matched local baselines for every environment or explain which mechanisms prevent transfer. The size-matched poetry result shows that reducing training count alone does not reproduce the low cross-category accuracy, but it does not make the two training sources causally comparable.</w:t>
      </w:r>
    </w:p>
    <w:p>
      <w:r>
        <w:t>Successful transfer has a similarly specific interpretation. The 48.9% cross-study result demonstrates useful prediction across the two poetry collections under the chosen measurements and fitting procedure. It is not evidence that every feature is stable, every endpoint is recognizable, or future versions will behave similarly. Reporting local accuracy and transfer accuracy together makes the scope of an attribution claim more legible.</w:t>
      </w:r>
    </w:p>
    <w:p>
      <w:pPr>
        <w:pStyle w:val="Heading2"/>
      </w:pPr>
      <w:r>
        <w:t>Several forms of stability</w:t>
      </w:r>
    </w:p>
    <w:p>
      <w:r>
        <w:t>Predictive portability, ordinal feature stability, and stability of effect magnitude answer different questions. A classifier uses the joint arrangement of features, whereas a rank correlation describes the ordering of six model means on one measurement. Stable ordering can coexist with changes in scale or category-dependent effects. The semicolon and em-dash results illustrate this: both preserve relatively strong cross-study poetry rankings while also showing substantial model × category variation in Study 1.</w:t>
      </w:r>
    </w:p>
    <w:p>
      <w:r>
        <w:t>The feature-family and presentation analyses further show that attribution is distributed across different kinds of measurement. Prediction persists without explicit form variables, while the pipeline including titles and preambles yields higher accuracy. Neither result licenses a causal partition of model style. They identify representations worth distinguishing in future experiments and discourage treating one accuracy score as a complete account of a model signature.</w:t>
      </w:r>
    </w:p>
    <w:p>
      <w:r>
        <w:t>The study complements prior stylometry and model-attribution work by making the local-versus-transfer comparison explicit in a small, inspectable creative-writing setting. It also complements prompt-robustness research, where the outcome is usually task performance. Here the outcome is the form of generated text. Portability of stylistic prediction should not be assumed to imply robustness of capability, or vice versa.</w:t>
      </w:r>
    </w:p>
    <w:p>
      <w:pPr>
        <w:pStyle w:val="Heading2"/>
      </w:pPr>
      <w:r>
        <w:t>Limits and a prospective design</w:t>
      </w:r>
    </w:p>
    <w:p>
      <w:r>
        <w:t>The design covers six requested endpoints, two providers, minimal creative-writing prompts, and one decoding temperature. The endpoints are not a sample that supports general provider or tier effects. Unpinned request aliases limit claims about deployment continuity. Poetry is the only direct bridge between studies, and several comparisons change more than one production condition. The present analysis therefore describes observed transfer configurations rather than isolating the causal effect of genre, phrasing, or requested length.</w:t>
      </w:r>
    </w:p>
    <w:p>
      <w:r>
        <w:t>The representation is deliberately sparse. More expressive features or learners might recover information that this assay misses. Parsing agreement does not validate POS tagging or every operational definition of style, and ratio features can remain sensitive to short text length. Accuracy measures closed-set discrimination among known endpoints; it does not validate open-set authorship decisions, human-versus-machine detection, or performance on arbitrary documents.</w:t>
      </w:r>
    </w:p>
    <w:p>
      <w:r>
        <w:t>Uncertainty is also conditional. Feature stability uses only six model means. The cross-study bootstrap fixes the fitted classifier and prompts, while local split ranges reuse one small corpus. The local diagnostic and feature-family comparisons were outcome-informed. Study 1's possible ceiling effects and the differing implementation of the presentation pipeline further constrain interpretations. A prospectively specified existing-data analysis does not erase exposure to the historical studies.</w:t>
      </w:r>
    </w:p>
    <w:p>
      <w:r>
        <w:t>A stronger follow-up would cross endpoints with creative-writing category, wording, requested length, and collection wave, holding training budgets comparable and recording returned model identifiers and termination metadata. Every environment should have a local baseline as well as reciprocal transfer tests. Disjoint prompt sets would distinguish within-prompt recovery from transfer to new prompts; repeated or near-duplicate outputs should be accounted for when defining splits. Such a design could compare local recoverability, predictive transfer, feature ordering, and effect magnitude directly. Extensions to other output behaviors remain proposals rather than findings here.</w:t>
      </w:r>
    </w:p>
    <w:p>
      <w:pPr>
        <w:pStyle w:val="Heading1"/>
      </w:pPr>
      <w:r>
        <w:t>Conclusion</w:t>
      </w:r>
    </w:p>
    <w:p>
      <w:r>
        <w:t>The six tested endpoints produced recoverable stylistic differences, but an attribution rule's usefulness depended on its training environment. The same Study 1 poetry corpus supported substantial local prediction and cross-study poetry transfer while yielding low accuracy to a classifier trained on other creative-writing categories. Local separability and portability must therefore be reported separately. A model-associated stylistic claim is better specified by the features, learner, prompts, and production changes under which it remains informative.</w:t>
      </w:r>
    </w:p>
    <w:p>
      <w:pPr>
        <w:pStyle w:val="Heading1"/>
      </w:pPr>
      <w:r>
        <w:t>Data and materials</w:t>
      </w:r>
    </w:p>
    <w:p>
      <w:r>
        <w:t xml:space="preserve">Raw source responses, harmonization code, validation records, analysis plans, deviations, machine-readable results, and earlier review materials are available in An Assay of Bullshit: </w:t>
      </w:r>
      <w:hyperlink r:id="rId11">
        <w:r>
          <w:rPr>
            <w:color w:val="245779"/>
          </w:rPr>
          <w:t>Repository</w:t>
        </w:r>
      </w:hyperlink>
      <w:r>
        <w:t>.</w:t>
      </w:r>
      <w:r>
        <w:t xml:space="preserve"> This revision uses repository commit d9f3e63c8d6473924cb82b29d1c2e01182d63707. The frozen pre-September source anchor is 2d122305dafab5c89f1fbfc9f567069fed0b8d8f. All empirical results reported here come from the archived analysis outputs. The present editorial review generated no new experimental responses and made no repository changes.</w:t>
      </w:r>
    </w:p>
    <w:p>
      <w:pPr>
        <w:pStyle w:val="Heading1"/>
      </w:pPr>
      <w:r>
        <w:t>Authorship and machine participation</w:t>
      </w:r>
    </w:p>
    <w:p>
      <w:r>
        <w:t>Language-model systems contributed substantially to question refinement, analysis planning and implementation, interpretation, critical review, figures, and manuscript drafting and revision. The project record preserves analysis stages, code, results, and review materials. The sole named author is Bo Chesterton, a governed public intellectual identity. The Constitution of Bo Chesterton (2026) distinguishes participation and provenance from authorship and constitutional authority.</w:t>
      </w:r>
    </w:p>
    <w:p>
      <w:r>
        <w:t>Revision note. This working revision was prepared by an OpenAI assistant after considering five assistant subagent reviews covering methods, evidence, conceptual argument, scholarly editing, and literature. These provide multiple analytical perspectives within one assistant workflow, not independent human peer review. The draft is for the author's review and does not represent a new publication or delegation of authority.</w:t>
      </w:r>
    </w:p>
    <w:p>
      <w:pPr>
        <w:pStyle w:val="Heading1"/>
        <w:pageBreakBefore/>
      </w:pPr>
      <w:r>
        <w:t>References</w:t>
      </w:r>
    </w:p>
    <w:p>
      <w:pPr>
        <w:spacing w:after="140"/>
        <w:ind w:left="259" w:hanging="259"/>
      </w:pPr>
      <w:r>
        <w:rPr>
          <w:sz w:val="20"/>
        </w:rPr>
        <w:t xml:space="preserve">Altakrori, Malik, Jackie Chi Kit Cheung, and Benjamin C. M. Fung. 2021. "The Topic Confusion Task: A Novel Evaluation Scenario for Authorship Attribution." Findings of the Association for Computational Linguistics: EMNLP 2021, 4242-4256. </w:t>
      </w:r>
      <w:hyperlink r:id="rId12">
        <w:r>
          <w:rPr>
            <w:color w:val="245779"/>
          </w:rPr>
          <w:t>Source</w:t>
        </w:r>
      </w:hyperlink>
      <w:r>
        <w:rPr>
          <w:sz w:val="20"/>
        </w:rPr>
      </w:r>
      <w:r>
        <w:rPr>
          <w:sz w:val="20"/>
        </w:rPr>
      </w:r>
    </w:p>
    <w:p>
      <w:pPr>
        <w:spacing w:after="140"/>
        <w:ind w:left="259" w:hanging="259"/>
      </w:pPr>
      <w:r>
        <w:rPr>
          <w:sz w:val="20"/>
        </w:rPr>
        <w:t xml:space="preserve">Bean, Andrew M., Ryan Othniel Kearns, Angelika Romanou, et al. 2025. "Measuring What Matters: Construct Validity in Large Language Model Benchmarks." 39th Conference on Neural Information Processing Systems (NeurIPS 2025), Datasets and Benchmarks Track. </w:t>
      </w:r>
      <w:hyperlink r:id="rId13">
        <w:r>
          <w:rPr>
            <w:color w:val="245779"/>
          </w:rPr>
          <w:t>Source</w:t>
        </w:r>
      </w:hyperlink>
      <w:r>
        <w:rPr>
          <w:sz w:val="20"/>
        </w:rPr>
      </w:r>
      <w:r>
        <w:rPr>
          <w:sz w:val="20"/>
        </w:rPr>
      </w:r>
    </w:p>
    <w:p>
      <w:pPr>
        <w:spacing w:after="140"/>
        <w:ind w:left="259" w:hanging="259"/>
      </w:pPr>
      <w:r>
        <w:rPr>
          <w:sz w:val="20"/>
        </w:rPr>
        <w:t xml:space="preserve">Bitton, Yehonatan, Elad Bitton, and Shai Nisan. 2025. "Detecting Stylistic Fingerprints of Large Language Models." arXiv:2503.01659. </w:t>
      </w:r>
      <w:hyperlink r:id="rId14">
        <w:r>
          <w:rPr>
            <w:color w:val="245779"/>
          </w:rPr>
          <w:t>Source</w:t>
        </w:r>
      </w:hyperlink>
      <w:r>
        <w:rPr>
          <w:sz w:val="20"/>
        </w:rPr>
      </w:r>
      <w:r>
        <w:rPr>
          <w:sz w:val="20"/>
        </w:rPr>
      </w:r>
    </w:p>
    <w:p>
      <w:pPr>
        <w:spacing w:after="140"/>
        <w:ind w:left="259" w:hanging="259"/>
      </w:pPr>
      <w:r>
        <w:rPr>
          <w:sz w:val="20"/>
        </w:rPr>
        <w:t xml:space="preserve">Constitution of Bo Chesterton. 2026. Version 0.50, September 9, 2026. Public GitHub repository. </w:t>
      </w:r>
      <w:hyperlink r:id="rId15">
        <w:r>
          <w:rPr>
            <w:color w:val="245779"/>
          </w:rPr>
          <w:t>Repository</w:t>
        </w:r>
      </w:hyperlink>
      <w:r>
        <w:rPr>
          <w:sz w:val="20"/>
        </w:rPr>
      </w:r>
      <w:r>
        <w:rPr>
          <w:sz w:val="20"/>
        </w:rPr>
      </w:r>
    </w:p>
    <w:p>
      <w:pPr>
        <w:spacing w:after="140"/>
        <w:ind w:left="259" w:hanging="259"/>
      </w:pPr>
      <w:r>
        <w:rPr>
          <w:sz w:val="20"/>
        </w:rPr>
        <w:t xml:space="preserve">Hua, Andong, Kenan Tang, Chenhe Gu, Jindong Gu, Eric Wong, and Yao Qin. 2025. "Flaw or Artifact? Rethinking Prompt Sensitivity in Evaluating LLMs." Proceedings of the 2025 Conference on Empirical Methods in Natural Language Processing, 19889-19899. </w:t>
      </w:r>
      <w:hyperlink r:id="rId16">
        <w:r>
          <w:rPr>
            <w:color w:val="245779"/>
          </w:rPr>
          <w:t>Source</w:t>
        </w:r>
      </w:hyperlink>
      <w:r>
        <w:rPr>
          <w:sz w:val="20"/>
        </w:rPr>
      </w:r>
      <w:r>
        <w:rPr>
          <w:sz w:val="20"/>
        </w:rPr>
      </w:r>
    </w:p>
    <w:p>
      <w:pPr>
        <w:spacing w:after="140"/>
        <w:ind w:left="259" w:hanging="259"/>
      </w:pPr>
      <w:r>
        <w:rPr>
          <w:sz w:val="20"/>
        </w:rPr>
        <w:t xml:space="preserve">Lu, Xingyu, Yumeng Ma, Xiang Zhou, Shengli Gan, Guiying Deng, Yang Wen, and Yanbing Liu. 2026. "Synergizing Stylometrics with Semantics: Dual-Path Framework for LLM Detection and Attribution." Findings of the Association for Computational Linguistics: ACL 2026, 37252-37265. </w:t>
      </w:r>
      <w:hyperlink r:id="rId17">
        <w:r>
          <w:rPr>
            <w:color w:val="245779"/>
          </w:rPr>
          <w:t>Source</w:t>
        </w:r>
      </w:hyperlink>
      <w:r>
        <w:rPr>
          <w:sz w:val="20"/>
        </w:rPr>
      </w:r>
      <w:r>
        <w:rPr>
          <w:sz w:val="20"/>
        </w:rPr>
      </w:r>
    </w:p>
    <w:p>
      <w:pPr>
        <w:spacing w:after="140"/>
        <w:ind w:left="259" w:hanging="259"/>
      </w:pPr>
      <w:r>
        <w:rPr>
          <w:sz w:val="20"/>
        </w:rPr>
        <w:t xml:space="preserve">McGovern, Hope, Rickard Stureborg, Yoshi Suhara, and Dimitris Alikaniotis. 2025. "Your Large Language Models are Leaving Fingerprints." Proceedings of the 1st Workshop on GenAI Content Detection (GenAIDetect), 85-95. </w:t>
      </w:r>
      <w:hyperlink r:id="rId18">
        <w:r>
          <w:rPr>
            <w:color w:val="245779"/>
          </w:rPr>
          <w:t>Source</w:t>
        </w:r>
      </w:hyperlink>
      <w:r>
        <w:rPr>
          <w:sz w:val="20"/>
        </w:rPr>
      </w:r>
      <w:r>
        <w:rPr>
          <w:sz w:val="20"/>
        </w:rPr>
      </w:r>
    </w:p>
    <w:p>
      <w:pPr>
        <w:spacing w:after="140"/>
        <w:ind w:left="259" w:hanging="259"/>
      </w:pPr>
      <w:r>
        <w:rPr>
          <w:sz w:val="20"/>
        </w:rPr>
        <w:t xml:space="preserve">Ribeiro, Marco Tulio, Tongshuang Wu, Carlos Guestrin, and Sameer Singh. 2020. "Beyond Accuracy: Behavioral Testing of NLP Models with CheckList." Proceedings of the 58th Annual Meeting of the Association for Computational Linguistics, 4902-4912. </w:t>
      </w:r>
      <w:hyperlink r:id="rId19">
        <w:r>
          <w:rPr>
            <w:color w:val="245779"/>
          </w:rPr>
          <w:t>Source</w:t>
        </w:r>
      </w:hyperlink>
      <w:r>
        <w:rPr>
          <w:sz w:val="20"/>
        </w:rPr>
      </w:r>
      <w:r>
        <w:rPr>
          <w:sz w:val="20"/>
        </w:rPr>
      </w:r>
    </w:p>
    <w:p>
      <w:pPr>
        <w:spacing w:after="140"/>
        <w:ind w:left="259" w:hanging="259"/>
      </w:pPr>
      <w:r>
        <w:rPr>
          <w:sz w:val="20"/>
        </w:rPr>
        <w:t xml:space="preserve">Sclar, Melanie, Yejin Choi, Yulia Tsvetkov, and Alane Suhr. 2024. "Quantifying Language Models' Sensitivity to Spurious Features in Prompt Design or: How I Learned to Start Worrying About Prompt Formatting." International Conference on Learning Representations (ICLR 2024). </w:t>
      </w:r>
      <w:hyperlink r:id="rId20">
        <w:r>
          <w:rPr>
            <w:color w:val="245779"/>
          </w:rPr>
          <w:t>Source</w:t>
        </w:r>
      </w:hyperlink>
      <w:r>
        <w:rPr>
          <w:sz w:val="20"/>
        </w:rPr>
      </w:r>
      <w:r>
        <w:rPr>
          <w:sz w:val="20"/>
        </w:rPr>
      </w:r>
    </w:p>
    <w:p>
      <w:pPr>
        <w:spacing w:after="140"/>
        <w:ind w:left="259" w:hanging="259"/>
      </w:pPr>
      <w:r>
        <w:rPr>
          <w:sz w:val="20"/>
        </w:rPr>
        <w:t xml:space="preserve">Siska, Charlotte, Katerina Marazopoulou, Melissa Ailem, and James Bono. 2024. "Examining the Robustness of LLM Evaluation to the Distributional Assumptions of Benchmarks." Proceedings of the 62nd Annual Meeting of the Association for Computational Linguistics (Volume 1: Long Papers), 10406-10421. </w:t>
      </w:r>
      <w:hyperlink r:id="rId21">
        <w:r>
          <w:rPr>
            <w:color w:val="245779"/>
          </w:rPr>
          <w:t>Source</w:t>
        </w:r>
      </w:hyperlink>
      <w:r>
        <w:rPr>
          <w:sz w:val="20"/>
        </w:rPr>
      </w:r>
      <w:r>
        <w:rPr>
          <w:sz w:val="20"/>
        </w:rPr>
      </w:r>
    </w:p>
    <w:p>
      <w:pPr>
        <w:spacing w:after="140"/>
        <w:ind w:left="259" w:hanging="259"/>
      </w:pPr>
      <w:r>
        <w:rPr>
          <w:sz w:val="20"/>
        </w:rPr>
        <w:t xml:space="preserve">Stamatatos, Efstathios. 2009. "A Survey of Modern Authorship Attribution Methods." Journal of the American Society for Information Science and Technology 60(3): 538-556. </w:t>
      </w:r>
      <w:hyperlink r:id="rId22">
        <w:r>
          <w:rPr>
            <w:color w:val="245779"/>
          </w:rPr>
          <w:t>Source</w:t>
        </w:r>
      </w:hyperlink>
      <w:r>
        <w:rPr>
          <w:sz w:val="20"/>
        </w:rPr>
      </w:r>
      <w:r>
        <w:rPr>
          <w:sz w:val="20"/>
        </w:rPr>
      </w:r>
    </w:p>
    <w:p>
      <w:pPr>
        <w:spacing w:after="140"/>
        <w:ind w:left="259" w:hanging="259"/>
      </w:pPr>
      <w:r>
        <w:rPr>
          <w:sz w:val="20"/>
        </w:rPr>
        <w:t xml:space="preserve">Sundararajan, Kalaivani, and Damon Woodard. 2018. "What Represents 'Style' in Authorship Attribution?" Proceedings of the 27th International Conference on Computational Linguistics, 2814-2822. </w:t>
      </w:r>
      <w:hyperlink r:id="rId23">
        <w:r>
          <w:rPr>
            <w:color w:val="245779"/>
          </w:rPr>
          <w:t>Source</w:t>
        </w:r>
      </w:hyperlink>
      <w:r>
        <w:rPr>
          <w:sz w:val="20"/>
        </w:rPr>
      </w:r>
      <w:r>
        <w:rPr>
          <w:sz w:val="20"/>
        </w:rPr>
      </w:r>
    </w:p>
    <w:p>
      <w:pPr>
        <w:pStyle w:val="Heading1"/>
        <w:pageBreakBefore/>
      </w:pPr>
      <w:r>
        <w:t>Appendix A Exact source prompts</w:t>
      </w:r>
    </w:p>
    <w:p>
      <w:r>
        <w:t>Study 1 used “create a short story in fewer than 5 sentences.”, “create a short story in fewer than 10 sentences.”, and “create a short story.” For animal descriptions it used “create an animal and describe it in fewer than 5 sentences.”, “create an animal and describe it in fewer than 10 sentences.”, and “create an animal and describe it.” For poetry it used “create a poem in fewer then 5 lines.”, “create a poem in fewer then 10 lines.”, and “create a poem.” The word then is preserved from the original capped poetry prompts.</w:t>
      </w:r>
    </w:p>
    <w:p>
      <w:r>
        <w:t>Study 2 crossed the initial verb write, compose, or gimme with the template “[verb] a poem in fewer than [N] lines.”, where N was 5, 10, or 20. These are requested bounds rather than exact-length instructions; the analysis does not assume every response complied.</w:t>
      </w:r>
    </w:p>
    <w:p>
      <w:pPr>
        <w:pStyle w:val="Heading1"/>
      </w:pPr>
      <w:r>
        <w:t>Appendix B Analysis and implementation record</w:t>
      </w:r>
    </w:p>
    <w:p>
      <w:pPr>
        <w:pStyle w:val="Caption"/>
        <w:keepNext/>
      </w:pPr>
      <w:r>
        <w:rPr>
          <w:b/>
        </w:rPr>
        <w:t>Table B1 Analysis identifiers and status</w:t>
      </w:r>
    </w:p>
    <w:tbl>
      <w:tblPr>
        <w:tblW w:type="auto" w:w="0"/>
        <w:jc w:val="center"/>
        <w:tblLayout w:type="fixed"/>
        <w:tblLook w:firstColumn="1" w:firstRow="1" w:lastColumn="0" w:lastRow="0" w:noHBand="0" w:noVBand="1" w:val="04A0"/>
      </w:tblPr>
      <w:tblGrid>
        <w:gridCol w:w="1152"/>
        <w:gridCol w:w="4018"/>
        <w:gridCol w:w="4536"/>
      </w:tblGrid>
      <w:tr>
        <w:trPr>
          <w:cantSplit/>
          <w:tblHeader/>
        </w:trPr>
        <w:tc>
          <w:tcPr>
            <w:tcW w:type="dxa" w:w="1152"/>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Identifiers</w:t>
            </w:r>
          </w:p>
        </w:tc>
        <w:tc>
          <w:tcPr>
            <w:tcW w:type="dxa" w:w="4018"/>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Analysis</w:t>
            </w:r>
          </w:p>
        </w:tc>
        <w:tc>
          <w:tcPr>
            <w:tcW w:type="dxa" w:w="4536"/>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Status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P1–P2</w:t>
            </w:r>
          </w:p>
        </w:tc>
        <w:tc>
          <w:tcPr>
            <w:tcW w:type="dxa" w:w="401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Cross-study model and provider-label transfer</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Locked September primary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P3–P4</w:t>
            </w:r>
          </w:p>
        </w:tc>
        <w:tc>
          <w:tcPr>
            <w:tcW w:type="dxa" w:w="401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Category, phrasing, and line-limit holdouts</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Locked September primary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P5</w:t>
            </w:r>
          </w:p>
        </w:tc>
        <w:tc>
          <w:tcPr>
            <w:tcW w:type="dxa" w:w="401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Opening-token entropy rarefaction</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Locked September primary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S1–S5</w:t>
            </w:r>
          </w:p>
        </w:tc>
        <w:tc>
          <w:tcPr>
            <w:tcW w:type="dxa" w:w="401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Feature ranks; presentation; model effects; May signatures; category interaction</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Secondary questions specified before harmonized outcomes; some implementation fixed after primary results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IA1–IA3</w:t>
            </w:r>
          </w:p>
        </w:tc>
        <w:tc>
          <w:tcPr>
            <w:tcW w:type="dxa" w:w="401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Training-size check; feature families; descriptive transfer map</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Outcome-informed exploratory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D1–D2</w:t>
            </w:r>
          </w:p>
        </w:tc>
        <w:tc>
          <w:tcPr>
            <w:tcW w:type="dxa" w:w="401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Local poetry recovery; generation-ceiling audit</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Post-review exploratory; frozen before own outcomes</w:t>
            </w:r>
          </w:p>
        </w:tc>
      </w:tr>
    </w:tbl>
    <w:p>
      <w:pPr>
        <w:spacing w:after="0"/>
      </w:pPr>
    </w:p>
    <w:p>
      <w:r>
        <w:t>The body-only pipeline uses SimpleImputer(strategy="median"), StandardScaler(), and LogisticRegression() with the archived library defaults. Each fit estimates preprocessing parameters from training data only. The secondary presentation pipeline median-imputes and standardizes the 22 body variables plus two token-count variables, mode-imputes the two presence indicators without standardizing them, and uses LogisticRegression(max_iter=1000). Thus the presentation comparison is a documented secondary pipeline extension rather than a perfectly identical pipeline with four interchangeable columns added.</w:t>
      </w:r>
    </w:p>
    <w:p>
      <w:r>
        <w:t>The harmonization record identifies Python 3.13.15, spaCy 3.8.16, and en_core_web_trf 3.8.0. The analysis result files record Python 3.14.6, NumPy 2.4.6, pandas 3.0.3, and scikit-learn 1.9.1. The frozen harmonized dataset SHA-256 is cd6dfbb320e219241923a8a71a3f8cc2fb50d86c15226d73fb9c90653845750f. Code, seeds, full feature definitions, confusion matrices, and remaining feature summaries are preserved under September_2026_Secondary_Analysis at the cited commit.</w:t>
      </w:r>
    </w:p>
    <w:p>
      <w:pPr>
        <w:pStyle w:val="Heading1"/>
        <w:pageBreakBefore/>
      </w:pPr>
      <w:r>
        <w:t>Appendix C Endpoint recall</w:t>
      </w:r>
    </w:p>
    <w:p>
      <w:pPr>
        <w:pStyle w:val="Caption"/>
        <w:keepNext/>
      </w:pPr>
      <w:r>
        <w:rPr>
          <w:b/>
        </w:rPr>
        <w:t>Table C1 Per endpoint recall</w:t>
      </w:r>
    </w:p>
    <w:tbl>
      <w:tblPr>
        <w:tblW w:type="auto" w:w="0"/>
        <w:jc w:val="center"/>
        <w:tblLayout w:type="fixed"/>
        <w:tblLook w:firstColumn="1" w:firstRow="1" w:lastColumn="0" w:lastRow="0" w:noHBand="0" w:noVBand="1" w:val="04A0"/>
      </w:tblPr>
      <w:tblGrid>
        <w:gridCol w:w="2376"/>
        <w:gridCol w:w="1368"/>
        <w:gridCol w:w="1512"/>
        <w:gridCol w:w="1656"/>
        <w:gridCol w:w="1354"/>
        <w:gridCol w:w="1440"/>
      </w:tblGrid>
      <w:tr>
        <w:trPr>
          <w:cantSplit/>
          <w:tblHeader/>
        </w:trPr>
        <w:tc>
          <w:tcPr>
            <w:tcW w:type="dxa" w:w="2376"/>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sz w:val="18"/>
              </w:rPr>
              <w:t>Endpoint</w:t>
            </w:r>
          </w:p>
        </w:tc>
        <w:tc>
          <w:tcPr>
            <w:tcW w:type="dxa" w:w="1368"/>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Local D1</w:t>
            </w:r>
          </w:p>
        </w:tc>
        <w:tc>
          <w:tcPr>
            <w:tcW w:type="dxa" w:w="1512"/>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Cross study</w:t>
            </w:r>
          </w:p>
        </w:tc>
        <w:tc>
          <w:tcPr>
            <w:tcW w:type="dxa" w:w="1656"/>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Cross category</w:t>
            </w:r>
          </w:p>
        </w:tc>
        <w:tc>
          <w:tcPr>
            <w:tcW w:type="dxa" w:w="1354"/>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Phrasing</w:t>
            </w:r>
          </w:p>
        </w:tc>
        <w:tc>
          <w:tcPr>
            <w:tcW w:type="dxa" w:w="1440"/>
            <w:vAlign w:val="center"/>
            <w:shd w:fill="E6EBE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sz w:val="18"/>
              </w:rPr>
              <w:t>Line limit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Claude Haiku 4.5</w:t>
            </w:r>
          </w:p>
        </w:tc>
        <w:tc>
          <w:tcPr>
            <w:tcW w:type="dxa" w:w="136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53.3%</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73.3%</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22.2%</w:t>
            </w:r>
          </w:p>
        </w:tc>
        <w:tc>
          <w:tcPr>
            <w:tcW w:type="dxa" w:w="135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42.3%</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31.4%</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Claude Sonnet 4.6</w:t>
            </w:r>
          </w:p>
        </w:tc>
        <w:tc>
          <w:tcPr>
            <w:tcW w:type="dxa" w:w="136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73.3%</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43.3%</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34.4%</w:t>
            </w:r>
          </w:p>
        </w:tc>
        <w:tc>
          <w:tcPr>
            <w:tcW w:type="dxa" w:w="135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66.8%</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47.0%</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Claude Opus 4.7</w:t>
            </w:r>
          </w:p>
        </w:tc>
        <w:tc>
          <w:tcPr>
            <w:tcW w:type="dxa" w:w="136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46.7%</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10.0%</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18.9%</w:t>
            </w:r>
          </w:p>
        </w:tc>
        <w:tc>
          <w:tcPr>
            <w:tcW w:type="dxa" w:w="135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67.3%</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42.0%</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GPT-5.4 nano</w:t>
            </w:r>
          </w:p>
        </w:tc>
        <w:tc>
          <w:tcPr>
            <w:tcW w:type="dxa" w:w="136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80.0%</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63.3%</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14.4%</w:t>
            </w:r>
          </w:p>
        </w:tc>
        <w:tc>
          <w:tcPr>
            <w:tcW w:type="dxa" w:w="135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83.0%</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62.6%</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GPT-5.4 mini</w:t>
            </w:r>
          </w:p>
        </w:tc>
        <w:tc>
          <w:tcPr>
            <w:tcW w:type="dxa" w:w="136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53.3%</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56.7%</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16.7%</w:t>
            </w:r>
          </w:p>
        </w:tc>
        <w:tc>
          <w:tcPr>
            <w:tcW w:type="dxa" w:w="135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62.3%</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65.9%</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pPr>
            <w:r>
              <w:rPr>
                <w:b w:val="0"/>
                <w:sz w:val="18"/>
              </w:rPr>
              <w:t>GPT-5.4</w:t>
            </w:r>
          </w:p>
        </w:tc>
        <w:tc>
          <w:tcPr>
            <w:tcW w:type="dxa" w:w="1368"/>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40.0%</w:t>
            </w:r>
          </w:p>
        </w:tc>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46.7%</w:t>
            </w:r>
          </w:p>
        </w:tc>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27.8%</w:t>
            </w:r>
          </w:p>
        </w:tc>
        <w:tc>
          <w:tcPr>
            <w:tcW w:type="dxa" w:w="1354"/>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49.8%</w:t>
            </w:r>
          </w:p>
        </w:tc>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95" w:type="dxa"/>
              <w:right w:w="95" w:type="dxa"/>
            </w:tcMar>
          </w:tcPr>
          <w:p>
            <w:pPr>
              <w:spacing w:after="0" w:line="240" w:lineRule="auto"/>
              <w:jc w:val="center"/>
            </w:pPr>
            <w:r>
              <w:rPr>
                <w:b w:val="0"/>
                <w:sz w:val="18"/>
              </w:rPr>
              <w:t>41.6%</w:t>
            </w:r>
          </w:p>
        </w:tc>
      </w:tr>
    </w:tbl>
    <w:p>
      <w:pPr>
        <w:pStyle w:val="Caption"/>
        <w:spacing w:before="80"/>
      </w:pPr>
      <w:r>
        <w:t>Local D1 entries are medians across the repeated local splits. Other entries are fixed or pooled held-out recalls. Cross-category is pooled across all three categories, not the poetry-only target. Display names abbreviate the requested identifiers listed in Methods.</w:t>
      </w:r>
    </w:p>
    <w:sectPr w:rsidR="00FC693F" w:rsidRPr="0006063C" w:rsidSect="00034616">
      <w:footerReference w:type="default" r:id="rId9"/>
      <w:pgSz w:w="12240" w:h="15840"/>
      <w:pgMar w:top="1123" w:right="1267" w:bottom="1123" w:left="126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7"/>
      </w:rPr>
      <w:t xml:space="preserve">Bo Chesterton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mbria" w:hAnsi="Cambria"/>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mbria" w:hAnsi="Cambria"/>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mbria" w:hAnsi="Cambria"/>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quumble/An-Assay-of-Bullshit" TargetMode="External"/><Relationship Id="rId12" Type="http://schemas.openxmlformats.org/officeDocument/2006/relationships/hyperlink" Target="https://doi.org/10.18653/v1/2021.findings-emnlp.359" TargetMode="External"/><Relationship Id="rId13" Type="http://schemas.openxmlformats.org/officeDocument/2006/relationships/hyperlink" Target="https://arxiv.org/abs/2511.04703" TargetMode="External"/><Relationship Id="rId14" Type="http://schemas.openxmlformats.org/officeDocument/2006/relationships/hyperlink" Target="https://arxiv.org/abs/2503.01659" TargetMode="External"/><Relationship Id="rId15" Type="http://schemas.openxmlformats.org/officeDocument/2006/relationships/hyperlink" Target="https://github.com/quumble/constitution-of-bo-chesterton" TargetMode="External"/><Relationship Id="rId16" Type="http://schemas.openxmlformats.org/officeDocument/2006/relationships/hyperlink" Target="https://doi.org/10.18653/v1/2025.emnlp-main.1006" TargetMode="External"/><Relationship Id="rId17" Type="http://schemas.openxmlformats.org/officeDocument/2006/relationships/hyperlink" Target="https://doi.org/10.18653/v1/2026.findings-acl.1855" TargetMode="External"/><Relationship Id="rId18" Type="http://schemas.openxmlformats.org/officeDocument/2006/relationships/hyperlink" Target="https://aclanthology.org/2025.genaidetect-1.6/" TargetMode="External"/><Relationship Id="rId19" Type="http://schemas.openxmlformats.org/officeDocument/2006/relationships/hyperlink" Target="https://doi.org/10.18653/v1/2020.acl-main.442" TargetMode="External"/><Relationship Id="rId20" Type="http://schemas.openxmlformats.org/officeDocument/2006/relationships/hyperlink" Target="https://proceedings.iclr.cc/paper_files/paper/2024/hash/6c0e99d736da621403018ca7b32b1a4d-Abstract-Conference.html" TargetMode="External"/><Relationship Id="rId21" Type="http://schemas.openxmlformats.org/officeDocument/2006/relationships/hyperlink" Target="https://doi.org/10.18653/v1/2024.acl-long.560" TargetMode="External"/><Relationship Id="rId22" Type="http://schemas.openxmlformats.org/officeDocument/2006/relationships/hyperlink" Target="https://doi.org/10.1002/asi.21001" TargetMode="External"/><Relationship Id="rId23" Type="http://schemas.openxmlformats.org/officeDocument/2006/relationships/hyperlink" Target="https://aclanthology.org/C18-1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Boundary Conditions of Model Associated Style</dc:title>
  <dc:subject>Revised working manuscript</dc:subject>
  <dc:creator>Bo Chesterton</dc:creator>
  <cp:keywords/>
  <dc:description>generated by python-docx</dc:description>
  <cp:lastModifiedBy/>
  <cp:revision>1</cp:revision>
  <dcterms:created xsi:type="dcterms:W3CDTF">2013-12-23T23:15:00Z</dcterms:created>
  <dcterms:modified xsi:type="dcterms:W3CDTF">2013-12-23T23:15:00Z</dcterms:modified>
  <cp:category/>
</cp:coreProperties>
</file>