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associated style under distribution shift</w:t>
      </w:r>
    </w:p>
    <w:p>
      <w:pPr>
        <w:pStyle w:val="Subtitle"/>
      </w:pPr>
      <w:r>
        <w:t>Local separability and cross environment portability</w:t>
      </w:r>
    </w:p>
    <w:p>
      <w:pPr>
        <w:spacing w:after="60"/>
      </w:pPr>
      <w:r>
        <w:rPr>
          <w:b/>
        </w:rPr>
        <w:t>Bo Chesterton</w:t>
      </w:r>
    </w:p>
    <w:p>
      <w:pPr>
        <w:spacing w:after="60"/>
      </w:pPr>
      <w:r>
        <w:t>Independent Researcher</w:t>
      </w:r>
    </w:p>
    <w:p>
      <w:pPr>
        <w:pStyle w:val="Heading1"/>
      </w:pPr>
      <w:r>
        <w:t>Abstract</w:t>
      </w:r>
    </w:p>
    <w:p>
      <w:r>
        <w:t>Differences between language models are often described as tendencies that extend beyond the setting in which they were observed. This study separates three properties of such claims: local model separability, transfer of a fitted attribution rule, and stability of model rankings on individual features. We analyzed 5,938 creative-writing responses from two independently collected May 2026 studies of six named model endpoints, using a harmonized parser and 22 interpretable body-level features. A classifier trained on 5,398 Study 2 poems identified models in 180 Study 1 poems with 48.9% accuracy. Within Study 2, held-out phrasing and line-cap accuracy was 61.9% and 48.4%. Transfer from Study 1 stories and animal descriptions to poetry was much weaker at 17.8% (revision-stage 95% bootstrap interval, 13.3–22.2%; six-class chance reference, 16.7%). Exploratory local validation nevertheless recovered model identity in both the story-and-animal source mixture (55.0% median accuracy) and the poetry target (57.8%). Excluding source responses at the 400-token ceiling increased poetry transfer to 25.0%; excluding responses at or above 380 tokens yielded 21.1%. No poetry target responses were excluded. Feature rankings also depended on the comparison: negative pooled cross-study correlations for word, line, and stanza counts became positive when both studies were restricted to their shared 5- and 10-line conditions. These results demonstrate a bounded divergence between local separability and cross-category attribution performance. They also show why feature stability must be described relative to a specified mixture of production conditions. Attribution accuracy, local recoverability, and feature-rank stability answer different questions about model-associated style.</w:t>
      </w:r>
    </w:p>
    <w:p>
      <w:r>
        <w:t>Keywords: language models; stylometry; model attribution; distribution shift; local separability; portability</w:t>
      </w:r>
    </w:p>
    <w:p>
      <w:pPr>
        <w:pStyle w:val="Heading1"/>
      </w:pPr>
      <w:r>
        <w:t>Introduction</w:t>
      </w:r>
    </w:p>
    <w:p>
      <w:r>
        <w:t>A statement that a language model tends to use a particular punctuation mark, prefer a rhetorical form, or produce longer responses contains two possible claims. The first concerns a difference observed in a defined sample. The second concerns where that difference will remain informative. Evidence for the first does not automatically establish the second.</w:t>
      </w:r>
    </w:p>
    <w:p>
      <w:r>
        <w:t>Model-attribution research shows that generator identity can leave recoverable traces in text. McGovern et al. (2025) found that simple lexical and part-of-speech features support robust detection and characterize model-associated fingerprints across domains. Bitton et al. (2025) reported persistent stylistic differences among model families. Lu et al. (2026) combined explicit stylometric features with semantic representations for detection and attribution. These findings support the existence of model-associated information under the tested conditions. They do not require every feature, or every fitted classifier, to remain stable under every change of task.</w:t>
      </w:r>
    </w:p>
    <w:p>
      <w:r>
        <w:t>The distinction is familiar in human authorship attribution. Stylometry must separate authorship from topic, genre, and register (Stamatatos, 2009). Cross-topic and cross-genre studies examine which representations remain useful when the writing situation changes (Sundararajan and Woodard, 2018), while the Topic Confusion Task explicitly tests dependence on topic (Altakrori et al., 2021). Language-model evaluation raises related measurement questions. Prompt formatting and benchmark composition can alter measured performance and model rankings (Sclar et al., 2024; Siska et al., 2024); evaluation procedures can also contribute to apparent prompt sensitivity (Hua et al., 2025). Behavioral testing examines failures beyond aggregate accuracy (Ribeiro et al., 2020), consistency analysis tests factual predictions across paraphrases (Elazar et al., 2021), and construct-validity research examines whether measurements support their intended claims (Bean et al., 2025).</w:t>
      </w:r>
    </w:p>
    <w:p>
      <w:r>
        <w:t>Here, local separability means that a classifier trained and tested within a specified environment recovers model labels. Portability means that a classifier fitted in one environment retains predictive value in another without retraining. Feature-rank stability asks whether models preserve their relative ordering on a named measurement. These properties are related but distinct. A target can be locally separable even when a source-trained classifier performs poorly there. A classifier can also transfer using a subset or combination of features while other feature rankings change.</w:t>
      </w:r>
    </w:p>
    <w:p>
      <w:r>
        <w:t>We investigate these distinctions using two creative-writing studies. Study 1 varies task category and requested length; Study 2 varies poetry prompt wording and requested line limits. The contribution is an interpretable empirical comparison across these observed environments, supplemented by exploratory checks of local performance and plausible alternative explanations. The study is not a search for the best attribution system, nor a causal isolation of genre or prompt effects. Its purpose is to identify which claims remain supported when the same representation is examined through different generalization tests.</w:t>
      </w:r>
    </w:p>
    <w:p>
      <w:pPr>
        <w:pStyle w:val="Heading1"/>
      </w:pPr>
      <w:r>
        <w:t>Methods</w:t>
      </w:r>
    </w:p>
    <w:p>
      <w:pPr>
        <w:pStyle w:val="Heading2"/>
      </w:pPr>
      <w:r>
        <w:t>Data and production conditions</w:t>
      </w:r>
    </w:p>
    <w:p>
      <w:r>
        <w:t>The analysis uses frozen responses collected in May 2026. Study 1 contains 540 successful outputs: six endpoints, nine prompts, and ten repetitions per endpoint–prompt cell. Three prompt families request a short story, creation and description of an animal, or a poem. Each family has two capped-length prompts and an unconstrained prompt. Story and animal prompts request fewer than 5 or 10 sentences; poetry prompts request fewer than 5 or 10 lines. The uncapped versions impose no requested sentence or line limit, but all calls retain the 400-token generation ceiling.</w:t>
      </w:r>
    </w:p>
    <w:p>
      <w:r>
        <w:t>Study 2 contains 5,398 successful, non-empty responses from 5,400 planned calls: six endpoints crossed with three phrasings (write, compose, gimme), three requested line caps (5, 10, 20), and 100 repetitions. Two calls returned API errors. A successful response omitted from the historical 5,397-row feature table was restored by deriving inclusion from the raw responses. Both studies used temperature 1.0 and no system message.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64"/>
        <w:gridCol w:w="3384"/>
        <w:gridCol w:w="3312"/>
      </w:tblGrid>
      <w:tr>
        <w:trPr>
          <w:cantSplit/>
          <w:tblHeader/>
        </w:trPr>
        <w:tc>
          <w:tcPr>
            <w:tcW w:type="dxa" w:w="2664"/>
            <w:vAlign w:val="center"/>
            <w:shd w:fill="E9EDF0"/>
          </w:tcPr>
          <w:p>
            <w:pPr>
              <w:keepNext/>
              <w:spacing w:after="0" w:before="0" w:line="245" w:lineRule="auto"/>
              <w:jc w:val="left"/>
            </w:pPr>
            <w:r>
              <w:rPr>
                <w:b/>
                <w:sz w:val="20"/>
              </w:rPr>
              <w:t>Property</w:t>
            </w:r>
          </w:p>
        </w:tc>
        <w:tc>
          <w:tcPr>
            <w:tcW w:type="dxa" w:w="3384"/>
            <w:vAlign w:val="center"/>
            <w:shd w:fill="E9EDF0"/>
          </w:tcPr>
          <w:p>
            <w:pPr>
              <w:keepNext/>
              <w:spacing w:after="0" w:before="0" w:line="245" w:lineRule="auto"/>
              <w:jc w:val="left"/>
            </w:pPr>
            <w:r>
              <w:rPr>
                <w:b/>
                <w:sz w:val="20"/>
              </w:rPr>
              <w:t>Study 1</w:t>
            </w:r>
          </w:p>
        </w:tc>
        <w:tc>
          <w:tcPr>
            <w:tcW w:type="dxa" w:w="3312"/>
            <w:vAlign w:val="center"/>
            <w:shd w:fill="E9EDF0"/>
          </w:tcPr>
          <w:p>
            <w:pPr>
              <w:keepNext/>
              <w:spacing w:after="0" w:before="0" w:line="245" w:lineRule="auto"/>
              <w:jc w:val="left"/>
            </w:pPr>
            <w:r>
              <w:rPr>
                <w:b/>
                <w:sz w:val="20"/>
              </w:rPr>
              <w:t>Study 2</w:t>
            </w:r>
          </w:p>
        </w:tc>
      </w:tr>
      <w:tr>
        <w:trPr>
          <w:cantSplit/>
        </w:trPr>
        <w:tc>
          <w:tcPr>
            <w:tcW w:type="dxa" w:w="2664"/>
            <w:vAlign w:val="center"/>
            <w:shd w:fill="FFFFFF"/>
          </w:tcPr>
          <w:p>
            <w:pPr>
              <w:keepNext w:val="0"/>
              <w:spacing w:after="0" w:before="0" w:line="245" w:lineRule="auto"/>
              <w:jc w:val="left"/>
            </w:pPr>
            <w:r>
              <w:rPr>
                <w:b w:val="0"/>
                <w:sz w:val="20"/>
              </w:rPr>
              <w:t>Successful responses</w:t>
            </w:r>
          </w:p>
        </w:tc>
        <w:tc>
          <w:tcPr>
            <w:tcW w:type="dxa" w:w="3384"/>
            <w:vAlign w:val="center"/>
            <w:shd w:fill="FFFFFF"/>
          </w:tcPr>
          <w:p>
            <w:pPr>
              <w:keepNext w:val="0"/>
              <w:spacing w:after="0" w:before="0" w:line="245" w:lineRule="auto"/>
              <w:jc w:val="left"/>
            </w:pPr>
            <w:r>
              <w:rPr>
                <w:b w:val="0"/>
                <w:sz w:val="20"/>
              </w:rPr>
              <w:t>540</w:t>
            </w:r>
          </w:p>
        </w:tc>
        <w:tc>
          <w:tcPr>
            <w:tcW w:type="dxa" w:w="3312"/>
            <w:vAlign w:val="center"/>
            <w:shd w:fill="FFFFFF"/>
          </w:tcPr>
          <w:p>
            <w:pPr>
              <w:keepNext w:val="0"/>
              <w:spacing w:after="0" w:before="0" w:line="245" w:lineRule="auto"/>
              <w:jc w:val="left"/>
            </w:pPr>
            <w:r>
              <w:rPr>
                <w:b w:val="0"/>
                <w:sz w:val="20"/>
              </w:rPr>
              <w:t>5,398</w:t>
            </w:r>
          </w:p>
        </w:tc>
      </w:tr>
      <w:tr>
        <w:trPr>
          <w:cantSplit/>
        </w:trPr>
        <w:tc>
          <w:tcPr>
            <w:tcW w:type="dxa" w:w="2664"/>
            <w:vAlign w:val="center"/>
            <w:shd w:fill="F7F8F9"/>
          </w:tcPr>
          <w:p>
            <w:pPr>
              <w:keepNext w:val="0"/>
              <w:spacing w:after="0" w:before="0" w:line="245" w:lineRule="auto"/>
              <w:jc w:val="left"/>
            </w:pPr>
            <w:r>
              <w:rPr>
                <w:b w:val="0"/>
                <w:sz w:val="20"/>
              </w:rPr>
              <w:t>Tasks</w:t>
            </w:r>
          </w:p>
        </w:tc>
        <w:tc>
          <w:tcPr>
            <w:tcW w:type="dxa" w:w="3384"/>
            <w:vAlign w:val="center"/>
            <w:shd w:fill="F7F8F9"/>
          </w:tcPr>
          <w:p>
            <w:pPr>
              <w:keepNext w:val="0"/>
              <w:spacing w:after="0" w:before="0" w:line="245" w:lineRule="auto"/>
              <w:jc w:val="left"/>
            </w:pPr>
            <w:r>
              <w:rPr>
                <w:b w:val="0"/>
                <w:sz w:val="20"/>
              </w:rPr>
              <w:t>Story, animal description, poem</w:t>
            </w:r>
          </w:p>
        </w:tc>
        <w:tc>
          <w:tcPr>
            <w:tcW w:type="dxa" w:w="3312"/>
            <w:vAlign w:val="center"/>
            <w:shd w:fill="F7F8F9"/>
          </w:tcPr>
          <w:p>
            <w:pPr>
              <w:keepNext w:val="0"/>
              <w:spacing w:after="0" w:before="0" w:line="245" w:lineRule="auto"/>
              <w:jc w:val="left"/>
            </w:pPr>
            <w:r>
              <w:rPr>
                <w:b w:val="0"/>
                <w:sz w:val="20"/>
              </w:rPr>
              <w:t>Poem</w:t>
            </w:r>
          </w:p>
        </w:tc>
      </w:tr>
      <w:tr>
        <w:trPr>
          <w:cantSplit/>
        </w:trPr>
        <w:tc>
          <w:tcPr>
            <w:tcW w:type="dxa" w:w="2664"/>
            <w:vAlign w:val="center"/>
            <w:shd w:fill="FFFFFF"/>
          </w:tcPr>
          <w:p>
            <w:pPr>
              <w:keepNext w:val="0"/>
              <w:spacing w:after="0" w:before="0" w:line="245" w:lineRule="auto"/>
              <w:jc w:val="left"/>
            </w:pPr>
            <w:r>
              <w:rPr>
                <w:b w:val="0"/>
                <w:sz w:val="20"/>
              </w:rPr>
              <w:t>Prompt conditions</w:t>
            </w:r>
          </w:p>
        </w:tc>
        <w:tc>
          <w:tcPr>
            <w:tcW w:type="dxa" w:w="3384"/>
            <w:vAlign w:val="center"/>
            <w:shd w:fill="FFFFFF"/>
          </w:tcPr>
          <w:p>
            <w:pPr>
              <w:keepNext w:val="0"/>
              <w:spacing w:after="0" w:before="0" w:line="245" w:lineRule="auto"/>
              <w:jc w:val="left"/>
            </w:pPr>
            <w:r>
              <w:rPr>
                <w:b w:val="0"/>
                <w:sz w:val="20"/>
              </w:rPr>
              <w:t>3 requested lengths per task</w:t>
            </w:r>
          </w:p>
        </w:tc>
        <w:tc>
          <w:tcPr>
            <w:tcW w:type="dxa" w:w="3312"/>
            <w:vAlign w:val="center"/>
            <w:shd w:fill="FFFFFF"/>
          </w:tcPr>
          <w:p>
            <w:pPr>
              <w:keepNext w:val="0"/>
              <w:spacing w:after="0" w:before="0" w:line="245" w:lineRule="auto"/>
              <w:jc w:val="left"/>
            </w:pPr>
            <w:r>
              <w:rPr>
                <w:b w:val="0"/>
                <w:sz w:val="20"/>
              </w:rPr>
              <w:t>3 phrasings × 3 line caps</w:t>
            </w:r>
          </w:p>
        </w:tc>
      </w:tr>
      <w:tr>
        <w:trPr>
          <w:cantSplit/>
        </w:trPr>
        <w:tc>
          <w:tcPr>
            <w:tcW w:type="dxa" w:w="2664"/>
            <w:vAlign w:val="center"/>
            <w:shd w:fill="F7F8F9"/>
          </w:tcPr>
          <w:p>
            <w:pPr>
              <w:keepNext w:val="0"/>
              <w:spacing w:after="0" w:before="0" w:line="245" w:lineRule="auto"/>
              <w:jc w:val="left"/>
            </w:pPr>
            <w:r>
              <w:rPr>
                <w:b w:val="0"/>
                <w:sz w:val="20"/>
              </w:rPr>
              <w:t>Repeats per endpoint and prompt</w:t>
            </w:r>
          </w:p>
        </w:tc>
        <w:tc>
          <w:tcPr>
            <w:tcW w:type="dxa" w:w="3384"/>
            <w:vAlign w:val="center"/>
            <w:shd w:fill="F7F8F9"/>
          </w:tcPr>
          <w:p>
            <w:pPr>
              <w:keepNext w:val="0"/>
              <w:spacing w:after="0" w:before="0" w:line="245" w:lineRule="auto"/>
              <w:jc w:val="left"/>
            </w:pPr>
            <w:r>
              <w:rPr>
                <w:b w:val="0"/>
                <w:sz w:val="20"/>
              </w:rPr>
              <w:t>10</w:t>
            </w:r>
          </w:p>
        </w:tc>
        <w:tc>
          <w:tcPr>
            <w:tcW w:type="dxa" w:w="3312"/>
            <w:vAlign w:val="center"/>
            <w:shd w:fill="F7F8F9"/>
          </w:tcPr>
          <w:p>
            <w:pPr>
              <w:keepNext w:val="0"/>
              <w:spacing w:after="0" w:before="0" w:line="245" w:lineRule="auto"/>
              <w:jc w:val="left"/>
            </w:pPr>
            <w:r>
              <w:rPr>
                <w:b w:val="0"/>
                <w:sz w:val="20"/>
              </w:rPr>
              <w:t>100</w:t>
            </w:r>
          </w:p>
        </w:tc>
      </w:tr>
      <w:tr>
        <w:trPr>
          <w:cantSplit/>
        </w:trPr>
        <w:tc>
          <w:tcPr>
            <w:tcW w:type="dxa" w:w="2664"/>
            <w:vAlign w:val="center"/>
            <w:shd w:fill="FFFFFF"/>
          </w:tcPr>
          <w:p>
            <w:pPr>
              <w:keepNext w:val="0"/>
              <w:spacing w:after="0" w:before="0" w:line="245" w:lineRule="auto"/>
              <w:jc w:val="left"/>
            </w:pPr>
            <w:r>
              <w:rPr>
                <w:b w:val="0"/>
                <w:sz w:val="20"/>
              </w:rPr>
              <w:t>Poems per endpoint</w:t>
            </w:r>
          </w:p>
        </w:tc>
        <w:tc>
          <w:tcPr>
            <w:tcW w:type="dxa" w:w="3384"/>
            <w:vAlign w:val="center"/>
            <w:shd w:fill="FFFFFF"/>
          </w:tcPr>
          <w:p>
            <w:pPr>
              <w:keepNext w:val="0"/>
              <w:spacing w:after="0" w:before="0" w:line="245" w:lineRule="auto"/>
              <w:jc w:val="left"/>
            </w:pPr>
            <w:r>
              <w:rPr>
                <w:b w:val="0"/>
                <w:sz w:val="20"/>
              </w:rPr>
              <w:t>30</w:t>
            </w:r>
          </w:p>
        </w:tc>
        <w:tc>
          <w:tcPr>
            <w:tcW w:type="dxa" w:w="3312"/>
            <w:vAlign w:val="center"/>
            <w:shd w:fill="FFFFFF"/>
          </w:tcPr>
          <w:p>
            <w:pPr>
              <w:keepNext w:val="0"/>
              <w:spacing w:after="0" w:before="0" w:line="245" w:lineRule="auto"/>
              <w:jc w:val="left"/>
            </w:pPr>
            <w:r>
              <w:rPr>
                <w:b w:val="0"/>
                <w:sz w:val="20"/>
              </w:rPr>
              <w:t>899 or 900</w:t>
            </w:r>
          </w:p>
        </w:tc>
      </w:tr>
      <w:tr>
        <w:trPr>
          <w:cantSplit/>
        </w:trPr>
        <w:tc>
          <w:tcPr>
            <w:tcW w:type="dxa" w:w="2664"/>
            <w:vAlign w:val="center"/>
            <w:shd w:fill="F7F8F9"/>
          </w:tcPr>
          <w:p>
            <w:pPr>
              <w:keepNext w:val="0"/>
              <w:spacing w:after="0" w:before="0" w:line="245" w:lineRule="auto"/>
              <w:jc w:val="left"/>
            </w:pPr>
            <w:r>
              <w:rPr>
                <w:b w:val="0"/>
                <w:sz w:val="20"/>
              </w:rPr>
              <w:t>Collection order</w:t>
            </w:r>
          </w:p>
        </w:tc>
        <w:tc>
          <w:tcPr>
            <w:tcW w:type="dxa" w:w="3384"/>
            <w:vAlign w:val="center"/>
            <w:shd w:fill="F7F8F9"/>
          </w:tcPr>
          <w:p>
            <w:pPr>
              <w:keepNext w:val="0"/>
              <w:spacing w:after="0" w:before="0" w:line="245" w:lineRule="auto"/>
              <w:jc w:val="left"/>
            </w:pPr>
            <w:r>
              <w:rPr>
                <w:b w:val="0"/>
                <w:sz w:val="20"/>
              </w:rPr>
              <w:t>Contiguous model blocks</w:t>
            </w:r>
          </w:p>
        </w:tc>
        <w:tc>
          <w:tcPr>
            <w:tcW w:type="dxa" w:w="3312"/>
            <w:vAlign w:val="center"/>
            <w:shd w:fill="F7F8F9"/>
          </w:tcPr>
          <w:p>
            <w:pPr>
              <w:keepNext w:val="0"/>
              <w:spacing w:after="0" w:before="0" w:line="245" w:lineRule="auto"/>
              <w:jc w:val="left"/>
            </w:pPr>
            <w:r>
              <w:rPr>
                <w:b w:val="0"/>
                <w:sz w:val="20"/>
              </w:rPr>
              <w:t>Shuffled calls</w:t>
            </w:r>
          </w:p>
        </w:tc>
      </w:tr>
      <w:tr>
        <w:trPr>
          <w:cantSplit/>
        </w:trPr>
        <w:tc>
          <w:tcPr>
            <w:tcW w:type="dxa" w:w="2664"/>
            <w:vAlign w:val="center"/>
            <w:shd w:fill="FFFFFF"/>
          </w:tcPr>
          <w:p>
            <w:pPr>
              <w:keepNext w:val="0"/>
              <w:spacing w:after="0" w:before="0" w:line="245" w:lineRule="auto"/>
              <w:jc w:val="left"/>
            </w:pPr>
            <w:r>
              <w:rPr>
                <w:b w:val="0"/>
                <w:sz w:val="20"/>
              </w:rPr>
              <w:t>Temperature and token ceiling</w:t>
            </w:r>
          </w:p>
        </w:tc>
        <w:tc>
          <w:tcPr>
            <w:tcW w:type="dxa" w:w="3384"/>
            <w:vAlign w:val="center"/>
            <w:shd w:fill="FFFFFF"/>
          </w:tcPr>
          <w:p>
            <w:pPr>
              <w:keepNext w:val="0"/>
              <w:spacing w:after="0" w:before="0" w:line="245" w:lineRule="auto"/>
              <w:jc w:val="left"/>
            </w:pPr>
            <w:r>
              <w:rPr>
                <w:b w:val="0"/>
                <w:sz w:val="20"/>
              </w:rPr>
              <w:t>1.0; 400 tokens</w:t>
            </w:r>
          </w:p>
        </w:tc>
        <w:tc>
          <w:tcPr>
            <w:tcW w:type="dxa" w:w="3312"/>
            <w:vAlign w:val="center"/>
            <w:shd w:fill="FFFFFF"/>
          </w:tcPr>
          <w:p>
            <w:pPr>
              <w:keepNext w:val="0"/>
              <w:spacing w:after="0" w:before="0" w:line="245" w:lineRule="auto"/>
              <w:jc w:val="left"/>
            </w:pPr>
            <w:r>
              <w:rPr>
                <w:b w:val="0"/>
                <w:sz w:val="20"/>
              </w:rPr>
              <w:t>1.0; 400 tokens</w:t>
            </w:r>
          </w:p>
        </w:tc>
      </w:tr>
    </w:tbl>
    <w:p>
      <w:pPr>
        <w:spacing w:after="0"/>
      </w:pPr>
    </w:p>
    <w:p>
      <w:pPr>
        <w:pStyle w:val="Caption"/>
      </w:pPr>
      <w:r>
        <w:t>Table 1. Source designs. Requested limits use “fewer than,” so the numbers identify prompt conditions rather than permitted inclusive maxima. Study 1 poetry prompts preserve the original spelling “fewer then.” Full prompts and endpoint identifiers appear in Appendix A.</w:t>
      </w:r>
    </w:p>
    <w:p>
      <w:r>
        <w:t>The six identifiers were claude-haiku-4-5-20251001, claude-sonnet-4-6, claude-opus-4-7, gpt-5.4-nano, gpt-5.4-mini, and gpt-5.4. Only the Haiku identifier is explicitly date-pinned. The remaining aliases were used consistently, but identical names do not prove an immutable provider deployment. Each provider-by-tier position contains only one endpoint; provider and tier comparisons therefore remain descriptive.</w:t>
      </w:r>
    </w:p>
    <w:p>
      <w:r>
        <w:t>Collection order also differed. Study 1 ran in contiguous model blocks on May 7, followed by prompt and iteration order within each model. Study 2 shuffled the full call list using a recorded seed and ran from May 8 to May 9. The first design cannot separate endpoint association from model-block collection timing. This is a limitation of attribution, not evidence that a deployment changed during collection.</w:t>
      </w:r>
    </w:p>
    <w:p>
      <w:pPr>
        <w:pStyle w:val="Heading2"/>
      </w:pPr>
      <w:r>
        <w:t>Evidentiary status</w:t>
      </w:r>
    </w:p>
    <w:p>
      <w:r>
        <w:t>Study 1 was exploratory; Study 2 was prospectively preregistered. The September synthesis was designed after the May datasets existed. Its primary analyses were specified before inspection of harmonized September outcomes. Secondary questions were specified at that stage, although some implementation details were fixed after primary outcomes and before secondary outcomes. Subsequent training-size and feature-family analyses were outcome-informed. The original local-poetry diagnostic and token audit were specified after manuscript review and remain exploratory.</w:t>
      </w:r>
    </w:p>
    <w:p>
      <w:r>
        <w:t>The present revision adds a separate exploratory layer: source-local validation, transfer uncertainty, paired local-versus-transfer comparisons, Study 1 ceiling exclusions, duplicate checks, and feature-rank comparisons restricted to shared line-cap conditions. These additions were motivated by the review and known results. Their procedures were recorded before each diagnostic run, but they are not preregistered confirmatory analyses. Appendix B distinguishes the archived analyses from the revision-stage checks.</w:t>
      </w:r>
    </w:p>
    <w:p>
      <w:pPr>
        <w:pStyle w:val="Heading2"/>
      </w:pPr>
      <w:r>
        <w:t>Harmonization and measurement</w:t>
      </w:r>
    </w:p>
    <w:p>
      <w:r>
        <w:t>All responses were processed with one parser that separates leading framing material, an optional title, and the creative body. It normalizes line endings and applies fixed rules for preambles and title-like leading lines while preserving body punctuation, spelling, casing, and internal spacing structure. The primary representation uses only the creative body.</w:t>
      </w:r>
    </w:p>
    <w:p>
      <w:r>
        <w:t>A balanced validation sample contained 180 responses, with 15 per endpoint per study. Endpoint and provider labels were hidden. Human judgments accepted the proposed parsing at rates of 178/180 for preamble presence, 179/180 for title presence, 23/25 for applicable preamble boundaries, 72/73 for applicable title boundaries, and 178/180 for body starting points. Every field met the specified 0.90 threshold. These are acceptance/agreement scores for proposed segmentation, not independent inter-rater reliability estimates or validation of part-of-speech tagging.</w:t>
      </w:r>
    </w:p>
    <w:p>
      <w:r>
        <w:t>The body representation contains 22 features. Six describe form and word length: word count, non-empty line count, stanza count, mean and standard deviation of words per line, and mean word length. Five measure part-of-speech composition: noun/proper-noun, verb/auxiliary, adjective, adverb, and pronoun ratios, excluding punctuation, space, and symbol tokens from the denominator. Four measure first-person singular, first-person plural, second-person, and third-person shares among recognized pronouns; responses with no recognized pronouns receive zero on all four. Seven count em dashes, semicolons, colons, commas, exclamation marks, question marks, and ellipses per 100 lexical body words. Appendix A specifies tokenization and software.</w:t>
      </w:r>
    </w:p>
    <w:p>
      <w:r>
        <w:t>A secondary representation adds preamble presence, title presence, and their respective token counts.</w:t>
      </w:r>
    </w:p>
    <w:p>
      <w:pPr>
        <w:pStyle w:val="Heading2"/>
      </w:pPr>
      <w:r>
        <w:t>Attribution and uncertainty</w:t>
      </w:r>
    </w:p>
    <w:p>
      <w:r>
        <w:t>The body classifier is L2-regularized multinomial logistic regression preceded by training-fitted median imputation and standardization. No feature selection, classifier search, or held-out hyperparameter optimization was performed. The archived implementation uses scikit-learn defaults, including C = 1, lbfgs, tolerance 0.0001, and a 100-iteration ceiling. The surface representation uses the same classifier family with a documented 1,000-iteration ceiling; its binary indicators are most-frequent-imputed and left unstandardized, while continuous features are median-imputed and standardized.</w:t>
      </w:r>
    </w:p>
    <w:p>
      <w:r>
        <w:t>Cross-study transfer fits the classifier on all Study 2 poems and tests it on Study 1 poetry. Cross-category transfer fits on two Study 1 categories and tests on the third. Within Study 2, separate leave-one-group-out fits hold out each phrasing or line cap. Pooled values combine held-out predictions from these separate fits. Six-way chance is referenced to 1/6, or 16.7%; near-balanced Study 2 classes make accuracy and balanced accuracy almost identical.</w:t>
      </w:r>
    </w:p>
    <w:p>
      <w:r>
        <w:t>For cross-study and revision-stage cross-category uncertainty, 10,000 bootstraps resample target responses within endpoint–prompt cells while keeping predictions fixed. These intervals condition on the trained classifier, the tested endpoints, and the sampled prompt composition. They do not incorporate source-training uncertainty or new-prompt sampling.</w:t>
      </w:r>
    </w:p>
    <w:p>
      <w:r>
        <w:t>Local validation splits responses within each endpoint–prompt cell. The original poetry diagnostic uses five training and five test responses per cell, yielding 90/90 observations over 1,000 repeated splits. The revision applies the same rule to the story-and-animal source mixture, yielding 180/180 observations. Their percentile ranges summarize split variability in the observed datasets. Local performance therefore concerns new responses to the same sampled prompts, not generalization to unseen prompts. Fixed cross-category predictions were also scored on each poetry split’s exact test subset to describe the paired accuracy difference.</w:t>
      </w:r>
    </w:p>
    <w:p>
      <w:pPr>
        <w:pStyle w:val="Heading2"/>
      </w:pPr>
      <w:r>
        <w:t>Sensitivity and feature analyses</w:t>
      </w:r>
    </w:p>
    <w:p>
      <w:r>
        <w:t>An archived exploratory check matches cross-study training size to the 360 observations used for cross-category transfer, sampling 60 Study 2 poems per endpoint over 1,000 resamples. Feature-family comparisons refit the same classifier using form/structure, grammar/person, punctuation, their nonstructural combination, and the full body representation. These are descriptive ablations; removing explicit length predictors does not remove every possible dependence on length.</w:t>
      </w:r>
    </w:p>
    <w:p>
      <w:r>
        <w:t>The revision audits output-token counts and metadata coverage separately. Study 1 transfer is repeated after excluding responses reporting at least 400 tokens and, separately, at least 380 tokens. These exclusions change the training composition and are sensitivity analyses rather than controlled interventions. Duplicate checks compare exact bodies and bodies normalized by Unicode NFKC, case folding, and whitespace collapse. A further local-poetry sensitivity groups highly similar texts together; Appendix B gives the grouping rule and the resulting change in split balance.</w:t>
      </w:r>
    </w:p>
    <w:p>
      <w:r>
        <w:t>Feature stability is assessed with Spearman correlations between six endpoint means in the two poetry samples. Archived 2,000-resample bootstraps preserve endpoint–prompt cells within each study. They quantify response-sampling uncertainty conditional on the six endpoints. Because the original samples mix different constraints, the revision also computes point estimates restricted to shared 5- and 10-line conditions, equally weighting the two cap-specific means per endpoint. Wording and collection differences remain. Descriptive model and model-by-category effects use sums-of-squares decompositions with total-variance η².</w:t>
      </w:r>
    </w:p>
    <w:p>
      <w:pPr>
        <w:pStyle w:val="Heading1"/>
      </w:pPr>
      <w:r>
        <w:t>Results</w:t>
      </w:r>
    </w:p>
    <w:p>
      <w:pPr>
        <w:pStyle w:val="Heading2"/>
      </w:pPr>
      <w:r>
        <w:t>Independent poetry transfer reproduced</w:t>
      </w:r>
    </w:p>
    <w:p>
      <w:r>
        <w:t>The cross-study classifier identified the endpoint of 88 of 180 Study 1 poems: 48.9% accuracy, with a 95% conditional bootstrap interval of 42.8–55.0%. Endpoint recall ranged from 10.0% to 73.3%, so aggregate portability did not imply equally successful identification of all endpoints. The provider-label classifier achieved 70.6% accuracy (65.0–76.1%), a descriptive result for these endpoints only.</w:t>
      </w:r>
    </w:p>
    <w:p>
      <w:r>
        <w:t>Matching cross-study training size to 360 poems left median accuracy at 46.1%, with a 2.5th–97.5th percentile range of 40.6–52.2% across training resamples. Thus the transfer contrast persisted after matching training counts; the comparison still differs in task, prompt composition, and collection wave.</w:t>
      </w:r>
    </w:p>
    <w:p>
      <w:r>
        <w:t>The revision reproduced all 22 archived body and surface classifier comparisons at the confusion-matrix level. It also reproduced every accuracy value in the 1,000 original poetry-local splits. These checks used the frozen feature table in a different software environment. Parser outputs and all non-POS derived fields were rechecked across all 5,938 records with no discrepancies. Transformer POS extraction was not rerun; analyses involving those features retain the archived values.</w:t>
      </w:r>
    </w:p>
    <w:p>
      <w:pPr>
        <w:pStyle w:val="Heading2"/>
      </w:pPr>
      <w:r>
        <w:t>Local separability coexisted with weak cross category transfer</w:t>
      </w:r>
    </w:p>
    <w:p>
      <w:r>
        <w:t>Training on Study 1 stories and animal descriptions yielded 32 correct poetry predictions out of 180: 17.8%, with a revision-stage 95% conditional bootstrap interval of 13.3–22.2%. This estimate lies near the 16.7% reference; it does not establish equivalence to chance or absence of all transferable information.</w:t>
      </w:r>
    </w:p>
    <w:p>
      <w:r>
        <w:t>Both environments nevertheless supported local attribution. Median source-local accuracy was 55.0% over 1,000 balanced 180/180 splits, with a 2.5th–97.5th percentile split range of 48.9–60.6%. Median poetry-local accuracy was 57.8% over the original balanced 90/90 splits, with a 2.5th–97.5th percentile split range of 50.0–66.7%. When fixed transfer predictions were evaluated on each local poetry test subset, the median local advantage was 40.0 percentage points; the 2.5th–97.5th percentile range was 31.1–48.9 points. This paired description conditions on the same observations and split procedure.</w:t>
      </w:r>
    </w:p>
    <w:p>
      <w:pPr>
        <w:keepNext/>
        <w:jc w:val="center"/>
      </w:pPr>
      <w:r>
        <w:drawing>
          <wp:inline xmlns:a="http://schemas.openxmlformats.org/drawingml/2006/main" xmlns:pic="http://schemas.openxmlformats.org/drawingml/2006/picture">
            <wp:extent cx="5943600" cy="3641805"/>
            <wp:docPr id="1" name="Picture 1"/>
            <wp:cNvGraphicFramePr>
              <a:graphicFrameLocks noChangeAspect="1"/>
            </wp:cNvGraphicFramePr>
            <a:graphic>
              <a:graphicData uri="http://schemas.openxmlformats.org/drawingml/2006/picture">
                <pic:pic>
                  <pic:nvPicPr>
                    <pic:cNvPr id="0" name="separability.png"/>
                    <pic:cNvPicPr/>
                  </pic:nvPicPr>
                  <pic:blipFill>
                    <a:blip r:embed="rId10"/>
                    <a:stretch>
                      <a:fillRect/>
                    </a:stretch>
                  </pic:blipFill>
                  <pic:spPr>
                    <a:xfrm>
                      <a:off x="0" y="0"/>
                      <a:ext cx="5943600" cy="3641805"/>
                    </a:xfrm>
                    <a:prstGeom prst="rect"/>
                  </pic:spPr>
                </pic:pic>
              </a:graphicData>
            </a:graphic>
          </wp:inline>
        </w:drawing>
      </w:r>
    </w:p>
    <w:p>
      <w:pPr>
        <w:pStyle w:val="Caption"/>
      </w:pPr>
      <w:r>
        <w:t>Figure 1. Local separability and transfer are different measurements. Panel A shows median accuracy and 2.5th–97.5th percentile split ranges for local fits. Panel B shows fixed transfer accuracies and 95% target-response bootstrap intervals, conditional on the fitted rules. Both use the same 22 body features. Local analyses are exploratory; the poetry-transfer interval was added during revision. The dashed line marks the six-class chance reference.</w:t>
      </w:r>
    </w:p>
    <w:p>
      <w:r>
        <w:t>The other cross-category folds reached 24.4% for held-out stories and 25.0% for held-out animal descriptions; pooled accuracy was 22.4%. Within Study 2, held-out phrasing performed better: 64.1% for write, 65.9% for compose, and 55.7% for gimme, or 61.9% pooled. Held-out line-cap accuracy was 49.6% for 5 lines, 57.4% for 10 lines, and 38.3% for 20 lines, or 48.4% pooled. These are results for the observed environments, not a causal ranking of the intrinsic difficulty of different shifts.</w:t>
      </w:r>
    </w:p>
    <w:p>
      <w:pPr>
        <w:pStyle w:val="Heading2"/>
      </w:pPr>
      <w:r>
        <w:t>Ceiling and repetition checks qualify the contrast</w:t>
      </w:r>
    </w:p>
    <w:p>
      <w:r>
        <w:t>All 5,398 successful Study 2 responses retained provider termination metadata indicating ordinary completion. None approached the 400-token ceiling: the median was 68 tokens, the 95th percentile 149, and the maximum 255. The 20-line condition also had a maximum of 255. This rules against ceiling contact or truncation as an explanation for the Study 2 length-transfer result; it does not test whether changing the configured ceiling would alter behavior below that ceiling.</w:t>
      </w:r>
    </w:p>
    <w:p>
      <w:r>
        <w:t>Study 1 did not archive provider termination metadata. It contained 44 responses reporting exactly 400 output tokens and 50 reporting at least 380. All occurred in the story or animal categories: 34 stories and 10 animal descriptions at 400, or 37 stories and 13 animal descriptions at or above 380. No poetry response reached either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032"/>
        <w:gridCol w:w="1512"/>
        <w:gridCol w:w="1944"/>
        <w:gridCol w:w="1872"/>
      </w:tblGrid>
      <w:tr>
        <w:trPr>
          <w:cantSplit/>
          <w:tblHeader/>
        </w:trPr>
        <w:tc>
          <w:tcPr>
            <w:tcW w:type="dxa" w:w="4032"/>
            <w:vAlign w:val="center"/>
            <w:shd w:fill="E9EDF0"/>
          </w:tcPr>
          <w:p>
            <w:pPr>
              <w:keepNext/>
              <w:spacing w:after="0" w:before="0" w:line="245" w:lineRule="auto"/>
              <w:jc w:val="left"/>
            </w:pPr>
            <w:r>
              <w:rPr>
                <w:b/>
                <w:sz w:val="20"/>
              </w:rPr>
              <w:t>Source inclusion</w:t>
            </w:r>
          </w:p>
        </w:tc>
        <w:tc>
          <w:tcPr>
            <w:tcW w:type="dxa" w:w="1512"/>
            <w:vAlign w:val="center"/>
            <w:shd w:fill="E9EDF0"/>
          </w:tcPr>
          <w:p>
            <w:pPr>
              <w:keepNext/>
              <w:spacing w:after="0" w:before="0" w:line="245" w:lineRule="auto"/>
              <w:jc w:val="center"/>
            </w:pPr>
            <w:r>
              <w:rPr>
                <w:b/>
                <w:sz w:val="20"/>
              </w:rPr>
              <w:t>Training n</w:t>
            </w:r>
          </w:p>
        </w:tc>
        <w:tc>
          <w:tcPr>
            <w:tcW w:type="dxa" w:w="1944"/>
            <w:vAlign w:val="center"/>
            <w:shd w:fill="E9EDF0"/>
          </w:tcPr>
          <w:p>
            <w:pPr>
              <w:keepNext/>
              <w:spacing w:after="0" w:before="0" w:line="245" w:lineRule="auto"/>
              <w:jc w:val="center"/>
            </w:pPr>
            <w:r>
              <w:rPr>
                <w:b/>
                <w:sz w:val="20"/>
              </w:rPr>
              <w:t>Poetry test n</w:t>
            </w:r>
          </w:p>
        </w:tc>
        <w:tc>
          <w:tcPr>
            <w:tcW w:type="dxa" w:w="1872"/>
            <w:vAlign w:val="center"/>
            <w:shd w:fill="E9EDF0"/>
          </w:tcPr>
          <w:p>
            <w:pPr>
              <w:keepNext/>
              <w:spacing w:after="0" w:before="0" w:line="245" w:lineRule="auto"/>
              <w:jc w:val="center"/>
            </w:pPr>
            <w:r>
              <w:rPr>
                <w:b/>
                <w:sz w:val="20"/>
              </w:rPr>
              <w:t>Accuracy</w:t>
            </w:r>
          </w:p>
        </w:tc>
      </w:tr>
      <w:tr>
        <w:trPr>
          <w:cantSplit/>
        </w:trPr>
        <w:tc>
          <w:tcPr>
            <w:tcW w:type="dxa" w:w="4032"/>
            <w:vAlign w:val="center"/>
            <w:shd w:fill="FFFFFF"/>
          </w:tcPr>
          <w:p>
            <w:pPr>
              <w:keepNext w:val="0"/>
              <w:spacing w:after="0" w:before="0" w:line="245" w:lineRule="auto"/>
              <w:jc w:val="left"/>
            </w:pPr>
            <w:r>
              <w:rPr>
                <w:b w:val="0"/>
                <w:sz w:val="20"/>
              </w:rPr>
              <w:t>All source responses</w:t>
            </w:r>
          </w:p>
        </w:tc>
        <w:tc>
          <w:tcPr>
            <w:tcW w:type="dxa" w:w="1512"/>
            <w:vAlign w:val="center"/>
            <w:shd w:fill="FFFFFF"/>
          </w:tcPr>
          <w:p>
            <w:pPr>
              <w:keepNext w:val="0"/>
              <w:spacing w:after="0" w:before="0" w:line="245" w:lineRule="auto"/>
              <w:jc w:val="center"/>
            </w:pPr>
            <w:r>
              <w:rPr>
                <w:b w:val="0"/>
                <w:sz w:val="20"/>
              </w:rPr>
              <w:t>360</w:t>
            </w:r>
          </w:p>
        </w:tc>
        <w:tc>
          <w:tcPr>
            <w:tcW w:type="dxa" w:w="1944"/>
            <w:vAlign w:val="center"/>
            <w:shd w:fill="FFFFFF"/>
          </w:tcPr>
          <w:p>
            <w:pPr>
              <w:keepNext w:val="0"/>
              <w:spacing w:after="0" w:before="0" w:line="245" w:lineRule="auto"/>
              <w:jc w:val="center"/>
            </w:pPr>
            <w:r>
              <w:rPr>
                <w:b w:val="0"/>
                <w:sz w:val="20"/>
              </w:rPr>
              <w:t>180</w:t>
            </w:r>
          </w:p>
        </w:tc>
        <w:tc>
          <w:tcPr>
            <w:tcW w:type="dxa" w:w="1872"/>
            <w:vAlign w:val="center"/>
            <w:shd w:fill="FFFFFF"/>
          </w:tcPr>
          <w:p>
            <w:pPr>
              <w:keepNext w:val="0"/>
              <w:spacing w:after="0" w:before="0" w:line="245" w:lineRule="auto"/>
              <w:jc w:val="center"/>
            </w:pPr>
            <w:r>
              <w:rPr>
                <w:b w:val="0"/>
                <w:sz w:val="20"/>
              </w:rPr>
              <w:t>17.8%</w:t>
            </w:r>
          </w:p>
        </w:tc>
      </w:tr>
      <w:tr>
        <w:trPr>
          <w:cantSplit/>
        </w:trPr>
        <w:tc>
          <w:tcPr>
            <w:tcW w:type="dxa" w:w="4032"/>
            <w:vAlign w:val="center"/>
            <w:shd w:fill="F7F8F9"/>
          </w:tcPr>
          <w:p>
            <w:pPr>
              <w:keepNext w:val="0"/>
              <w:spacing w:after="0" w:before="0" w:line="245" w:lineRule="auto"/>
              <w:jc w:val="left"/>
            </w:pPr>
            <w:r>
              <w:rPr>
                <w:b w:val="0"/>
                <w:sz w:val="20"/>
              </w:rPr>
              <w:t>Reported tokens below 400</w:t>
            </w:r>
          </w:p>
        </w:tc>
        <w:tc>
          <w:tcPr>
            <w:tcW w:type="dxa" w:w="1512"/>
            <w:vAlign w:val="center"/>
            <w:shd w:fill="F7F8F9"/>
          </w:tcPr>
          <w:p>
            <w:pPr>
              <w:keepNext w:val="0"/>
              <w:spacing w:after="0" w:before="0" w:line="245" w:lineRule="auto"/>
              <w:jc w:val="center"/>
            </w:pPr>
            <w:r>
              <w:rPr>
                <w:b w:val="0"/>
                <w:sz w:val="20"/>
              </w:rPr>
              <w:t>316</w:t>
            </w:r>
          </w:p>
        </w:tc>
        <w:tc>
          <w:tcPr>
            <w:tcW w:type="dxa" w:w="1944"/>
            <w:vAlign w:val="center"/>
            <w:shd w:fill="F7F8F9"/>
          </w:tcPr>
          <w:p>
            <w:pPr>
              <w:keepNext w:val="0"/>
              <w:spacing w:after="0" w:before="0" w:line="245" w:lineRule="auto"/>
              <w:jc w:val="center"/>
            </w:pPr>
            <w:r>
              <w:rPr>
                <w:b w:val="0"/>
                <w:sz w:val="20"/>
              </w:rPr>
              <w:t>180</w:t>
            </w:r>
          </w:p>
        </w:tc>
        <w:tc>
          <w:tcPr>
            <w:tcW w:type="dxa" w:w="1872"/>
            <w:vAlign w:val="center"/>
            <w:shd w:fill="F7F8F9"/>
          </w:tcPr>
          <w:p>
            <w:pPr>
              <w:keepNext w:val="0"/>
              <w:spacing w:after="0" w:before="0" w:line="245" w:lineRule="auto"/>
              <w:jc w:val="center"/>
            </w:pPr>
            <w:r>
              <w:rPr>
                <w:b w:val="0"/>
                <w:sz w:val="20"/>
              </w:rPr>
              <w:t>25.0%</w:t>
            </w:r>
          </w:p>
        </w:tc>
      </w:tr>
      <w:tr>
        <w:trPr>
          <w:cantSplit/>
        </w:trPr>
        <w:tc>
          <w:tcPr>
            <w:tcW w:type="dxa" w:w="4032"/>
            <w:vAlign w:val="center"/>
            <w:shd w:fill="FFFFFF"/>
          </w:tcPr>
          <w:p>
            <w:pPr>
              <w:keepNext w:val="0"/>
              <w:spacing w:after="0" w:before="0" w:line="245" w:lineRule="auto"/>
              <w:jc w:val="left"/>
            </w:pPr>
            <w:r>
              <w:rPr>
                <w:b w:val="0"/>
                <w:sz w:val="20"/>
              </w:rPr>
              <w:t>Reported tokens below 380</w:t>
            </w:r>
          </w:p>
        </w:tc>
        <w:tc>
          <w:tcPr>
            <w:tcW w:type="dxa" w:w="1512"/>
            <w:vAlign w:val="center"/>
            <w:shd w:fill="FFFFFF"/>
          </w:tcPr>
          <w:p>
            <w:pPr>
              <w:keepNext w:val="0"/>
              <w:spacing w:after="0" w:before="0" w:line="245" w:lineRule="auto"/>
              <w:jc w:val="center"/>
            </w:pPr>
            <w:r>
              <w:rPr>
                <w:b w:val="0"/>
                <w:sz w:val="20"/>
              </w:rPr>
              <w:t>310</w:t>
            </w:r>
          </w:p>
        </w:tc>
        <w:tc>
          <w:tcPr>
            <w:tcW w:type="dxa" w:w="1944"/>
            <w:vAlign w:val="center"/>
            <w:shd w:fill="FFFFFF"/>
          </w:tcPr>
          <w:p>
            <w:pPr>
              <w:keepNext w:val="0"/>
              <w:spacing w:after="0" w:before="0" w:line="245" w:lineRule="auto"/>
              <w:jc w:val="center"/>
            </w:pPr>
            <w:r>
              <w:rPr>
                <w:b w:val="0"/>
                <w:sz w:val="20"/>
              </w:rPr>
              <w:t>180</w:t>
            </w:r>
          </w:p>
        </w:tc>
        <w:tc>
          <w:tcPr>
            <w:tcW w:type="dxa" w:w="1872"/>
            <w:vAlign w:val="center"/>
            <w:shd w:fill="FFFFFF"/>
          </w:tcPr>
          <w:p>
            <w:pPr>
              <w:keepNext w:val="0"/>
              <w:spacing w:after="0" w:before="0" w:line="245" w:lineRule="auto"/>
              <w:jc w:val="center"/>
            </w:pPr>
            <w:r>
              <w:rPr>
                <w:b w:val="0"/>
                <w:sz w:val="20"/>
              </w:rPr>
              <w:t>21.1%</w:t>
            </w:r>
          </w:p>
        </w:tc>
      </w:tr>
    </w:tbl>
    <w:p>
      <w:pPr>
        <w:spacing w:after="0"/>
      </w:pPr>
    </w:p>
    <w:p>
      <w:pPr>
        <w:pStyle w:val="Caption"/>
      </w:pPr>
      <w:r>
        <w:t>Table 2. Exploratory ceiling-exclusion sensitivities for story-and-animal to poetry transfer. The 180-poem target and its equal endpoint counts remain unchanged; the source becomes unbalanced. Source counts after the 400-token exclusion range from 40 to 60 per endpoint, and after the 380-token exclusion from 40 to 59. No causal effect of truncation is identified by these exclusions.</w:t>
      </w:r>
    </w:p>
    <w:p>
      <w:r>
        <w:t>Transfer improved to 25.0% after removing the 44 at-ceiling source responses and was 21.1% after removing all 50 near-ceiling responses. The exact transfer estimate is therefore sensitive to source composition. Both values remain substantially below local poetry accuracy, but the initial near-chance estimate should not be treated as the only characterization of the contrast.</w:t>
      </w:r>
    </w:p>
    <w:p>
      <w:r>
        <w:t>No exact or normalized body duplicates occurred in Study 1, and none was shared across the independent poetry samples. One Study 1 poetry pair met the exploratory near-duplicate threshold. Keeping similar poems in the same partition under a different, group-based split yielded median balanced accuracy of 55.4% (2.5th–97.5th percentile split range, 45.5–64.7%). Because this procedure changes class and prompt balance, its difference from the original diagnostic cannot be attributed solely to duplicate handling.</w:t>
      </w:r>
    </w:p>
    <w:p>
      <w:r>
        <w:t>Study 2 contained 55 normalized duplicate groups involving 160 responses. Removing from each phrasing-training fold every body also appearing in its held-out set left pooled accuracy at 61.9% after rounding. No normalized bodies crossed the line-cap folds, so that result was unchanged. These checks address exact or specified textual overlap, not all semantic similarity or dependence among generations.</w:t>
      </w:r>
    </w:p>
    <w:p>
      <w:pPr>
        <w:pStyle w:val="Heading2"/>
      </w:pPr>
      <w:r>
        <w:t>Transfer survived removal of explicit structural predictors</w:t>
      </w:r>
    </w:p>
    <w:p>
      <w:r>
        <w:t>Grammar/person and punctuation features together retained 43.3% cross-study accuracy, compared with 48.9% for the full body representation. They retained 55.8% held-out-phrasing accuracy and 49.6% held-out-length accuracy. Table 3 reports the complete family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312"/>
        <w:gridCol w:w="1512"/>
        <w:gridCol w:w="1584"/>
        <w:gridCol w:w="1476"/>
        <w:gridCol w:w="1476"/>
      </w:tblGrid>
      <w:tr>
        <w:trPr>
          <w:cantSplit/>
          <w:tblHeader/>
        </w:trPr>
        <w:tc>
          <w:tcPr>
            <w:tcW w:type="dxa" w:w="3312"/>
            <w:vAlign w:val="center"/>
            <w:shd w:fill="E9EDF0"/>
          </w:tcPr>
          <w:p>
            <w:pPr>
              <w:keepNext/>
              <w:spacing w:after="0" w:before="0" w:line="245" w:lineRule="auto"/>
              <w:jc w:val="left"/>
            </w:pPr>
            <w:r>
              <w:rPr>
                <w:b/>
                <w:sz w:val="20"/>
              </w:rPr>
              <w:t>Features</w:t>
            </w:r>
          </w:p>
        </w:tc>
        <w:tc>
          <w:tcPr>
            <w:tcW w:type="dxa" w:w="1512"/>
            <w:vAlign w:val="center"/>
            <w:shd w:fill="E9EDF0"/>
          </w:tcPr>
          <w:p>
            <w:pPr>
              <w:keepNext/>
              <w:spacing w:after="0" w:before="0" w:line="245" w:lineRule="auto"/>
              <w:jc w:val="center"/>
            </w:pPr>
            <w:r>
              <w:rPr>
                <w:b/>
                <w:sz w:val="20"/>
              </w:rPr>
              <w:t>Cross study</w:t>
            </w:r>
          </w:p>
        </w:tc>
        <w:tc>
          <w:tcPr>
            <w:tcW w:type="dxa" w:w="1584"/>
            <w:vAlign w:val="center"/>
            <w:shd w:fill="E9EDF0"/>
          </w:tcPr>
          <w:p>
            <w:pPr>
              <w:keepNext/>
              <w:spacing w:after="0" w:before="0" w:line="245" w:lineRule="auto"/>
              <w:jc w:val="center"/>
            </w:pPr>
            <w:r>
              <w:rPr>
                <w:b/>
                <w:sz w:val="20"/>
              </w:rPr>
              <w:t>Cross category</w:t>
            </w:r>
          </w:p>
        </w:tc>
        <w:tc>
          <w:tcPr>
            <w:tcW w:type="dxa" w:w="1476"/>
            <w:vAlign w:val="center"/>
            <w:shd w:fill="E9EDF0"/>
          </w:tcPr>
          <w:p>
            <w:pPr>
              <w:keepNext/>
              <w:spacing w:after="0" w:before="0" w:line="245" w:lineRule="auto"/>
              <w:jc w:val="center"/>
            </w:pPr>
            <w:r>
              <w:rPr>
                <w:b/>
                <w:sz w:val="20"/>
              </w:rPr>
              <w:t>Phrasing</w:t>
            </w:r>
          </w:p>
        </w:tc>
        <w:tc>
          <w:tcPr>
            <w:tcW w:type="dxa" w:w="1476"/>
            <w:vAlign w:val="center"/>
            <w:shd w:fill="E9EDF0"/>
          </w:tcPr>
          <w:p>
            <w:pPr>
              <w:keepNext/>
              <w:spacing w:after="0" w:before="0" w:line="245" w:lineRule="auto"/>
              <w:jc w:val="center"/>
            </w:pPr>
            <w:r>
              <w:rPr>
                <w:b/>
                <w:sz w:val="20"/>
              </w:rPr>
              <w:t>Line cap</w:t>
            </w:r>
          </w:p>
        </w:tc>
      </w:tr>
      <w:tr>
        <w:trPr>
          <w:cantSplit/>
        </w:trPr>
        <w:tc>
          <w:tcPr>
            <w:tcW w:type="dxa" w:w="3312"/>
            <w:vAlign w:val="center"/>
            <w:shd w:fill="FFFFFF"/>
          </w:tcPr>
          <w:p>
            <w:pPr>
              <w:keepNext w:val="0"/>
              <w:spacing w:after="0" w:before="0" w:line="245" w:lineRule="auto"/>
              <w:jc w:val="left"/>
            </w:pPr>
            <w:r>
              <w:rPr>
                <w:b w:val="0"/>
                <w:sz w:val="20"/>
              </w:rPr>
              <w:t>Form and structure</w:t>
            </w:r>
          </w:p>
        </w:tc>
        <w:tc>
          <w:tcPr>
            <w:tcW w:type="dxa" w:w="1512"/>
            <w:vAlign w:val="center"/>
            <w:shd w:fill="FFFFFF"/>
          </w:tcPr>
          <w:p>
            <w:pPr>
              <w:keepNext w:val="0"/>
              <w:spacing w:after="0" w:before="0" w:line="245" w:lineRule="auto"/>
              <w:jc w:val="center"/>
            </w:pPr>
            <w:r>
              <w:rPr>
                <w:b w:val="0"/>
                <w:sz w:val="20"/>
              </w:rPr>
              <w:t>34.4%</w:t>
            </w:r>
          </w:p>
        </w:tc>
        <w:tc>
          <w:tcPr>
            <w:tcW w:type="dxa" w:w="1584"/>
            <w:vAlign w:val="center"/>
            <w:shd w:fill="FFFFFF"/>
          </w:tcPr>
          <w:p>
            <w:pPr>
              <w:keepNext w:val="0"/>
              <w:spacing w:after="0" w:before="0" w:line="245" w:lineRule="auto"/>
              <w:jc w:val="center"/>
            </w:pPr>
            <w:r>
              <w:rPr>
                <w:b w:val="0"/>
                <w:sz w:val="20"/>
              </w:rPr>
              <w:t>23.5%</w:t>
            </w:r>
          </w:p>
        </w:tc>
        <w:tc>
          <w:tcPr>
            <w:tcW w:type="dxa" w:w="1476"/>
            <w:vAlign w:val="center"/>
            <w:shd w:fill="FFFFFF"/>
          </w:tcPr>
          <w:p>
            <w:pPr>
              <w:keepNext w:val="0"/>
              <w:spacing w:after="0" w:before="0" w:line="245" w:lineRule="auto"/>
              <w:jc w:val="center"/>
            </w:pPr>
            <w:r>
              <w:rPr>
                <w:b w:val="0"/>
                <w:sz w:val="20"/>
              </w:rPr>
              <w:t>31.0%</w:t>
            </w:r>
          </w:p>
        </w:tc>
        <w:tc>
          <w:tcPr>
            <w:tcW w:type="dxa" w:w="1476"/>
            <w:vAlign w:val="center"/>
            <w:shd w:fill="FFFFFF"/>
          </w:tcPr>
          <w:p>
            <w:pPr>
              <w:keepNext w:val="0"/>
              <w:spacing w:after="0" w:before="0" w:line="245" w:lineRule="auto"/>
              <w:jc w:val="center"/>
            </w:pPr>
            <w:r>
              <w:rPr>
                <w:b w:val="0"/>
                <w:sz w:val="20"/>
              </w:rPr>
              <w:t>27.4%</w:t>
            </w:r>
          </w:p>
        </w:tc>
      </w:tr>
      <w:tr>
        <w:trPr>
          <w:cantSplit/>
        </w:trPr>
        <w:tc>
          <w:tcPr>
            <w:tcW w:type="dxa" w:w="3312"/>
            <w:vAlign w:val="center"/>
            <w:shd w:fill="F7F8F9"/>
          </w:tcPr>
          <w:p>
            <w:pPr>
              <w:keepNext w:val="0"/>
              <w:spacing w:after="0" w:before="0" w:line="245" w:lineRule="auto"/>
              <w:jc w:val="left"/>
            </w:pPr>
            <w:r>
              <w:rPr>
                <w:b w:val="0"/>
                <w:sz w:val="20"/>
              </w:rPr>
              <w:t>Grammar and person</w:t>
            </w:r>
          </w:p>
        </w:tc>
        <w:tc>
          <w:tcPr>
            <w:tcW w:type="dxa" w:w="1512"/>
            <w:vAlign w:val="center"/>
            <w:shd w:fill="F7F8F9"/>
          </w:tcPr>
          <w:p>
            <w:pPr>
              <w:keepNext w:val="0"/>
              <w:spacing w:after="0" w:before="0" w:line="245" w:lineRule="auto"/>
              <w:jc w:val="center"/>
            </w:pPr>
            <w:r>
              <w:rPr>
                <w:b w:val="0"/>
                <w:sz w:val="20"/>
              </w:rPr>
              <w:t>31.7%</w:t>
            </w:r>
          </w:p>
        </w:tc>
        <w:tc>
          <w:tcPr>
            <w:tcW w:type="dxa" w:w="1584"/>
            <w:vAlign w:val="center"/>
            <w:shd w:fill="F7F8F9"/>
          </w:tcPr>
          <w:p>
            <w:pPr>
              <w:keepNext w:val="0"/>
              <w:spacing w:after="0" w:before="0" w:line="245" w:lineRule="auto"/>
              <w:jc w:val="center"/>
            </w:pPr>
            <w:r>
              <w:rPr>
                <w:b w:val="0"/>
                <w:sz w:val="20"/>
              </w:rPr>
              <w:t>18.3%</w:t>
            </w:r>
          </w:p>
        </w:tc>
        <w:tc>
          <w:tcPr>
            <w:tcW w:type="dxa" w:w="1476"/>
            <w:vAlign w:val="center"/>
            <w:shd w:fill="F7F8F9"/>
          </w:tcPr>
          <w:p>
            <w:pPr>
              <w:keepNext w:val="0"/>
              <w:spacing w:after="0" w:before="0" w:line="245" w:lineRule="auto"/>
              <w:jc w:val="center"/>
            </w:pPr>
            <w:r>
              <w:rPr>
                <w:b w:val="0"/>
                <w:sz w:val="20"/>
              </w:rPr>
              <w:t>45.3%</w:t>
            </w:r>
          </w:p>
        </w:tc>
        <w:tc>
          <w:tcPr>
            <w:tcW w:type="dxa" w:w="1476"/>
            <w:vAlign w:val="center"/>
            <w:shd w:fill="F7F8F9"/>
          </w:tcPr>
          <w:p>
            <w:pPr>
              <w:keepNext w:val="0"/>
              <w:spacing w:after="0" w:before="0" w:line="245" w:lineRule="auto"/>
              <w:jc w:val="center"/>
            </w:pPr>
            <w:r>
              <w:rPr>
                <w:b w:val="0"/>
                <w:sz w:val="20"/>
              </w:rPr>
              <w:t>40.1%</w:t>
            </w:r>
          </w:p>
        </w:tc>
      </w:tr>
      <w:tr>
        <w:trPr>
          <w:cantSplit/>
        </w:trPr>
        <w:tc>
          <w:tcPr>
            <w:tcW w:type="dxa" w:w="3312"/>
            <w:vAlign w:val="center"/>
            <w:shd w:fill="FFFFFF"/>
          </w:tcPr>
          <w:p>
            <w:pPr>
              <w:keepNext w:val="0"/>
              <w:spacing w:after="0" w:before="0" w:line="245" w:lineRule="auto"/>
              <w:jc w:val="left"/>
            </w:pPr>
            <w:r>
              <w:rPr>
                <w:b w:val="0"/>
                <w:sz w:val="20"/>
              </w:rPr>
              <w:t>Punctuation</w:t>
            </w:r>
          </w:p>
        </w:tc>
        <w:tc>
          <w:tcPr>
            <w:tcW w:type="dxa" w:w="1512"/>
            <w:vAlign w:val="center"/>
            <w:shd w:fill="FFFFFF"/>
          </w:tcPr>
          <w:p>
            <w:pPr>
              <w:keepNext w:val="0"/>
              <w:spacing w:after="0" w:before="0" w:line="245" w:lineRule="auto"/>
              <w:jc w:val="center"/>
            </w:pPr>
            <w:r>
              <w:rPr>
                <w:b w:val="0"/>
                <w:sz w:val="20"/>
              </w:rPr>
              <w:t>33.9%</w:t>
            </w:r>
          </w:p>
        </w:tc>
        <w:tc>
          <w:tcPr>
            <w:tcW w:type="dxa" w:w="1584"/>
            <w:vAlign w:val="center"/>
            <w:shd w:fill="FFFFFF"/>
          </w:tcPr>
          <w:p>
            <w:pPr>
              <w:keepNext w:val="0"/>
              <w:spacing w:after="0" w:before="0" w:line="245" w:lineRule="auto"/>
              <w:jc w:val="center"/>
            </w:pPr>
            <w:r>
              <w:rPr>
                <w:b w:val="0"/>
                <w:sz w:val="20"/>
              </w:rPr>
              <w:t>23.9%</w:t>
            </w:r>
          </w:p>
        </w:tc>
        <w:tc>
          <w:tcPr>
            <w:tcW w:type="dxa" w:w="1476"/>
            <w:vAlign w:val="center"/>
            <w:shd w:fill="FFFFFF"/>
          </w:tcPr>
          <w:p>
            <w:pPr>
              <w:keepNext w:val="0"/>
              <w:spacing w:after="0" w:before="0" w:line="245" w:lineRule="auto"/>
              <w:jc w:val="center"/>
            </w:pPr>
            <w:r>
              <w:rPr>
                <w:b w:val="0"/>
                <w:sz w:val="20"/>
              </w:rPr>
              <w:t>40.9%</w:t>
            </w:r>
          </w:p>
        </w:tc>
        <w:tc>
          <w:tcPr>
            <w:tcW w:type="dxa" w:w="1476"/>
            <w:vAlign w:val="center"/>
            <w:shd w:fill="FFFFFF"/>
          </w:tcPr>
          <w:p>
            <w:pPr>
              <w:keepNext w:val="0"/>
              <w:spacing w:after="0" w:before="0" w:line="245" w:lineRule="auto"/>
              <w:jc w:val="center"/>
            </w:pPr>
            <w:r>
              <w:rPr>
                <w:b w:val="0"/>
                <w:sz w:val="20"/>
              </w:rPr>
              <w:t>35.8%</w:t>
            </w:r>
          </w:p>
        </w:tc>
      </w:tr>
      <w:tr>
        <w:trPr>
          <w:cantSplit/>
        </w:trPr>
        <w:tc>
          <w:tcPr>
            <w:tcW w:type="dxa" w:w="3312"/>
            <w:vAlign w:val="center"/>
            <w:shd w:fill="F7F8F9"/>
          </w:tcPr>
          <w:p>
            <w:pPr>
              <w:keepNext w:val="0"/>
              <w:spacing w:after="0" w:before="0" w:line="245" w:lineRule="auto"/>
              <w:jc w:val="left"/>
            </w:pPr>
            <w:r>
              <w:rPr>
                <w:b w:val="0"/>
                <w:sz w:val="20"/>
              </w:rPr>
              <w:t>Grammar/person + punctuation</w:t>
            </w:r>
          </w:p>
        </w:tc>
        <w:tc>
          <w:tcPr>
            <w:tcW w:type="dxa" w:w="1512"/>
            <w:vAlign w:val="center"/>
            <w:shd w:fill="F7F8F9"/>
          </w:tcPr>
          <w:p>
            <w:pPr>
              <w:keepNext w:val="0"/>
              <w:spacing w:after="0" w:before="0" w:line="245" w:lineRule="auto"/>
              <w:jc w:val="center"/>
            </w:pPr>
            <w:r>
              <w:rPr>
                <w:b w:val="0"/>
                <w:sz w:val="20"/>
              </w:rPr>
              <w:t>43.3%</w:t>
            </w:r>
          </w:p>
        </w:tc>
        <w:tc>
          <w:tcPr>
            <w:tcW w:type="dxa" w:w="1584"/>
            <w:vAlign w:val="center"/>
            <w:shd w:fill="F7F8F9"/>
          </w:tcPr>
          <w:p>
            <w:pPr>
              <w:keepNext w:val="0"/>
              <w:spacing w:after="0" w:before="0" w:line="245" w:lineRule="auto"/>
              <w:jc w:val="center"/>
            </w:pPr>
            <w:r>
              <w:rPr>
                <w:b w:val="0"/>
                <w:sz w:val="20"/>
              </w:rPr>
              <w:t>20.4%</w:t>
            </w:r>
          </w:p>
        </w:tc>
        <w:tc>
          <w:tcPr>
            <w:tcW w:type="dxa" w:w="1476"/>
            <w:vAlign w:val="center"/>
            <w:shd w:fill="F7F8F9"/>
          </w:tcPr>
          <w:p>
            <w:pPr>
              <w:keepNext w:val="0"/>
              <w:spacing w:after="0" w:before="0" w:line="245" w:lineRule="auto"/>
              <w:jc w:val="center"/>
            </w:pPr>
            <w:r>
              <w:rPr>
                <w:b w:val="0"/>
                <w:sz w:val="20"/>
              </w:rPr>
              <w:t>55.8%</w:t>
            </w:r>
          </w:p>
        </w:tc>
        <w:tc>
          <w:tcPr>
            <w:tcW w:type="dxa" w:w="1476"/>
            <w:vAlign w:val="center"/>
            <w:shd w:fill="F7F8F9"/>
          </w:tcPr>
          <w:p>
            <w:pPr>
              <w:keepNext w:val="0"/>
              <w:spacing w:after="0" w:before="0" w:line="245" w:lineRule="auto"/>
              <w:jc w:val="center"/>
            </w:pPr>
            <w:r>
              <w:rPr>
                <w:b w:val="0"/>
                <w:sz w:val="20"/>
              </w:rPr>
              <w:t>49.6%</w:t>
            </w:r>
          </w:p>
        </w:tc>
      </w:tr>
      <w:tr>
        <w:trPr>
          <w:cantSplit/>
        </w:trPr>
        <w:tc>
          <w:tcPr>
            <w:tcW w:type="dxa" w:w="3312"/>
            <w:vAlign w:val="center"/>
            <w:shd w:fill="FFFFFF"/>
          </w:tcPr>
          <w:p>
            <w:pPr>
              <w:keepNext w:val="0"/>
              <w:spacing w:after="0" w:before="0" w:line="245" w:lineRule="auto"/>
              <w:jc w:val="left"/>
            </w:pPr>
            <w:r>
              <w:rPr>
                <w:b w:val="0"/>
                <w:sz w:val="20"/>
              </w:rPr>
              <w:t>Full body</w:t>
            </w:r>
          </w:p>
        </w:tc>
        <w:tc>
          <w:tcPr>
            <w:tcW w:type="dxa" w:w="1512"/>
            <w:vAlign w:val="center"/>
            <w:shd w:fill="FFFFFF"/>
          </w:tcPr>
          <w:p>
            <w:pPr>
              <w:keepNext w:val="0"/>
              <w:spacing w:after="0" w:before="0" w:line="245" w:lineRule="auto"/>
              <w:jc w:val="center"/>
            </w:pPr>
            <w:r>
              <w:rPr>
                <w:b w:val="0"/>
                <w:sz w:val="20"/>
              </w:rPr>
              <w:t>48.9%</w:t>
            </w:r>
          </w:p>
        </w:tc>
        <w:tc>
          <w:tcPr>
            <w:tcW w:type="dxa" w:w="1584"/>
            <w:vAlign w:val="center"/>
            <w:shd w:fill="FFFFFF"/>
          </w:tcPr>
          <w:p>
            <w:pPr>
              <w:keepNext w:val="0"/>
              <w:spacing w:after="0" w:before="0" w:line="245" w:lineRule="auto"/>
              <w:jc w:val="center"/>
            </w:pPr>
            <w:r>
              <w:rPr>
                <w:b w:val="0"/>
                <w:sz w:val="20"/>
              </w:rPr>
              <w:t>22.4%</w:t>
            </w:r>
          </w:p>
        </w:tc>
        <w:tc>
          <w:tcPr>
            <w:tcW w:type="dxa" w:w="1476"/>
            <w:vAlign w:val="center"/>
            <w:shd w:fill="FFFFFF"/>
          </w:tcPr>
          <w:p>
            <w:pPr>
              <w:keepNext w:val="0"/>
              <w:spacing w:after="0" w:before="0" w:line="245" w:lineRule="auto"/>
              <w:jc w:val="center"/>
            </w:pPr>
            <w:r>
              <w:rPr>
                <w:b w:val="0"/>
                <w:sz w:val="20"/>
              </w:rPr>
              <w:t>61.9%</w:t>
            </w:r>
          </w:p>
        </w:tc>
        <w:tc>
          <w:tcPr>
            <w:tcW w:type="dxa" w:w="1476"/>
            <w:vAlign w:val="center"/>
            <w:shd w:fill="FFFFFF"/>
          </w:tcPr>
          <w:p>
            <w:pPr>
              <w:keepNext w:val="0"/>
              <w:spacing w:after="0" w:before="0" w:line="245" w:lineRule="auto"/>
              <w:jc w:val="center"/>
            </w:pPr>
            <w:r>
              <w:rPr>
                <w:b w:val="0"/>
                <w:sz w:val="20"/>
              </w:rPr>
              <w:t>48.4%</w:t>
            </w:r>
          </w:p>
        </w:tc>
      </w:tr>
    </w:tbl>
    <w:p>
      <w:pPr>
        <w:spacing w:after="0"/>
      </w:pPr>
    </w:p>
    <w:p>
      <w:pPr>
        <w:pStyle w:val="Caption"/>
      </w:pPr>
      <w:r>
        <w:t>Table 3. Six-way accuracy by feature family. Cross-category and Study 2 columns pool predictions across held-out folds. These exploratory comparisons characterize performance of separate fitted representations; they do not partition causal contributions or establish statistical differences between nearby accuracies.</w:t>
      </w:r>
    </w:p>
    <w:p>
      <w:r>
        <w:t>Adding title and preamble indicators and counts increased cross-study accuracy to 67.2%, pooled cross-category accuracy to 31.5%, phrasing accuracy to 80.8%, and line-cap accuracy to 63.0%. The augmented surface pipeline achieved higher accuracy in every comparison, consistent with predictive information in presentation. The four correlated variables were added together, so their separate contributions are not identified.</w:t>
      </w:r>
    </w:p>
    <w:p>
      <w:pPr>
        <w:pStyle w:val="Heading2"/>
      </w:pPr>
      <w:r>
        <w:t>Feature rankings depended on the sampled conditions</w:t>
      </w:r>
    </w:p>
    <w:p>
      <w:r>
        <w:t>Across the full poetry samples, semicolon rate had a cross-study endpoint-rank correlation of 0.986. Em-dash rate, overall pronoun ratio, and mean words per line each had a correlation of 0.829. In contrast, word count, line count, and stanza count had correlations of −0.429, −0.543, and −0.314.</w:t>
      </w:r>
    </w:p>
    <w:p>
      <w:r>
        <w:t>Those structural results changed when the comparison was restricted to shared 5- and 10-line conditions. The corresponding correlations were 0.870 for word count, 0.886 for line count, and 0.833 for stanza count. Semicolon rate remained at 0.986, while em-dash rate increased to 0.986. Other features changed in less uniform ways; Appendix C reports all 22 comparisons. Ellipsis rate was constant across endpoint means in both full samples, so its rank correlation was undefined.</w:t>
      </w:r>
    </w:p>
    <w:p>
      <w:pPr>
        <w:keepNext/>
        <w:jc w:val="center"/>
      </w:pPr>
      <w:r>
        <w:drawing>
          <wp:inline xmlns:a="http://schemas.openxmlformats.org/drawingml/2006/main" xmlns:pic="http://schemas.openxmlformats.org/drawingml/2006/picture">
            <wp:extent cx="5943600" cy="2535936"/>
            <wp:docPr id="2" name="Picture 2"/>
            <wp:cNvGraphicFramePr>
              <a:graphicFrameLocks noChangeAspect="1"/>
            </wp:cNvGraphicFramePr>
            <a:graphic>
              <a:graphicData uri="http://schemas.openxmlformats.org/drawingml/2006/picture">
                <pic:pic>
                  <pic:nvPicPr>
                    <pic:cNvPr id="0" name="ranks.png"/>
                    <pic:cNvPicPr/>
                  </pic:nvPicPr>
                  <pic:blipFill>
                    <a:blip r:embed="rId11"/>
                    <a:stretch>
                      <a:fillRect/>
                    </a:stretch>
                  </pic:blipFill>
                  <pic:spPr>
                    <a:xfrm>
                      <a:off x="0" y="0"/>
                      <a:ext cx="5943600" cy="2535936"/>
                    </a:xfrm>
                    <a:prstGeom prst="rect"/>
                  </pic:spPr>
                </pic:pic>
              </a:graphicData>
            </a:graphic>
          </wp:inline>
        </w:drawing>
      </w:r>
    </w:p>
    <w:p>
      <w:pPr>
        <w:pStyle w:val="Caption"/>
      </w:pPr>
      <w:r>
        <w:t>Figure 2. Selected feature-rank correlations across six endpoint means. The full-sample comparison mixes different constraints across studies. The shared-cap comparison restricts both studies to 5- and 10-line conditions and gives those caps equal weight. These descriptive point estimates retain differences in wording and collection wave; they do not isolate a causal constraint effect. Features shown illustrate structural changes and persistent punctuation ordering; Appendix C contains the complete comparison.</w:t>
      </w:r>
    </w:p>
    <w:p>
      <w:r>
        <w:t>The revision therefore changes the interpretation of the structural findings. The negative pooled correlations describe the original sample mixtures. They do not demonstrate generally unstable structural tendencies: positive rank correlations appear under the shared-cap comparison. Feature portability must specify the conditions being aggregated.</w:t>
      </w:r>
    </w:p>
    <w:p>
      <w:r>
        <w:t>The archived analyses also show that stable ordering can coexist with task dependence. In Study 1, semicolon rate had model η² = 0.082 and model-by-category η² = 0.146; em-dash rate had corresponding values of 0.178 and 0.133. These are descriptive variance decompositions, and the within-cell component includes requested-length variation. They establish neither causal effects nor rank reversals, but they caution against interpreting a recognizable tendency as constant in magnitude across tasks.</w:t>
      </w:r>
    </w:p>
    <w:p>
      <w:pPr>
        <w:pStyle w:val="Heading1"/>
      </w:pPr>
      <w:r>
        <w:t>Discussion</w:t>
      </w:r>
    </w:p>
    <w:p>
      <w:r>
        <w:t>The primary transfer results, together with exploratory local validation, show a divergence between locally recoverable model information and performance of a source-trained attribution rule. The same sparse feature representation supports local classification in the story-and-animal mixture and in poetry, yet the classifier trained on the former performs much worse on the latter. Source-local validation strengthens that interpretation by showing that the source contains recoverable information under the same classifier family. Ceiling exclusions alter the size of the transfer failure without eliminating the contrast.</w:t>
      </w:r>
    </w:p>
    <w:p>
      <w:r>
        <w:t>This result supports a bounded claim about the measured environments. It does not identify why the source mapping changes. Task category, output length and constraint form, collection order, and other production differences are not fully isolated. Nor does weak performance of this classifier establish that a richer representation or nonlinear rule could not transfer. The demonstrated object is predictive portability of a specified representation and fitting procedure.</w:t>
      </w:r>
    </w:p>
    <w:p>
      <w:r>
        <w:t>The feature analysis adds a separate lesson. A ranking computed over a mixture of prompts is a property of that mixture as well as of the endpoints. The reversal from negative pooled structural correlations to positive shared-cap correlations makes this dependence explicit. Semicolon and em-dash ordering remained strongly aligned across the two comparisons, but six endpoints and a narrow creative-writing domain provide no basis for declaring a universal stylistic invariant.</w:t>
      </w:r>
    </w:p>
    <w:p>
      <w:r>
        <w:t>The results complement existing fingerprint work. Recoverable stylistic information and successful transfer are both present here, especially between independent poetry collections and across prompt phrasing. The contribution is to place these successes beside local baselines, failed transfers, and mixture-sensitive feature rankings. This makes the scope of a model-level statement more precise without requiring a claim about a context-free model essence.</w:t>
      </w:r>
    </w:p>
    <w:p>
      <w:r>
        <w:t>A practical reporting approach follows. An attribution study can report source-local performance, target-local performance, and source-to-target performance separately, making their training sizes and split units explicit. A study of named tendencies can additionally report rank and magnitude stability under stated prompt mixtures. These measurements need not agree, and disagreement is scientifically useful when the comparison is properly bounded.</w:t>
      </w:r>
    </w:p>
    <w:p>
      <w:pPr>
        <w:pStyle w:val="Heading2"/>
      </w:pPr>
      <w:r>
        <w:t>Limitations and prospective design</w:t>
      </w:r>
    </w:p>
    <w:p>
      <w:r>
        <w:t>The evidence concerns six named endpoints from two providers, minimally specified creative writing, and a sparse English-language feature representation. Provider and tier are unreplicated at the endpoint level. Unpinned aliases and Study 1’s blocked collection order limit attribution to immutable model internals. Local splits share exact prompt templates across training and testing, and response-level uncertainty does not represent uncertainty over new prompts or future deployments.</w:t>
      </w:r>
    </w:p>
    <w:p>
      <w:r>
        <w:t>The analysis also remains conditional on the parser and archived POS measurements. Segmentation validation assesses proposed boundaries, not every linguistic feature. Several comparisons use only six endpoint means, and descriptive feature selection in the discussion should not be mistaken for a comprehensive test of all stylistic behavior. The revision checks were motivated by observed outcomes; their transparency improves interpretation without upgrading their evidentiary status.</w:t>
      </w:r>
    </w:p>
    <w:p>
      <w:r>
        <w:t>A prospective follow-up should cross endpoint, category, prompt wording, constraint, and collection wave, with randomized call order and complete termination metadata. Local validation and reciprocal transfer could then be estimated for each environment on compatible sampling units. Such a design would distinguish the source and target of failures more directly and reduce ambiguity from unequal mixtures. Extensions to other behaviors, such as refusal or calibration language, would require their own validated measurements and experiments.</w:t>
      </w:r>
    </w:p>
    <w:p>
      <w:pPr>
        <w:pStyle w:val="Heading1"/>
      </w:pPr>
      <w:r>
        <w:t>Conclusion</w:t>
      </w:r>
    </w:p>
    <w:p>
      <w:r>
        <w:t>Model-associated stylistic information was locally recoverable in both tested Study 1 environments and transferred substantially between independent poetry collections. Transfer from stories and animal descriptions to poetry was much weaker, including after exploratory ceiling exclusions. At the feature level, changing the mixture of requested line constraints substantially changed the apparent stability of structural rankings.</w:t>
      </w:r>
    </w:p>
    <w:p>
      <w:r>
        <w:t>The evidence supports treating local separability, predictive transfer, and feature-rank stability as distinct properties. A model-level tendency is best reported together with the production conditions, representation, and comparison under which it remains informative.</w:t>
      </w:r>
    </w:p>
    <w:p>
      <w:pPr>
        <w:pStyle w:val="Heading1"/>
      </w:pPr>
      <w:r>
        <w:t>Data code and research participation</w:t>
      </w:r>
    </w:p>
    <w:p>
      <w:r>
        <w:t>The archived studies, harmonized data, plans, code, and result records are available at https://github.com/quumble/An-Assay-of-Bullshit. This revision audited the repository state at commit d9f3e63c8d6473924cb82b29d1c2e01182d63707. The companion revision audit package contains the added plans, executable checks, machine-readable results, and an input manifest. Revision-stage outputs are separate from the archived repository analyses.</w:t>
      </w:r>
    </w:p>
    <w:p>
      <w:r>
        <w:t>Bo Chesterton is a governed public intellectual identity. Language-model systems contributed to question refinement, implementation, interpretation, critical review, figure preparation, and writing. The present revision also used language-model-assisted code inspection and diagnostic execution. Machine participation and analytic provenance are disclosed separately from the paper’s named authorship. The governing framework is documented in the Constitution of Bo Chesterton (2026).</w:t>
      </w:r>
    </w:p>
    <w:p>
      <w:pPr>
        <w:pStyle w:val="Heading1"/>
      </w:pPr>
      <w:r>
        <w:t>References</w:t>
      </w:r>
    </w:p>
    <w:p>
      <w:pPr>
        <w:ind w:left="288" w:hanging="288"/>
      </w:pPr>
      <w:r>
        <w:rPr>
          <w:sz w:val="20"/>
        </w:rPr>
        <w:t>Altakrori, M., Cheung, J. C. K., and Fung, B. C. M. (2021). The Topic Confusion Task: A Novel Evaluation Scenario for Authorship Attribution. Findings of EMNLP 2021, 4242–4256. https://doi.org/10.18653/v1/2021.findings-emnlp.359</w:t>
      </w:r>
    </w:p>
    <w:p>
      <w:pPr>
        <w:ind w:left="288" w:hanging="288"/>
      </w:pPr>
      <w:r>
        <w:rPr>
          <w:sz w:val="20"/>
        </w:rPr>
        <w:t>Bean, A. M., Kearns, R. O., Romanou, A., et al. (2025). Measuring What Matters: Construct Validity in Large Language Model Benchmarks. Advances in Neural Information Processing Systems 38, Datasets and Benchmarks Track. https://doi.org/10.52202/085713-0590</w:t>
      </w:r>
    </w:p>
    <w:p>
      <w:pPr>
        <w:ind w:left="288" w:hanging="288"/>
      </w:pPr>
      <w:r>
        <w:rPr>
          <w:sz w:val="20"/>
        </w:rPr>
        <w:t>Bitton, Y., Bitton, E., and Nisan, S. (2025). Detecting Stylistic Fingerprints of Large Language Models. arXiv:2503.01659. https://arxiv.org/abs/2503.01659</w:t>
      </w:r>
    </w:p>
    <w:p>
      <w:pPr>
        <w:ind w:left="288" w:hanging="288"/>
      </w:pPr>
      <w:r>
        <w:rPr>
          <w:sz w:val="20"/>
        </w:rPr>
        <w:t>Constitution of Bo Chesterton. (2026). Version 0.50, September 9. https://github.com/quumble/constitution-of-bo-chesterton</w:t>
      </w:r>
    </w:p>
    <w:p>
      <w:pPr>
        <w:ind w:left="288" w:hanging="288"/>
      </w:pPr>
      <w:r>
        <w:rPr>
          <w:sz w:val="20"/>
        </w:rPr>
        <w:t>Elazar, Y., Kassner, N., Ravfogel, S., Ravichander, A., Hovy, E., Schütze, H., and Goldberg, Y. (2021). Measuring and Improving Consistency in Pretrained Language Models. Transactions of the Association for Computational Linguistics 9, 1012–1031. https://doi.org/10.1162/tacl_a_00410</w:t>
      </w:r>
    </w:p>
    <w:p>
      <w:pPr>
        <w:ind w:left="288" w:hanging="288"/>
      </w:pPr>
      <w:r>
        <w:rPr>
          <w:sz w:val="20"/>
        </w:rPr>
        <w:t>Hua, A., Tang, K., Gu, C., Gu, J., Wong, E., and Qin, Y. (2025). Flaw or Artifact? Rethinking Prompt Sensitivity in Evaluating LLMs. EMNLP 2025, 19889–19899. https://doi.org/10.18653/v1/2025.emnlp-main.1006</w:t>
      </w:r>
    </w:p>
    <w:p>
      <w:pPr>
        <w:ind w:left="288" w:hanging="288"/>
      </w:pPr>
      <w:r>
        <w:rPr>
          <w:sz w:val="20"/>
        </w:rPr>
        <w:t>Lu, X., Ma, Y., Zhou, X., Gan, S., Deng, G., Wen, Y., and Liu, Y. (2026). Synergizing Stylometrics with Semantics: Dual-Path Framework for LLM Detection and Attribution. Findings of ACL 2026, 37252–37265. https://doi.org/10.18653/v1/2026.findings-acl.1855</w:t>
      </w:r>
    </w:p>
    <w:p>
      <w:pPr>
        <w:ind w:left="288" w:hanging="288"/>
      </w:pPr>
      <w:r>
        <w:rPr>
          <w:sz w:val="20"/>
        </w:rPr>
        <w:t>McGovern, H., Stureborg, R., Suhara, Y., and Alikaniotis, D. (2025). Your Large Language Models are Leaving Fingerprints. Proceedings of the 1st Workshop on GenAI Content Detection, 85–95. https://aclanthology.org/2025.genaidetect-1.6/</w:t>
      </w:r>
    </w:p>
    <w:p>
      <w:pPr>
        <w:ind w:left="288" w:hanging="288"/>
      </w:pPr>
      <w:r>
        <w:rPr>
          <w:sz w:val="20"/>
        </w:rPr>
        <w:t>Ribeiro, M. T., Wu, T., Guestrin, C., and Singh, S. (2020). Beyond Accuracy: Behavioral Testing of NLP Models with CheckList. ACL 2020, 4902–4912. https://doi.org/10.18653/v1/2020.acl-main.442</w:t>
      </w:r>
    </w:p>
    <w:p>
      <w:pPr>
        <w:ind w:left="288" w:hanging="288"/>
      </w:pPr>
      <w:r>
        <w:rPr>
          <w:sz w:val="20"/>
        </w:rPr>
        <w:t>Sclar, M., Choi, Y., Tsvetkov, Y., and Suhr, A. (2024). Quantifying Language Models’ Sensitivity to Spurious Features in Prompt Design or: How I Learned to Start Worrying About Prompt Formatting. ICLR 2024. https://arxiv.org/abs/2310.11324</w:t>
      </w:r>
    </w:p>
    <w:p>
      <w:pPr>
        <w:ind w:left="288" w:hanging="288"/>
      </w:pPr>
      <w:r>
        <w:rPr>
          <w:sz w:val="20"/>
        </w:rPr>
        <w:t>Siska, C., Marazopoulou, K., Ailem, M., and Bono, J. (2024). Examining the Robustness of LLM Evaluation to the Distributional Assumptions of Benchmarks. ACL 2024, 10406–10421. https://doi.org/10.18653/v1/2024.acl-long.560</w:t>
      </w:r>
    </w:p>
    <w:p>
      <w:pPr>
        <w:ind w:left="288" w:hanging="288"/>
      </w:pPr>
      <w:r>
        <w:rPr>
          <w:sz w:val="20"/>
        </w:rPr>
        <w:t>Stamatatos, E. (2009). A Survey of Modern Authorship Attribution Methods. Journal of the American Society for Information Science and Technology 60(3), 538–556. https://doi.org/10.1002/asi.21001</w:t>
      </w:r>
    </w:p>
    <w:p>
      <w:pPr>
        <w:ind w:left="288" w:hanging="288"/>
      </w:pPr>
      <w:r>
        <w:rPr>
          <w:sz w:val="20"/>
        </w:rPr>
        <w:t>Sundararajan, K., and Woodard, D. (2018). What Represents “Style” in Authorship Attribution? COLING 2018, 2814–2822. https://aclanthology.org/C18-1238/</w:t>
      </w:r>
    </w:p>
    <w:p>
      <w:pPr>
        <w:pStyle w:val="Heading1"/>
        <w:pageBreakBefore/>
      </w:pPr>
      <w:r>
        <w:t>Appendix A Measurement and reproduction specifications</w:t>
      </w:r>
    </w:p>
    <w:p>
      <w:r>
        <w:t>The exact Study 1 prompts are “create a short story in fewer than 5 sentences.”, “create a short story in fewer than 10 sentences.”, “create a short story.”; “create an animal and describe it in fewer than 5 sentences.”, “create an animal and describe it in fewer than 10 sentences.”, “create an animal and describe it.”; and “create a poem in fewer then 5 lines.”, “create a poem in fewer then 10 lines.”, “create a poem.” Study 2 crosses write, compose, and gimme in the template “[phrasing] a poem in fewer than [cap] lines.” with caps 5, 10, and 20.</w:t>
      </w:r>
    </w:p>
    <w:p>
      <w:r>
        <w:t>Lexical tokens use the archived English-letter regular expression, including internal apostrophes and hyphens. Punctuation counts use literal characters; ellipsis events count each Unicode ellipsis character (…) and each run of three or more periods. Surface token counts use whitespace splitting, with title markup stripped for title counts. These definitions are operational measurements, not general linguistic tokenization rules.</w:t>
      </w:r>
    </w:p>
    <w:p>
      <w:r>
        <w:t>Harmonization records specify Python 3.13.15, spaCy 3.8.16, and en_core_web_trf 3.8.0. Archived classifier analyses specify Python 3.14.6, NumPy 2.4.6, pandas 3.0.3, and scikit-learn 1.9.1. Revision checks used Python 3.12, NumPy 2.3.5, pandas 2.2.3, and scikit-learn 1.8.0. All reported body and surface transfer confusion matrices reproduced exactly in the revision environment, as did all 1,000 original local-poetry accuracy values. No convergence warnings occurred in the revision refits.</w:t>
      </w:r>
    </w:p>
    <w:p>
      <w:r>
        <w:t>The base archived seed is 20260915. The cross-study bootstrap uses 20260916; feature-rank bootstraps use 20261016; local poetry splits use 20261215. Revision source-local splits use 2026091601. Poetry-transfer bootstraps use 2026091602, with successive seeds for story and animal targets. The original local and source-local ranges summarize 1,000 splits; fixed-prediction intervals use 10,000 target-response bootstraps.</w:t>
      </w:r>
    </w:p>
    <w:p>
      <w:r>
        <w:t>Repository entry points are scripts/run_primary_analysis.py, scripts/run_secondary_analysis.py, scripts/run_post_primary_ia.py, and scripts/run_post_review_diagnostics.py under September_2026_Secondary_Analysis. Their result JSONs and CSVs are archived in corresponding results subdirectories. The companion revision_audit.py and parser_audit.py take the extracted repository root as their argument; duplicate_followup.py executes the additional overlap check. The package README gives complete commands.</w:t>
      </w:r>
    </w:p>
    <w:p>
      <w:r>
        <w:t>The two raw-data hashes match the archived records byte for byte. The downloaded feature table and primary-result JSON use LF endings; restoring CRLF reproduces their recorded Windows hashes. Both byte representations are documented in the audit manifest. This line-ending difference does not change parsed records or reproduced results.</w:t>
      </w:r>
    </w:p>
    <w:p>
      <w:pPr>
        <w:pStyle w:val="Heading1"/>
        <w:pageBreakBefore/>
      </w:pPr>
      <w:r>
        <w:t>Appendix B Revision diagnostics and provenance</w:t>
      </w:r>
    </w:p>
    <w:p>
      <w:r>
        <w:t>The repository commit history separates the September plan, harmonization, primary implementation and results, secondary implementation and results, interpretability analyses, and original review diagnostics. Primary results were frozen at f2f93897572b8b6e9f5f162dc4d51cb15fcd48ff; secondary results at e845fd356a6c842d114ad04489de2b7f5ca663a2; interpretability results at fe81bb3a00162ceab0ee23e99a24113ef5cb9b63; and original review-diagnostic results at d9f3e63c8d6473924cb82b29d1c2e01182d63707. Revision checks reported here are later additions supplied in the companion package, not retroactive changes to those freezes.</w:t>
      </w:r>
    </w:p>
    <w:p>
      <w:r>
        <w:t>The source-local diagnostic splits each of the 36 endpoint–prompt cells in the story-and-animal mixture 5/5. The resulting train and test sets each contain 30 observations per endpoint. Its 55.0% median accuracy describes local recovery in that mixture; it is not the source performance of the final classifier trained on all 360 observations, whose independent source test set was not collected.</w:t>
      </w:r>
    </w:p>
    <w:p>
      <w:r>
        <w:t>The near-duplicate poetry sensitivity uses SequenceMatcher on NFKC-normalized, case-folded bodies with collapsed whitespace, with autojunk disabled and a similarity threshold of 0.90. Connected pairs are kept in the same partition. One qualifying pair produces 179 groups from 180 poems. GroupShuffleSplit with seed 2026091603 creates 1,000 approximately equal group partitions. Median accuracy is 54.4%; median balanced accuracy is 55.4%. Test sizes range from 90 to 91. Class and prompt proportions vary, so this is a different local sampling design from the original balanced splits. It checks one specified form of textual similarity and cannot exclude all shared templates or semantic dependence.</w:t>
      </w:r>
    </w:p>
    <w:p>
      <w:r>
        <w:t>In the Study 2 duplicate-overlap check, 14, 17, and 22 training responses were removed from the write, compose, and gimme holdouts respectively. The pooled accuracy was 0.61856, compared with approximately 0.619 in the archived analysis. No training responses were removed from any line-cap fold. The target sets were retained intact.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384"/>
        <w:gridCol w:w="1656"/>
        <w:gridCol w:w="2664"/>
        <w:gridCol w:w="1656"/>
      </w:tblGrid>
      <w:tr>
        <w:trPr>
          <w:cantSplit/>
          <w:tblHeader/>
        </w:trPr>
        <w:tc>
          <w:tcPr>
            <w:tcW w:type="dxa" w:w="3384"/>
            <w:vAlign w:val="center"/>
            <w:shd w:fill="E9EDF0"/>
          </w:tcPr>
          <w:p>
            <w:pPr>
              <w:keepNext/>
              <w:spacing w:after="0" w:before="0" w:line="245" w:lineRule="auto"/>
              <w:jc w:val="left"/>
            </w:pPr>
            <w:r>
              <w:rPr>
                <w:b/>
                <w:sz w:val="20"/>
              </w:rPr>
              <w:t>Endpoint</w:t>
            </w:r>
          </w:p>
        </w:tc>
        <w:tc>
          <w:tcPr>
            <w:tcW w:type="dxa" w:w="1656"/>
            <w:vAlign w:val="center"/>
            <w:shd w:fill="E9EDF0"/>
          </w:tcPr>
          <w:p>
            <w:pPr>
              <w:keepNext/>
              <w:spacing w:after="0" w:before="0" w:line="245" w:lineRule="auto"/>
              <w:jc w:val="center"/>
            </w:pPr>
            <w:r>
              <w:rPr>
                <w:b/>
                <w:sz w:val="20"/>
              </w:rPr>
              <w:t>Story</w:t>
            </w:r>
          </w:p>
        </w:tc>
        <w:tc>
          <w:tcPr>
            <w:tcW w:type="dxa" w:w="2664"/>
            <w:vAlign w:val="center"/>
            <w:shd w:fill="E9EDF0"/>
          </w:tcPr>
          <w:p>
            <w:pPr>
              <w:keepNext/>
              <w:spacing w:after="0" w:before="0" w:line="245" w:lineRule="auto"/>
              <w:jc w:val="center"/>
            </w:pPr>
            <w:r>
              <w:rPr>
                <w:b/>
                <w:sz w:val="20"/>
              </w:rPr>
              <w:t>Animal description</w:t>
            </w:r>
          </w:p>
        </w:tc>
        <w:tc>
          <w:tcPr>
            <w:tcW w:type="dxa" w:w="1656"/>
            <w:vAlign w:val="center"/>
            <w:shd w:fill="E9EDF0"/>
          </w:tcPr>
          <w:p>
            <w:pPr>
              <w:keepNext/>
              <w:spacing w:after="0" w:before="0" w:line="245" w:lineRule="auto"/>
              <w:jc w:val="center"/>
            </w:pPr>
            <w:r>
              <w:rPr>
                <w:b/>
                <w:sz w:val="20"/>
              </w:rPr>
              <w:t>Poetry</w:t>
            </w:r>
          </w:p>
        </w:tc>
      </w:tr>
      <w:tr>
        <w:trPr>
          <w:cantSplit/>
        </w:trPr>
        <w:tc>
          <w:tcPr>
            <w:tcW w:type="dxa" w:w="3384"/>
            <w:vAlign w:val="center"/>
            <w:shd w:fill="FFFFFF"/>
          </w:tcPr>
          <w:p>
            <w:pPr>
              <w:keepNext w:val="0"/>
              <w:spacing w:after="0" w:before="0" w:line="245" w:lineRule="auto"/>
              <w:jc w:val="left"/>
            </w:pPr>
            <w:r>
              <w:rPr>
                <w:b w:val="0"/>
                <w:sz w:val="20"/>
              </w:rPr>
              <w:t>Haiku 4.5</w:t>
            </w:r>
          </w:p>
        </w:tc>
        <w:tc>
          <w:tcPr>
            <w:tcW w:type="dxa" w:w="1656"/>
            <w:vAlign w:val="center"/>
            <w:shd w:fill="FFFFFF"/>
          </w:tcPr>
          <w:p>
            <w:pPr>
              <w:keepNext w:val="0"/>
              <w:spacing w:after="0" w:before="0" w:line="245" w:lineRule="auto"/>
              <w:jc w:val="center"/>
            </w:pPr>
            <w:r>
              <w:rPr>
                <w:b w:val="0"/>
                <w:sz w:val="20"/>
              </w:rPr>
              <w:t>1 (1)</w:t>
            </w:r>
          </w:p>
        </w:tc>
        <w:tc>
          <w:tcPr>
            <w:tcW w:type="dxa" w:w="2664"/>
            <w:vAlign w:val="center"/>
            <w:shd w:fill="FFFFFF"/>
          </w:tcPr>
          <w:p>
            <w:pPr>
              <w:keepNext w:val="0"/>
              <w:spacing w:after="0" w:before="0" w:line="245" w:lineRule="auto"/>
              <w:jc w:val="center"/>
            </w:pPr>
            <w:r>
              <w:rPr>
                <w:b w:val="0"/>
                <w:sz w:val="20"/>
              </w:rPr>
              <w:t>0 (0)</w:t>
            </w:r>
          </w:p>
        </w:tc>
        <w:tc>
          <w:tcPr>
            <w:tcW w:type="dxa" w:w="1656"/>
            <w:vAlign w:val="center"/>
            <w:shd w:fill="FFFFFF"/>
          </w:tcPr>
          <w:p>
            <w:pPr>
              <w:keepNext w:val="0"/>
              <w:spacing w:after="0" w:before="0" w:line="245" w:lineRule="auto"/>
              <w:jc w:val="center"/>
            </w:pPr>
            <w:r>
              <w:rPr>
                <w:b w:val="0"/>
                <w:sz w:val="20"/>
              </w:rPr>
              <w:t>0</w:t>
            </w:r>
          </w:p>
        </w:tc>
      </w:tr>
      <w:tr>
        <w:trPr>
          <w:cantSplit/>
        </w:trPr>
        <w:tc>
          <w:tcPr>
            <w:tcW w:type="dxa" w:w="3384"/>
            <w:vAlign w:val="center"/>
            <w:shd w:fill="F7F8F9"/>
          </w:tcPr>
          <w:p>
            <w:pPr>
              <w:keepNext w:val="0"/>
              <w:spacing w:after="0" w:before="0" w:line="245" w:lineRule="auto"/>
              <w:jc w:val="left"/>
            </w:pPr>
            <w:r>
              <w:rPr>
                <w:b w:val="0"/>
                <w:sz w:val="20"/>
              </w:rPr>
              <w:t>Sonnet 4.6</w:t>
            </w:r>
          </w:p>
        </w:tc>
        <w:tc>
          <w:tcPr>
            <w:tcW w:type="dxa" w:w="1656"/>
            <w:vAlign w:val="center"/>
            <w:shd w:fill="F7F8F9"/>
          </w:tcPr>
          <w:p>
            <w:pPr>
              <w:keepNext w:val="0"/>
              <w:spacing w:after="0" w:before="0" w:line="245" w:lineRule="auto"/>
              <w:jc w:val="center"/>
            </w:pPr>
            <w:r>
              <w:rPr>
                <w:b w:val="0"/>
                <w:sz w:val="20"/>
              </w:rPr>
              <w:t>0 (0)</w:t>
            </w:r>
          </w:p>
        </w:tc>
        <w:tc>
          <w:tcPr>
            <w:tcW w:type="dxa" w:w="2664"/>
            <w:vAlign w:val="center"/>
            <w:shd w:fill="F7F8F9"/>
          </w:tcPr>
          <w:p>
            <w:pPr>
              <w:keepNext w:val="0"/>
              <w:spacing w:after="0" w:before="0" w:line="245" w:lineRule="auto"/>
              <w:jc w:val="center"/>
            </w:pPr>
            <w:r>
              <w:rPr>
                <w:b w:val="0"/>
                <w:sz w:val="20"/>
              </w:rPr>
              <w:t>2 (0)</w:t>
            </w:r>
          </w:p>
        </w:tc>
        <w:tc>
          <w:tcPr>
            <w:tcW w:type="dxa" w:w="1656"/>
            <w:vAlign w:val="center"/>
            <w:shd w:fill="F7F8F9"/>
          </w:tcPr>
          <w:p>
            <w:pPr>
              <w:keepNext w:val="0"/>
              <w:spacing w:after="0" w:before="0" w:line="245" w:lineRule="auto"/>
              <w:jc w:val="center"/>
            </w:pPr>
            <w:r>
              <w:rPr>
                <w:b w:val="0"/>
                <w:sz w:val="20"/>
              </w:rPr>
              <w:t>0</w:t>
            </w:r>
          </w:p>
        </w:tc>
      </w:tr>
      <w:tr>
        <w:trPr>
          <w:cantSplit/>
        </w:trPr>
        <w:tc>
          <w:tcPr>
            <w:tcW w:type="dxa" w:w="3384"/>
            <w:vAlign w:val="center"/>
            <w:shd w:fill="FFFFFF"/>
          </w:tcPr>
          <w:p>
            <w:pPr>
              <w:keepNext w:val="0"/>
              <w:spacing w:after="0" w:before="0" w:line="245" w:lineRule="auto"/>
              <w:jc w:val="left"/>
            </w:pPr>
            <w:r>
              <w:rPr>
                <w:b w:val="0"/>
                <w:sz w:val="20"/>
              </w:rPr>
              <w:t>Opus 4.7</w:t>
            </w:r>
          </w:p>
        </w:tc>
        <w:tc>
          <w:tcPr>
            <w:tcW w:type="dxa" w:w="1656"/>
            <w:vAlign w:val="center"/>
            <w:shd w:fill="FFFFFF"/>
          </w:tcPr>
          <w:p>
            <w:pPr>
              <w:keepNext w:val="0"/>
              <w:spacing w:after="0" w:before="0" w:line="245" w:lineRule="auto"/>
              <w:jc w:val="center"/>
            </w:pPr>
            <w:r>
              <w:rPr>
                <w:b w:val="0"/>
                <w:sz w:val="20"/>
              </w:rPr>
              <w:t>10 (10)</w:t>
            </w:r>
          </w:p>
        </w:tc>
        <w:tc>
          <w:tcPr>
            <w:tcW w:type="dxa" w:w="2664"/>
            <w:vAlign w:val="center"/>
            <w:shd w:fill="FFFFFF"/>
          </w:tcPr>
          <w:p>
            <w:pPr>
              <w:keepNext w:val="0"/>
              <w:spacing w:after="0" w:before="0" w:line="245" w:lineRule="auto"/>
              <w:jc w:val="center"/>
            </w:pPr>
            <w:r>
              <w:rPr>
                <w:b w:val="0"/>
                <w:sz w:val="20"/>
              </w:rPr>
              <w:t>10 (10)</w:t>
            </w:r>
          </w:p>
        </w:tc>
        <w:tc>
          <w:tcPr>
            <w:tcW w:type="dxa" w:w="1656"/>
            <w:vAlign w:val="center"/>
            <w:shd w:fill="FFFFFF"/>
          </w:tcPr>
          <w:p>
            <w:pPr>
              <w:keepNext w:val="0"/>
              <w:spacing w:after="0" w:before="0" w:line="245" w:lineRule="auto"/>
              <w:jc w:val="center"/>
            </w:pPr>
            <w:r>
              <w:rPr>
                <w:b w:val="0"/>
                <w:sz w:val="20"/>
              </w:rPr>
              <w:t>0</w:t>
            </w:r>
          </w:p>
        </w:tc>
      </w:tr>
      <w:tr>
        <w:trPr>
          <w:cantSplit/>
        </w:trPr>
        <w:tc>
          <w:tcPr>
            <w:tcW w:type="dxa" w:w="3384"/>
            <w:vAlign w:val="center"/>
            <w:shd w:fill="F7F8F9"/>
          </w:tcPr>
          <w:p>
            <w:pPr>
              <w:keepNext w:val="0"/>
              <w:spacing w:after="0" w:before="0" w:line="245" w:lineRule="auto"/>
              <w:jc w:val="left"/>
            </w:pPr>
            <w:r>
              <w:rPr>
                <w:b w:val="0"/>
                <w:sz w:val="20"/>
              </w:rPr>
              <w:t>GPT-5.4 nano</w:t>
            </w:r>
          </w:p>
        </w:tc>
        <w:tc>
          <w:tcPr>
            <w:tcW w:type="dxa" w:w="1656"/>
            <w:vAlign w:val="center"/>
            <w:shd w:fill="F7F8F9"/>
          </w:tcPr>
          <w:p>
            <w:pPr>
              <w:keepNext w:val="0"/>
              <w:spacing w:after="0" w:before="0" w:line="245" w:lineRule="auto"/>
              <w:jc w:val="center"/>
            </w:pPr>
            <w:r>
              <w:rPr>
                <w:b w:val="0"/>
                <w:sz w:val="20"/>
              </w:rPr>
              <w:t>10 (10)</w:t>
            </w:r>
          </w:p>
        </w:tc>
        <w:tc>
          <w:tcPr>
            <w:tcW w:type="dxa" w:w="2664"/>
            <w:vAlign w:val="center"/>
            <w:shd w:fill="F7F8F9"/>
          </w:tcPr>
          <w:p>
            <w:pPr>
              <w:keepNext w:val="0"/>
              <w:spacing w:after="0" w:before="0" w:line="245" w:lineRule="auto"/>
              <w:jc w:val="center"/>
            </w:pPr>
            <w:r>
              <w:rPr>
                <w:b w:val="0"/>
                <w:sz w:val="20"/>
              </w:rPr>
              <w:t>1 (0)</w:t>
            </w:r>
          </w:p>
        </w:tc>
        <w:tc>
          <w:tcPr>
            <w:tcW w:type="dxa" w:w="1656"/>
            <w:vAlign w:val="center"/>
            <w:shd w:fill="F7F8F9"/>
          </w:tcPr>
          <w:p>
            <w:pPr>
              <w:keepNext w:val="0"/>
              <w:spacing w:after="0" w:before="0" w:line="245" w:lineRule="auto"/>
              <w:jc w:val="center"/>
            </w:pPr>
            <w:r>
              <w:rPr>
                <w:b w:val="0"/>
                <w:sz w:val="20"/>
              </w:rPr>
              <w:t>0</w:t>
            </w:r>
          </w:p>
        </w:tc>
      </w:tr>
      <w:tr>
        <w:trPr>
          <w:cantSplit/>
        </w:trPr>
        <w:tc>
          <w:tcPr>
            <w:tcW w:type="dxa" w:w="3384"/>
            <w:vAlign w:val="center"/>
            <w:shd w:fill="FFFFFF"/>
          </w:tcPr>
          <w:p>
            <w:pPr>
              <w:keepNext w:val="0"/>
              <w:spacing w:after="0" w:before="0" w:line="245" w:lineRule="auto"/>
              <w:jc w:val="left"/>
            </w:pPr>
            <w:r>
              <w:rPr>
                <w:b w:val="0"/>
                <w:sz w:val="20"/>
              </w:rPr>
              <w:t>GPT-5.4 mini</w:t>
            </w:r>
          </w:p>
        </w:tc>
        <w:tc>
          <w:tcPr>
            <w:tcW w:type="dxa" w:w="1656"/>
            <w:vAlign w:val="center"/>
            <w:shd w:fill="FFFFFF"/>
          </w:tcPr>
          <w:p>
            <w:pPr>
              <w:keepNext w:val="0"/>
              <w:spacing w:after="0" w:before="0" w:line="245" w:lineRule="auto"/>
              <w:jc w:val="center"/>
            </w:pPr>
            <w:r>
              <w:rPr>
                <w:b w:val="0"/>
                <w:sz w:val="20"/>
              </w:rPr>
              <w:t>8 (8)</w:t>
            </w:r>
          </w:p>
        </w:tc>
        <w:tc>
          <w:tcPr>
            <w:tcW w:type="dxa" w:w="2664"/>
            <w:vAlign w:val="center"/>
            <w:shd w:fill="FFFFFF"/>
          </w:tcPr>
          <w:p>
            <w:pPr>
              <w:keepNext w:val="0"/>
              <w:spacing w:after="0" w:before="0" w:line="245" w:lineRule="auto"/>
              <w:jc w:val="center"/>
            </w:pPr>
            <w:r>
              <w:rPr>
                <w:b w:val="0"/>
                <w:sz w:val="20"/>
              </w:rPr>
              <w:t>0 (0)</w:t>
            </w:r>
          </w:p>
        </w:tc>
        <w:tc>
          <w:tcPr>
            <w:tcW w:type="dxa" w:w="1656"/>
            <w:vAlign w:val="center"/>
            <w:shd w:fill="FFFFFF"/>
          </w:tcPr>
          <w:p>
            <w:pPr>
              <w:keepNext w:val="0"/>
              <w:spacing w:after="0" w:before="0" w:line="245" w:lineRule="auto"/>
              <w:jc w:val="center"/>
            </w:pPr>
            <w:r>
              <w:rPr>
                <w:b w:val="0"/>
                <w:sz w:val="20"/>
              </w:rPr>
              <w:t>0</w:t>
            </w:r>
          </w:p>
        </w:tc>
      </w:tr>
      <w:tr>
        <w:trPr>
          <w:cantSplit/>
        </w:trPr>
        <w:tc>
          <w:tcPr>
            <w:tcW w:type="dxa" w:w="3384"/>
            <w:vAlign w:val="center"/>
            <w:shd w:fill="F7F8F9"/>
          </w:tcPr>
          <w:p>
            <w:pPr>
              <w:keepNext w:val="0"/>
              <w:spacing w:after="0" w:before="0" w:line="245" w:lineRule="auto"/>
              <w:jc w:val="left"/>
            </w:pPr>
            <w:r>
              <w:rPr>
                <w:b w:val="0"/>
                <w:sz w:val="20"/>
              </w:rPr>
              <w:t>GPT-5.4</w:t>
            </w:r>
          </w:p>
        </w:tc>
        <w:tc>
          <w:tcPr>
            <w:tcW w:type="dxa" w:w="1656"/>
            <w:vAlign w:val="center"/>
            <w:shd w:fill="F7F8F9"/>
          </w:tcPr>
          <w:p>
            <w:pPr>
              <w:keepNext w:val="0"/>
              <w:spacing w:after="0" w:before="0" w:line="245" w:lineRule="auto"/>
              <w:jc w:val="center"/>
            </w:pPr>
            <w:r>
              <w:rPr>
                <w:b w:val="0"/>
                <w:sz w:val="20"/>
              </w:rPr>
              <w:t>8 (5)</w:t>
            </w:r>
          </w:p>
        </w:tc>
        <w:tc>
          <w:tcPr>
            <w:tcW w:type="dxa" w:w="2664"/>
            <w:vAlign w:val="center"/>
            <w:shd w:fill="F7F8F9"/>
          </w:tcPr>
          <w:p>
            <w:pPr>
              <w:keepNext w:val="0"/>
              <w:spacing w:after="0" w:before="0" w:line="245" w:lineRule="auto"/>
              <w:jc w:val="center"/>
            </w:pPr>
            <w:r>
              <w:rPr>
                <w:b w:val="0"/>
                <w:sz w:val="20"/>
              </w:rPr>
              <w:t>0 (0)</w:t>
            </w:r>
          </w:p>
        </w:tc>
        <w:tc>
          <w:tcPr>
            <w:tcW w:type="dxa" w:w="1656"/>
            <w:vAlign w:val="center"/>
            <w:shd w:fill="F7F8F9"/>
          </w:tcPr>
          <w:p>
            <w:pPr>
              <w:keepNext w:val="0"/>
              <w:spacing w:after="0" w:before="0" w:line="245" w:lineRule="auto"/>
              <w:jc w:val="center"/>
            </w:pPr>
            <w:r>
              <w:rPr>
                <w:b w:val="0"/>
                <w:sz w:val="20"/>
              </w:rPr>
              <w:t>0</w:t>
            </w:r>
          </w:p>
        </w:tc>
      </w:tr>
      <w:tr>
        <w:trPr>
          <w:cantSplit/>
        </w:trPr>
        <w:tc>
          <w:tcPr>
            <w:tcW w:type="dxa" w:w="3384"/>
            <w:vAlign w:val="center"/>
            <w:shd w:fill="FFFFFF"/>
          </w:tcPr>
          <w:p>
            <w:pPr>
              <w:keepNext w:val="0"/>
              <w:spacing w:after="0" w:before="0" w:line="245" w:lineRule="auto"/>
              <w:jc w:val="left"/>
            </w:pPr>
            <w:r>
              <w:rPr>
                <w:b w:val="0"/>
                <w:sz w:val="20"/>
              </w:rPr>
              <w:t>Total</w:t>
            </w:r>
          </w:p>
        </w:tc>
        <w:tc>
          <w:tcPr>
            <w:tcW w:type="dxa" w:w="1656"/>
            <w:vAlign w:val="center"/>
            <w:shd w:fill="FFFFFF"/>
          </w:tcPr>
          <w:p>
            <w:pPr>
              <w:keepNext w:val="0"/>
              <w:spacing w:after="0" w:before="0" w:line="245" w:lineRule="auto"/>
              <w:jc w:val="center"/>
            </w:pPr>
            <w:r>
              <w:rPr>
                <w:b w:val="0"/>
                <w:sz w:val="20"/>
              </w:rPr>
              <w:t>37 (34)</w:t>
            </w:r>
          </w:p>
        </w:tc>
        <w:tc>
          <w:tcPr>
            <w:tcW w:type="dxa" w:w="2664"/>
            <w:vAlign w:val="center"/>
            <w:shd w:fill="FFFFFF"/>
          </w:tcPr>
          <w:p>
            <w:pPr>
              <w:keepNext w:val="0"/>
              <w:spacing w:after="0" w:before="0" w:line="245" w:lineRule="auto"/>
              <w:jc w:val="center"/>
            </w:pPr>
            <w:r>
              <w:rPr>
                <w:b w:val="0"/>
                <w:sz w:val="20"/>
              </w:rPr>
              <w:t>13 (10)</w:t>
            </w:r>
          </w:p>
        </w:tc>
        <w:tc>
          <w:tcPr>
            <w:tcW w:type="dxa" w:w="1656"/>
            <w:vAlign w:val="center"/>
            <w:shd w:fill="FFFFFF"/>
          </w:tcPr>
          <w:p>
            <w:pPr>
              <w:keepNext w:val="0"/>
              <w:spacing w:after="0" w:before="0" w:line="245" w:lineRule="auto"/>
              <w:jc w:val="center"/>
            </w:pPr>
            <w:r>
              <w:rPr>
                <w:b w:val="0"/>
                <w:sz w:val="20"/>
              </w:rPr>
              <w:t>0</w:t>
            </w:r>
          </w:p>
        </w:tc>
      </w:tr>
    </w:tbl>
    <w:p>
      <w:pPr>
        <w:spacing w:after="0"/>
      </w:pPr>
    </w:p>
    <w:p>
      <w:pPr>
        <w:pStyle w:val="Caption"/>
      </w:pPr>
      <w:r>
        <w:t>Table B1. Study 1 responses reporting at least 380 output tokens, with exact 400-token counts in parentheses. All poetry cells are zero. Missing termination metadata prevent direct adjudication of truncation. Machine-readable results also report both accuracy and balanced accuracy for every ceiling-filtered category fold and the remaining class counts.</w:t>
      </w:r>
    </w:p>
    <w:p>
      <w:pPr>
        <w:pStyle w:val="Heading1"/>
        <w:pageBreakBefore/>
      </w:pPr>
      <w:r>
        <w:t>Appendix C Feature rank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40"/>
        <w:gridCol w:w="1512"/>
        <w:gridCol w:w="2880"/>
        <w:gridCol w:w="1728"/>
      </w:tblGrid>
      <w:tr>
        <w:trPr>
          <w:cantSplit/>
          <w:tblHeader/>
        </w:trPr>
        <w:tc>
          <w:tcPr>
            <w:tcW w:type="dxa" w:w="3240"/>
            <w:vAlign w:val="center"/>
            <w:shd w:fill="E9EDF0"/>
          </w:tcPr>
          <w:p>
            <w:pPr>
              <w:keepNext/>
              <w:spacing w:after="0" w:before="0" w:line="245" w:lineRule="auto"/>
              <w:jc w:val="left"/>
            </w:pPr>
            <w:r>
              <w:rPr>
                <w:b/>
                <w:sz w:val="19"/>
              </w:rPr>
              <w:t>Feature</w:t>
            </w:r>
          </w:p>
        </w:tc>
        <w:tc>
          <w:tcPr>
            <w:tcW w:type="dxa" w:w="1512"/>
            <w:vAlign w:val="center"/>
            <w:shd w:fill="E9EDF0"/>
          </w:tcPr>
          <w:p>
            <w:pPr>
              <w:keepNext/>
              <w:spacing w:after="0" w:before="0" w:line="245" w:lineRule="auto"/>
              <w:jc w:val="center"/>
            </w:pPr>
            <w:r>
              <w:rPr>
                <w:b/>
                <w:sz w:val="19"/>
              </w:rPr>
              <w:t>Full sample rho</w:t>
            </w:r>
          </w:p>
        </w:tc>
        <w:tc>
          <w:tcPr>
            <w:tcW w:type="dxa" w:w="2880"/>
            <w:vAlign w:val="center"/>
            <w:shd w:fill="E9EDF0"/>
          </w:tcPr>
          <w:p>
            <w:pPr>
              <w:keepNext/>
              <w:spacing w:after="0" w:before="0" w:line="245" w:lineRule="auto"/>
              <w:jc w:val="center"/>
            </w:pPr>
            <w:r>
              <w:rPr>
                <w:b/>
                <w:sz w:val="19"/>
              </w:rPr>
              <w:t>Full sample 95% interval</w:t>
            </w:r>
          </w:p>
        </w:tc>
        <w:tc>
          <w:tcPr>
            <w:tcW w:type="dxa" w:w="1728"/>
            <w:vAlign w:val="center"/>
            <w:shd w:fill="E9EDF0"/>
          </w:tcPr>
          <w:p>
            <w:pPr>
              <w:keepNext/>
              <w:spacing w:after="0" w:before="0" w:line="245" w:lineRule="auto"/>
              <w:jc w:val="center"/>
            </w:pPr>
            <w:r>
              <w:rPr>
                <w:b/>
                <w:sz w:val="19"/>
              </w:rPr>
              <w:t>Shared cap rho</w:t>
            </w:r>
          </w:p>
        </w:tc>
      </w:tr>
      <w:tr>
        <w:trPr>
          <w:cantSplit/>
        </w:trPr>
        <w:tc>
          <w:tcPr>
            <w:tcW w:type="dxa" w:w="3240"/>
            <w:vAlign w:val="center"/>
            <w:shd w:fill="FFFFFF"/>
          </w:tcPr>
          <w:p>
            <w:pPr>
              <w:keepNext w:val="0"/>
              <w:spacing w:after="0" w:before="0" w:line="245" w:lineRule="auto"/>
              <w:jc w:val="left"/>
            </w:pPr>
            <w:r>
              <w:rPr>
                <w:b w:val="0"/>
                <w:sz w:val="19"/>
              </w:rPr>
              <w:t>Word count</w:t>
            </w:r>
          </w:p>
        </w:tc>
        <w:tc>
          <w:tcPr>
            <w:tcW w:type="dxa" w:w="1512"/>
            <w:vAlign w:val="center"/>
            <w:shd w:fill="FFFFFF"/>
          </w:tcPr>
          <w:p>
            <w:pPr>
              <w:keepNext w:val="0"/>
              <w:spacing w:after="0" w:before="0" w:line="245" w:lineRule="auto"/>
              <w:jc w:val="center"/>
            </w:pPr>
            <w:r>
              <w:rPr>
                <w:b w:val="0"/>
                <w:sz w:val="19"/>
              </w:rPr>
              <w:t>-0.429</w:t>
            </w:r>
          </w:p>
        </w:tc>
        <w:tc>
          <w:tcPr>
            <w:tcW w:type="dxa" w:w="2880"/>
            <w:vAlign w:val="center"/>
            <w:shd w:fill="FFFFFF"/>
          </w:tcPr>
          <w:p>
            <w:pPr>
              <w:keepNext w:val="0"/>
              <w:spacing w:after="0" w:before="0" w:line="245" w:lineRule="auto"/>
              <w:jc w:val="center"/>
            </w:pPr>
            <w:r>
              <w:rPr>
                <w:b w:val="0"/>
                <w:sz w:val="19"/>
              </w:rPr>
              <w:t>-0.714 to 0.257</w:t>
            </w:r>
          </w:p>
        </w:tc>
        <w:tc>
          <w:tcPr>
            <w:tcW w:type="dxa" w:w="1728"/>
            <w:vAlign w:val="center"/>
            <w:shd w:fill="FFFFFF"/>
          </w:tcPr>
          <w:p>
            <w:pPr>
              <w:keepNext w:val="0"/>
              <w:spacing w:after="0" w:before="0" w:line="245" w:lineRule="auto"/>
              <w:jc w:val="center"/>
            </w:pPr>
            <w:r>
              <w:rPr>
                <w:b w:val="0"/>
                <w:sz w:val="19"/>
              </w:rPr>
              <w:t>0.870</w:t>
            </w:r>
          </w:p>
        </w:tc>
      </w:tr>
      <w:tr>
        <w:trPr>
          <w:cantSplit/>
        </w:trPr>
        <w:tc>
          <w:tcPr>
            <w:tcW w:type="dxa" w:w="3240"/>
            <w:vAlign w:val="center"/>
            <w:shd w:fill="F7F8F9"/>
          </w:tcPr>
          <w:p>
            <w:pPr>
              <w:keepNext w:val="0"/>
              <w:spacing w:after="0" w:before="0" w:line="245" w:lineRule="auto"/>
              <w:jc w:val="left"/>
            </w:pPr>
            <w:r>
              <w:rPr>
                <w:b w:val="0"/>
                <w:sz w:val="19"/>
              </w:rPr>
              <w:t>Non-empty line count</w:t>
            </w:r>
          </w:p>
        </w:tc>
        <w:tc>
          <w:tcPr>
            <w:tcW w:type="dxa" w:w="1512"/>
            <w:vAlign w:val="center"/>
            <w:shd w:fill="F7F8F9"/>
          </w:tcPr>
          <w:p>
            <w:pPr>
              <w:keepNext w:val="0"/>
              <w:spacing w:after="0" w:before="0" w:line="245" w:lineRule="auto"/>
              <w:jc w:val="center"/>
            </w:pPr>
            <w:r>
              <w:rPr>
                <w:b w:val="0"/>
                <w:sz w:val="19"/>
              </w:rPr>
              <w:t>-0.543</w:t>
            </w:r>
          </w:p>
        </w:tc>
        <w:tc>
          <w:tcPr>
            <w:tcW w:type="dxa" w:w="2880"/>
            <w:vAlign w:val="center"/>
            <w:shd w:fill="F7F8F9"/>
          </w:tcPr>
          <w:p>
            <w:pPr>
              <w:keepNext w:val="0"/>
              <w:spacing w:after="0" w:before="0" w:line="245" w:lineRule="auto"/>
              <w:jc w:val="center"/>
            </w:pPr>
            <w:r>
              <w:rPr>
                <w:b w:val="0"/>
                <w:sz w:val="19"/>
              </w:rPr>
              <w:t>-0.638 to -0.086</w:t>
            </w:r>
          </w:p>
        </w:tc>
        <w:tc>
          <w:tcPr>
            <w:tcW w:type="dxa" w:w="1728"/>
            <w:vAlign w:val="center"/>
            <w:shd w:fill="F7F8F9"/>
          </w:tcPr>
          <w:p>
            <w:pPr>
              <w:keepNext w:val="0"/>
              <w:spacing w:after="0" w:before="0" w:line="245" w:lineRule="auto"/>
              <w:jc w:val="center"/>
            </w:pPr>
            <w:r>
              <w:rPr>
                <w:b w:val="0"/>
                <w:sz w:val="19"/>
              </w:rPr>
              <w:t>0.886</w:t>
            </w:r>
          </w:p>
        </w:tc>
      </w:tr>
      <w:tr>
        <w:trPr>
          <w:cantSplit/>
        </w:trPr>
        <w:tc>
          <w:tcPr>
            <w:tcW w:type="dxa" w:w="3240"/>
            <w:vAlign w:val="center"/>
            <w:shd w:fill="FFFFFF"/>
          </w:tcPr>
          <w:p>
            <w:pPr>
              <w:keepNext w:val="0"/>
              <w:spacing w:after="0" w:before="0" w:line="245" w:lineRule="auto"/>
              <w:jc w:val="left"/>
            </w:pPr>
            <w:r>
              <w:rPr>
                <w:b w:val="0"/>
                <w:sz w:val="19"/>
              </w:rPr>
              <w:t>Stanza count</w:t>
            </w:r>
          </w:p>
        </w:tc>
        <w:tc>
          <w:tcPr>
            <w:tcW w:type="dxa" w:w="1512"/>
            <w:vAlign w:val="center"/>
            <w:shd w:fill="FFFFFF"/>
          </w:tcPr>
          <w:p>
            <w:pPr>
              <w:keepNext w:val="0"/>
              <w:spacing w:after="0" w:before="0" w:line="245" w:lineRule="auto"/>
              <w:jc w:val="center"/>
            </w:pPr>
            <w:r>
              <w:rPr>
                <w:b w:val="0"/>
                <w:sz w:val="19"/>
              </w:rPr>
              <w:t>-0.314</w:t>
            </w:r>
          </w:p>
        </w:tc>
        <w:tc>
          <w:tcPr>
            <w:tcW w:type="dxa" w:w="2880"/>
            <w:vAlign w:val="center"/>
            <w:shd w:fill="FFFFFF"/>
          </w:tcPr>
          <w:p>
            <w:pPr>
              <w:keepNext w:val="0"/>
              <w:spacing w:after="0" w:before="0" w:line="245" w:lineRule="auto"/>
              <w:jc w:val="center"/>
            </w:pPr>
            <w:r>
              <w:rPr>
                <w:b w:val="0"/>
                <w:sz w:val="19"/>
              </w:rPr>
              <w:t>-0.600 to -0.029</w:t>
            </w:r>
          </w:p>
        </w:tc>
        <w:tc>
          <w:tcPr>
            <w:tcW w:type="dxa" w:w="1728"/>
            <w:vAlign w:val="center"/>
            <w:shd w:fill="FFFFFF"/>
          </w:tcPr>
          <w:p>
            <w:pPr>
              <w:keepNext w:val="0"/>
              <w:spacing w:after="0" w:before="0" w:line="245" w:lineRule="auto"/>
              <w:jc w:val="center"/>
            </w:pPr>
            <w:r>
              <w:rPr>
                <w:b w:val="0"/>
                <w:sz w:val="19"/>
              </w:rPr>
              <w:t>0.833</w:t>
            </w:r>
          </w:p>
        </w:tc>
      </w:tr>
      <w:tr>
        <w:trPr>
          <w:cantSplit/>
        </w:trPr>
        <w:tc>
          <w:tcPr>
            <w:tcW w:type="dxa" w:w="3240"/>
            <w:vAlign w:val="center"/>
            <w:shd w:fill="F7F8F9"/>
          </w:tcPr>
          <w:p>
            <w:pPr>
              <w:keepNext w:val="0"/>
              <w:spacing w:after="0" w:before="0" w:line="245" w:lineRule="auto"/>
              <w:jc w:val="left"/>
            </w:pPr>
            <w:r>
              <w:rPr>
                <w:b w:val="0"/>
                <w:sz w:val="19"/>
              </w:rPr>
              <w:t>Mean words per line</w:t>
            </w:r>
          </w:p>
        </w:tc>
        <w:tc>
          <w:tcPr>
            <w:tcW w:type="dxa" w:w="1512"/>
            <w:vAlign w:val="center"/>
            <w:shd w:fill="F7F8F9"/>
          </w:tcPr>
          <w:p>
            <w:pPr>
              <w:keepNext w:val="0"/>
              <w:spacing w:after="0" w:before="0" w:line="245" w:lineRule="auto"/>
              <w:jc w:val="center"/>
            </w:pPr>
            <w:r>
              <w:rPr>
                <w:b w:val="0"/>
                <w:sz w:val="19"/>
              </w:rPr>
              <w:t>0.829</w:t>
            </w:r>
          </w:p>
        </w:tc>
        <w:tc>
          <w:tcPr>
            <w:tcW w:type="dxa" w:w="2880"/>
            <w:vAlign w:val="center"/>
            <w:shd w:fill="F7F8F9"/>
          </w:tcPr>
          <w:p>
            <w:pPr>
              <w:keepNext w:val="0"/>
              <w:spacing w:after="0" w:before="0" w:line="245" w:lineRule="auto"/>
              <w:jc w:val="center"/>
            </w:pPr>
            <w:r>
              <w:rPr>
                <w:b w:val="0"/>
                <w:sz w:val="19"/>
              </w:rPr>
              <w:t>0.657 to 1.000</w:t>
            </w:r>
          </w:p>
        </w:tc>
        <w:tc>
          <w:tcPr>
            <w:tcW w:type="dxa" w:w="1728"/>
            <w:vAlign w:val="center"/>
            <w:shd w:fill="F7F8F9"/>
          </w:tcPr>
          <w:p>
            <w:pPr>
              <w:keepNext w:val="0"/>
              <w:spacing w:after="0" w:before="0" w:line="245" w:lineRule="auto"/>
              <w:jc w:val="center"/>
            </w:pPr>
            <w:r>
              <w:rPr>
                <w:b w:val="0"/>
                <w:sz w:val="19"/>
              </w:rPr>
              <w:t>0.943</w:t>
            </w:r>
          </w:p>
        </w:tc>
      </w:tr>
      <w:tr>
        <w:trPr>
          <w:cantSplit/>
        </w:trPr>
        <w:tc>
          <w:tcPr>
            <w:tcW w:type="dxa" w:w="3240"/>
            <w:vAlign w:val="center"/>
            <w:shd w:fill="FFFFFF"/>
          </w:tcPr>
          <w:p>
            <w:pPr>
              <w:keepNext w:val="0"/>
              <w:spacing w:after="0" w:before="0" w:line="245" w:lineRule="auto"/>
              <w:jc w:val="left"/>
            </w:pPr>
            <w:r>
              <w:rPr>
                <w:b w:val="0"/>
                <w:sz w:val="19"/>
              </w:rPr>
              <w:t>SD of words per line</w:t>
            </w:r>
          </w:p>
        </w:tc>
        <w:tc>
          <w:tcPr>
            <w:tcW w:type="dxa" w:w="1512"/>
            <w:vAlign w:val="center"/>
            <w:shd w:fill="FFFFFF"/>
          </w:tcPr>
          <w:p>
            <w:pPr>
              <w:keepNext w:val="0"/>
              <w:spacing w:after="0" w:before="0" w:line="245" w:lineRule="auto"/>
              <w:jc w:val="center"/>
            </w:pPr>
            <w:r>
              <w:rPr>
                <w:b w:val="0"/>
                <w:sz w:val="19"/>
              </w:rPr>
              <w:t>0.600</w:t>
            </w:r>
          </w:p>
        </w:tc>
        <w:tc>
          <w:tcPr>
            <w:tcW w:type="dxa" w:w="2880"/>
            <w:vAlign w:val="center"/>
            <w:shd w:fill="FFFFFF"/>
          </w:tcPr>
          <w:p>
            <w:pPr>
              <w:keepNext w:val="0"/>
              <w:spacing w:after="0" w:before="0" w:line="245" w:lineRule="auto"/>
              <w:jc w:val="center"/>
            </w:pPr>
            <w:r>
              <w:rPr>
                <w:b w:val="0"/>
                <w:sz w:val="19"/>
              </w:rPr>
              <w:t>0.086 to 0.829</w:t>
            </w:r>
          </w:p>
        </w:tc>
        <w:tc>
          <w:tcPr>
            <w:tcW w:type="dxa" w:w="1728"/>
            <w:vAlign w:val="center"/>
            <w:shd w:fill="FFFFFF"/>
          </w:tcPr>
          <w:p>
            <w:pPr>
              <w:keepNext w:val="0"/>
              <w:spacing w:after="0" w:before="0" w:line="245" w:lineRule="auto"/>
              <w:jc w:val="center"/>
            </w:pPr>
            <w:r>
              <w:rPr>
                <w:b w:val="0"/>
                <w:sz w:val="19"/>
              </w:rPr>
              <w:t>-0.029</w:t>
            </w:r>
          </w:p>
        </w:tc>
      </w:tr>
      <w:tr>
        <w:trPr>
          <w:cantSplit/>
        </w:trPr>
        <w:tc>
          <w:tcPr>
            <w:tcW w:type="dxa" w:w="3240"/>
            <w:vAlign w:val="center"/>
            <w:shd w:fill="F7F8F9"/>
          </w:tcPr>
          <w:p>
            <w:pPr>
              <w:keepNext w:val="0"/>
              <w:spacing w:after="0" w:before="0" w:line="245" w:lineRule="auto"/>
              <w:jc w:val="left"/>
            </w:pPr>
            <w:r>
              <w:rPr>
                <w:b w:val="0"/>
                <w:sz w:val="19"/>
              </w:rPr>
              <w:t>Mean word length</w:t>
            </w:r>
          </w:p>
        </w:tc>
        <w:tc>
          <w:tcPr>
            <w:tcW w:type="dxa" w:w="1512"/>
            <w:vAlign w:val="center"/>
            <w:shd w:fill="F7F8F9"/>
          </w:tcPr>
          <w:p>
            <w:pPr>
              <w:keepNext w:val="0"/>
              <w:spacing w:after="0" w:before="0" w:line="245" w:lineRule="auto"/>
              <w:jc w:val="center"/>
            </w:pPr>
            <w:r>
              <w:rPr>
                <w:b w:val="0"/>
                <w:sz w:val="19"/>
              </w:rPr>
              <w:t>0.371</w:t>
            </w:r>
          </w:p>
        </w:tc>
        <w:tc>
          <w:tcPr>
            <w:tcW w:type="dxa" w:w="2880"/>
            <w:vAlign w:val="center"/>
            <w:shd w:fill="F7F8F9"/>
          </w:tcPr>
          <w:p>
            <w:pPr>
              <w:keepNext w:val="0"/>
              <w:spacing w:after="0" w:before="0" w:line="245" w:lineRule="auto"/>
              <w:jc w:val="center"/>
            </w:pPr>
            <w:r>
              <w:rPr>
                <w:b w:val="0"/>
                <w:sz w:val="19"/>
              </w:rPr>
              <w:t>0.257 to 0.600</w:t>
            </w:r>
          </w:p>
        </w:tc>
        <w:tc>
          <w:tcPr>
            <w:tcW w:type="dxa" w:w="1728"/>
            <w:vAlign w:val="center"/>
            <w:shd w:fill="F7F8F9"/>
          </w:tcPr>
          <w:p>
            <w:pPr>
              <w:keepNext w:val="0"/>
              <w:spacing w:after="0" w:before="0" w:line="245" w:lineRule="auto"/>
              <w:jc w:val="center"/>
            </w:pPr>
            <w:r>
              <w:rPr>
                <w:b w:val="0"/>
                <w:sz w:val="19"/>
              </w:rPr>
              <w:t>0.371</w:t>
            </w:r>
          </w:p>
        </w:tc>
      </w:tr>
      <w:tr>
        <w:trPr>
          <w:cantSplit/>
        </w:trPr>
        <w:tc>
          <w:tcPr>
            <w:tcW w:type="dxa" w:w="3240"/>
            <w:vAlign w:val="center"/>
            <w:shd w:fill="FFFFFF"/>
          </w:tcPr>
          <w:p>
            <w:pPr>
              <w:keepNext w:val="0"/>
              <w:spacing w:after="0" w:before="0" w:line="245" w:lineRule="auto"/>
              <w:jc w:val="left"/>
            </w:pPr>
            <w:r>
              <w:rPr>
                <w:b w:val="0"/>
                <w:sz w:val="19"/>
              </w:rPr>
              <w:t>Noun ratio</w:t>
            </w:r>
          </w:p>
        </w:tc>
        <w:tc>
          <w:tcPr>
            <w:tcW w:type="dxa" w:w="1512"/>
            <w:vAlign w:val="center"/>
            <w:shd w:fill="FFFFFF"/>
          </w:tcPr>
          <w:p>
            <w:pPr>
              <w:keepNext w:val="0"/>
              <w:spacing w:after="0" w:before="0" w:line="245" w:lineRule="auto"/>
              <w:jc w:val="center"/>
            </w:pPr>
            <w:r>
              <w:rPr>
                <w:b w:val="0"/>
                <w:sz w:val="19"/>
              </w:rPr>
              <w:t>0.600</w:t>
            </w:r>
          </w:p>
        </w:tc>
        <w:tc>
          <w:tcPr>
            <w:tcW w:type="dxa" w:w="2880"/>
            <w:vAlign w:val="center"/>
            <w:shd w:fill="FFFFFF"/>
          </w:tcPr>
          <w:p>
            <w:pPr>
              <w:keepNext w:val="0"/>
              <w:spacing w:after="0" w:before="0" w:line="245" w:lineRule="auto"/>
              <w:jc w:val="center"/>
            </w:pPr>
            <w:r>
              <w:rPr>
                <w:b w:val="0"/>
                <w:sz w:val="19"/>
              </w:rPr>
              <w:t>0.086 to 0.714</w:t>
            </w:r>
          </w:p>
        </w:tc>
        <w:tc>
          <w:tcPr>
            <w:tcW w:type="dxa" w:w="1728"/>
            <w:vAlign w:val="center"/>
            <w:shd w:fill="FFFFFF"/>
          </w:tcPr>
          <w:p>
            <w:pPr>
              <w:keepNext w:val="0"/>
              <w:spacing w:after="0" w:before="0" w:line="245" w:lineRule="auto"/>
              <w:jc w:val="center"/>
            </w:pPr>
            <w:r>
              <w:rPr>
                <w:b w:val="0"/>
                <w:sz w:val="19"/>
              </w:rPr>
              <w:t>0.371</w:t>
            </w:r>
          </w:p>
        </w:tc>
      </w:tr>
      <w:tr>
        <w:trPr>
          <w:cantSplit/>
        </w:trPr>
        <w:tc>
          <w:tcPr>
            <w:tcW w:type="dxa" w:w="3240"/>
            <w:vAlign w:val="center"/>
            <w:shd w:fill="F7F8F9"/>
          </w:tcPr>
          <w:p>
            <w:pPr>
              <w:keepNext w:val="0"/>
              <w:spacing w:after="0" w:before="0" w:line="245" w:lineRule="auto"/>
              <w:jc w:val="left"/>
            </w:pPr>
            <w:r>
              <w:rPr>
                <w:b w:val="0"/>
                <w:sz w:val="19"/>
              </w:rPr>
              <w:t>Verb ratio</w:t>
            </w:r>
          </w:p>
        </w:tc>
        <w:tc>
          <w:tcPr>
            <w:tcW w:type="dxa" w:w="1512"/>
            <w:vAlign w:val="center"/>
            <w:shd w:fill="F7F8F9"/>
          </w:tcPr>
          <w:p>
            <w:pPr>
              <w:keepNext w:val="0"/>
              <w:spacing w:after="0" w:before="0" w:line="245" w:lineRule="auto"/>
              <w:jc w:val="center"/>
            </w:pPr>
            <w:r>
              <w:rPr>
                <w:b w:val="0"/>
                <w:sz w:val="19"/>
              </w:rPr>
              <w:t>0.714</w:t>
            </w:r>
          </w:p>
        </w:tc>
        <w:tc>
          <w:tcPr>
            <w:tcW w:type="dxa" w:w="2880"/>
            <w:vAlign w:val="center"/>
            <w:shd w:fill="F7F8F9"/>
          </w:tcPr>
          <w:p>
            <w:pPr>
              <w:keepNext w:val="0"/>
              <w:spacing w:after="0" w:before="0" w:line="245" w:lineRule="auto"/>
              <w:jc w:val="center"/>
            </w:pPr>
            <w:r>
              <w:rPr>
                <w:b w:val="0"/>
                <w:sz w:val="19"/>
              </w:rPr>
              <w:t>-0.371 to 0.886</w:t>
            </w:r>
          </w:p>
        </w:tc>
        <w:tc>
          <w:tcPr>
            <w:tcW w:type="dxa" w:w="1728"/>
            <w:vAlign w:val="center"/>
            <w:shd w:fill="F7F8F9"/>
          </w:tcPr>
          <w:p>
            <w:pPr>
              <w:keepNext w:val="0"/>
              <w:spacing w:after="0" w:before="0" w:line="245" w:lineRule="auto"/>
              <w:jc w:val="center"/>
            </w:pPr>
            <w:r>
              <w:rPr>
                <w:b w:val="0"/>
                <w:sz w:val="19"/>
              </w:rPr>
              <w:t>-0.029</w:t>
            </w:r>
          </w:p>
        </w:tc>
      </w:tr>
      <w:tr>
        <w:trPr>
          <w:cantSplit/>
        </w:trPr>
        <w:tc>
          <w:tcPr>
            <w:tcW w:type="dxa" w:w="3240"/>
            <w:vAlign w:val="center"/>
            <w:shd w:fill="FFFFFF"/>
          </w:tcPr>
          <w:p>
            <w:pPr>
              <w:keepNext w:val="0"/>
              <w:spacing w:after="0" w:before="0" w:line="245" w:lineRule="auto"/>
              <w:jc w:val="left"/>
            </w:pPr>
            <w:r>
              <w:rPr>
                <w:b w:val="0"/>
                <w:sz w:val="19"/>
              </w:rPr>
              <w:t>Adjective ratio</w:t>
            </w:r>
          </w:p>
        </w:tc>
        <w:tc>
          <w:tcPr>
            <w:tcW w:type="dxa" w:w="1512"/>
            <w:vAlign w:val="center"/>
            <w:shd w:fill="FFFFFF"/>
          </w:tcPr>
          <w:p>
            <w:pPr>
              <w:keepNext w:val="0"/>
              <w:spacing w:after="0" w:before="0" w:line="245" w:lineRule="auto"/>
              <w:jc w:val="center"/>
            </w:pPr>
            <w:r>
              <w:rPr>
                <w:b w:val="0"/>
                <w:sz w:val="19"/>
              </w:rPr>
              <w:t>0.543</w:t>
            </w:r>
          </w:p>
        </w:tc>
        <w:tc>
          <w:tcPr>
            <w:tcW w:type="dxa" w:w="2880"/>
            <w:vAlign w:val="center"/>
            <w:shd w:fill="FFFFFF"/>
          </w:tcPr>
          <w:p>
            <w:pPr>
              <w:keepNext w:val="0"/>
              <w:spacing w:after="0" w:before="0" w:line="245" w:lineRule="auto"/>
              <w:jc w:val="center"/>
            </w:pPr>
            <w:r>
              <w:rPr>
                <w:b w:val="0"/>
                <w:sz w:val="19"/>
              </w:rPr>
              <w:t>0.314 to 0.943</w:t>
            </w:r>
          </w:p>
        </w:tc>
        <w:tc>
          <w:tcPr>
            <w:tcW w:type="dxa" w:w="1728"/>
            <w:vAlign w:val="center"/>
            <w:shd w:fill="FFFFFF"/>
          </w:tcPr>
          <w:p>
            <w:pPr>
              <w:keepNext w:val="0"/>
              <w:spacing w:after="0" w:before="0" w:line="245" w:lineRule="auto"/>
              <w:jc w:val="center"/>
            </w:pPr>
            <w:r>
              <w:rPr>
                <w:b w:val="0"/>
                <w:sz w:val="19"/>
              </w:rPr>
              <w:t>0.429</w:t>
            </w:r>
          </w:p>
        </w:tc>
      </w:tr>
      <w:tr>
        <w:trPr>
          <w:cantSplit/>
        </w:trPr>
        <w:tc>
          <w:tcPr>
            <w:tcW w:type="dxa" w:w="3240"/>
            <w:vAlign w:val="center"/>
            <w:shd w:fill="F7F8F9"/>
          </w:tcPr>
          <w:p>
            <w:pPr>
              <w:keepNext w:val="0"/>
              <w:spacing w:after="0" w:before="0" w:line="245" w:lineRule="auto"/>
              <w:jc w:val="left"/>
            </w:pPr>
            <w:r>
              <w:rPr>
                <w:b w:val="0"/>
                <w:sz w:val="19"/>
              </w:rPr>
              <w:t>Adverb ratio</w:t>
            </w:r>
          </w:p>
        </w:tc>
        <w:tc>
          <w:tcPr>
            <w:tcW w:type="dxa" w:w="1512"/>
            <w:vAlign w:val="center"/>
            <w:shd w:fill="F7F8F9"/>
          </w:tcPr>
          <w:p>
            <w:pPr>
              <w:keepNext w:val="0"/>
              <w:spacing w:after="0" w:before="0" w:line="245" w:lineRule="auto"/>
              <w:jc w:val="center"/>
            </w:pPr>
            <w:r>
              <w:rPr>
                <w:b w:val="0"/>
                <w:sz w:val="19"/>
              </w:rPr>
              <w:t>0.086</w:t>
            </w:r>
          </w:p>
        </w:tc>
        <w:tc>
          <w:tcPr>
            <w:tcW w:type="dxa" w:w="2880"/>
            <w:vAlign w:val="center"/>
            <w:shd w:fill="F7F8F9"/>
          </w:tcPr>
          <w:p>
            <w:pPr>
              <w:keepNext w:val="0"/>
              <w:spacing w:after="0" w:before="0" w:line="245" w:lineRule="auto"/>
              <w:jc w:val="center"/>
            </w:pPr>
            <w:r>
              <w:rPr>
                <w:b w:val="0"/>
                <w:sz w:val="19"/>
              </w:rPr>
              <w:t>-0.371 to 0.600</w:t>
            </w:r>
          </w:p>
        </w:tc>
        <w:tc>
          <w:tcPr>
            <w:tcW w:type="dxa" w:w="1728"/>
            <w:vAlign w:val="center"/>
            <w:shd w:fill="F7F8F9"/>
          </w:tcPr>
          <w:p>
            <w:pPr>
              <w:keepNext w:val="0"/>
              <w:spacing w:after="0" w:before="0" w:line="245" w:lineRule="auto"/>
              <w:jc w:val="center"/>
            </w:pPr>
            <w:r>
              <w:rPr>
                <w:b w:val="0"/>
                <w:sz w:val="19"/>
              </w:rPr>
              <w:t>0.771</w:t>
            </w:r>
          </w:p>
        </w:tc>
      </w:tr>
      <w:tr>
        <w:trPr>
          <w:cantSplit/>
        </w:trPr>
        <w:tc>
          <w:tcPr>
            <w:tcW w:type="dxa" w:w="3240"/>
            <w:vAlign w:val="center"/>
            <w:shd w:fill="FFFFFF"/>
          </w:tcPr>
          <w:p>
            <w:pPr>
              <w:keepNext w:val="0"/>
              <w:spacing w:after="0" w:before="0" w:line="245" w:lineRule="auto"/>
              <w:jc w:val="left"/>
            </w:pPr>
            <w:r>
              <w:rPr>
                <w:b w:val="0"/>
                <w:sz w:val="19"/>
              </w:rPr>
              <w:t>Pronoun ratio</w:t>
            </w:r>
          </w:p>
        </w:tc>
        <w:tc>
          <w:tcPr>
            <w:tcW w:type="dxa" w:w="1512"/>
            <w:vAlign w:val="center"/>
            <w:shd w:fill="FFFFFF"/>
          </w:tcPr>
          <w:p>
            <w:pPr>
              <w:keepNext w:val="0"/>
              <w:spacing w:after="0" w:before="0" w:line="245" w:lineRule="auto"/>
              <w:jc w:val="center"/>
            </w:pPr>
            <w:r>
              <w:rPr>
                <w:b w:val="0"/>
                <w:sz w:val="19"/>
              </w:rPr>
              <w:t>0.829</w:t>
            </w:r>
          </w:p>
        </w:tc>
        <w:tc>
          <w:tcPr>
            <w:tcW w:type="dxa" w:w="2880"/>
            <w:vAlign w:val="center"/>
            <w:shd w:fill="FFFFFF"/>
          </w:tcPr>
          <w:p>
            <w:pPr>
              <w:keepNext w:val="0"/>
              <w:spacing w:after="0" w:before="0" w:line="245" w:lineRule="auto"/>
              <w:jc w:val="center"/>
            </w:pPr>
            <w:r>
              <w:rPr>
                <w:b w:val="0"/>
                <w:sz w:val="19"/>
              </w:rPr>
              <w:t>0.429 to 0.943</w:t>
            </w:r>
          </w:p>
        </w:tc>
        <w:tc>
          <w:tcPr>
            <w:tcW w:type="dxa" w:w="1728"/>
            <w:vAlign w:val="center"/>
            <w:shd w:fill="FFFFFF"/>
          </w:tcPr>
          <w:p>
            <w:pPr>
              <w:keepNext w:val="0"/>
              <w:spacing w:after="0" w:before="0" w:line="245" w:lineRule="auto"/>
              <w:jc w:val="center"/>
            </w:pPr>
            <w:r>
              <w:rPr>
                <w:b w:val="0"/>
                <w:sz w:val="19"/>
              </w:rPr>
              <w:t>0.600</w:t>
            </w:r>
          </w:p>
        </w:tc>
      </w:tr>
      <w:tr>
        <w:trPr>
          <w:cantSplit/>
        </w:trPr>
        <w:tc>
          <w:tcPr>
            <w:tcW w:type="dxa" w:w="3240"/>
            <w:vAlign w:val="center"/>
            <w:shd w:fill="F7F8F9"/>
          </w:tcPr>
          <w:p>
            <w:pPr>
              <w:keepNext w:val="0"/>
              <w:spacing w:after="0" w:before="0" w:line="245" w:lineRule="auto"/>
              <w:jc w:val="left"/>
            </w:pPr>
            <w:r>
              <w:rPr>
                <w:b w:val="0"/>
                <w:sz w:val="19"/>
              </w:rPr>
              <w:t>First-person singular share</w:t>
            </w:r>
          </w:p>
        </w:tc>
        <w:tc>
          <w:tcPr>
            <w:tcW w:type="dxa" w:w="1512"/>
            <w:vAlign w:val="center"/>
            <w:shd w:fill="F7F8F9"/>
          </w:tcPr>
          <w:p>
            <w:pPr>
              <w:keepNext w:val="0"/>
              <w:spacing w:after="0" w:before="0" w:line="245" w:lineRule="auto"/>
              <w:jc w:val="center"/>
            </w:pPr>
            <w:r>
              <w:rPr>
                <w:b w:val="0"/>
                <w:sz w:val="19"/>
              </w:rPr>
              <w:t>0.314</w:t>
            </w:r>
          </w:p>
        </w:tc>
        <w:tc>
          <w:tcPr>
            <w:tcW w:type="dxa" w:w="2880"/>
            <w:vAlign w:val="center"/>
            <w:shd w:fill="F7F8F9"/>
          </w:tcPr>
          <w:p>
            <w:pPr>
              <w:keepNext w:val="0"/>
              <w:spacing w:after="0" w:before="0" w:line="245" w:lineRule="auto"/>
              <w:jc w:val="center"/>
            </w:pPr>
            <w:r>
              <w:rPr>
                <w:b w:val="0"/>
                <w:sz w:val="19"/>
              </w:rPr>
              <w:t>0.058 to 0.771</w:t>
            </w:r>
          </w:p>
        </w:tc>
        <w:tc>
          <w:tcPr>
            <w:tcW w:type="dxa" w:w="1728"/>
            <w:vAlign w:val="center"/>
            <w:shd w:fill="F7F8F9"/>
          </w:tcPr>
          <w:p>
            <w:pPr>
              <w:keepNext w:val="0"/>
              <w:spacing w:after="0" w:before="0" w:line="245" w:lineRule="auto"/>
              <w:jc w:val="center"/>
            </w:pPr>
            <w:r>
              <w:rPr>
                <w:b w:val="0"/>
                <w:sz w:val="19"/>
              </w:rPr>
              <w:t>0.143</w:t>
            </w:r>
          </w:p>
        </w:tc>
      </w:tr>
      <w:tr>
        <w:trPr>
          <w:cantSplit/>
        </w:trPr>
        <w:tc>
          <w:tcPr>
            <w:tcW w:type="dxa" w:w="3240"/>
            <w:vAlign w:val="center"/>
            <w:shd w:fill="FFFFFF"/>
          </w:tcPr>
          <w:p>
            <w:pPr>
              <w:keepNext w:val="0"/>
              <w:spacing w:after="0" w:before="0" w:line="245" w:lineRule="auto"/>
              <w:jc w:val="left"/>
            </w:pPr>
            <w:r>
              <w:rPr>
                <w:b w:val="0"/>
                <w:sz w:val="19"/>
              </w:rPr>
              <w:t>First-person plural share</w:t>
            </w:r>
          </w:p>
        </w:tc>
        <w:tc>
          <w:tcPr>
            <w:tcW w:type="dxa" w:w="1512"/>
            <w:vAlign w:val="center"/>
            <w:shd w:fill="FFFFFF"/>
          </w:tcPr>
          <w:p>
            <w:pPr>
              <w:keepNext w:val="0"/>
              <w:spacing w:after="0" w:before="0" w:line="245" w:lineRule="auto"/>
              <w:jc w:val="center"/>
            </w:pPr>
            <w:r>
              <w:rPr>
                <w:b w:val="0"/>
                <w:sz w:val="19"/>
              </w:rPr>
              <w:t>0.714</w:t>
            </w:r>
          </w:p>
        </w:tc>
        <w:tc>
          <w:tcPr>
            <w:tcW w:type="dxa" w:w="2880"/>
            <w:vAlign w:val="center"/>
            <w:shd w:fill="FFFFFF"/>
          </w:tcPr>
          <w:p>
            <w:pPr>
              <w:keepNext w:val="0"/>
              <w:spacing w:after="0" w:before="0" w:line="245" w:lineRule="auto"/>
              <w:jc w:val="center"/>
            </w:pPr>
            <w:r>
              <w:rPr>
                <w:b w:val="0"/>
                <w:sz w:val="19"/>
              </w:rPr>
              <w:t>0.314 to 1.000</w:t>
            </w:r>
          </w:p>
        </w:tc>
        <w:tc>
          <w:tcPr>
            <w:tcW w:type="dxa" w:w="1728"/>
            <w:vAlign w:val="center"/>
            <w:shd w:fill="FFFFFF"/>
          </w:tcPr>
          <w:p>
            <w:pPr>
              <w:keepNext w:val="0"/>
              <w:spacing w:after="0" w:before="0" w:line="245" w:lineRule="auto"/>
              <w:jc w:val="center"/>
            </w:pPr>
            <w:r>
              <w:rPr>
                <w:b w:val="0"/>
                <w:sz w:val="19"/>
              </w:rPr>
              <w:t>0.771</w:t>
            </w:r>
          </w:p>
        </w:tc>
      </w:tr>
      <w:tr>
        <w:trPr>
          <w:cantSplit/>
        </w:trPr>
        <w:tc>
          <w:tcPr>
            <w:tcW w:type="dxa" w:w="3240"/>
            <w:vAlign w:val="center"/>
            <w:shd w:fill="F7F8F9"/>
          </w:tcPr>
          <w:p>
            <w:pPr>
              <w:keepNext w:val="0"/>
              <w:spacing w:after="0" w:before="0" w:line="245" w:lineRule="auto"/>
              <w:jc w:val="left"/>
            </w:pPr>
            <w:r>
              <w:rPr>
                <w:b w:val="0"/>
                <w:sz w:val="19"/>
              </w:rPr>
              <w:t>Second-person share</w:t>
            </w:r>
          </w:p>
        </w:tc>
        <w:tc>
          <w:tcPr>
            <w:tcW w:type="dxa" w:w="1512"/>
            <w:vAlign w:val="center"/>
            <w:shd w:fill="F7F8F9"/>
          </w:tcPr>
          <w:p>
            <w:pPr>
              <w:keepNext w:val="0"/>
              <w:spacing w:after="0" w:before="0" w:line="245" w:lineRule="auto"/>
              <w:jc w:val="center"/>
            </w:pPr>
            <w:r>
              <w:rPr>
                <w:b w:val="0"/>
                <w:sz w:val="19"/>
              </w:rPr>
              <w:t>0.314</w:t>
            </w:r>
          </w:p>
        </w:tc>
        <w:tc>
          <w:tcPr>
            <w:tcW w:type="dxa" w:w="2880"/>
            <w:vAlign w:val="center"/>
            <w:shd w:fill="F7F8F9"/>
          </w:tcPr>
          <w:p>
            <w:pPr>
              <w:keepNext w:val="0"/>
              <w:spacing w:after="0" w:before="0" w:line="245" w:lineRule="auto"/>
              <w:jc w:val="center"/>
            </w:pPr>
            <w:r>
              <w:rPr>
                <w:b w:val="0"/>
                <w:sz w:val="19"/>
              </w:rPr>
              <w:t>-0.600 to 0.771</w:t>
            </w:r>
          </w:p>
        </w:tc>
        <w:tc>
          <w:tcPr>
            <w:tcW w:type="dxa" w:w="1728"/>
            <w:vAlign w:val="center"/>
            <w:shd w:fill="F7F8F9"/>
          </w:tcPr>
          <w:p>
            <w:pPr>
              <w:keepNext w:val="0"/>
              <w:spacing w:after="0" w:before="0" w:line="245" w:lineRule="auto"/>
              <w:jc w:val="center"/>
            </w:pPr>
            <w:r>
              <w:rPr>
                <w:b w:val="0"/>
                <w:sz w:val="19"/>
              </w:rPr>
              <w:t>-0.500</w:t>
            </w:r>
          </w:p>
        </w:tc>
      </w:tr>
      <w:tr>
        <w:trPr>
          <w:cantSplit/>
        </w:trPr>
        <w:tc>
          <w:tcPr>
            <w:tcW w:type="dxa" w:w="3240"/>
            <w:vAlign w:val="center"/>
            <w:shd w:fill="FFFFFF"/>
          </w:tcPr>
          <w:p>
            <w:pPr>
              <w:keepNext w:val="0"/>
              <w:spacing w:after="0" w:before="0" w:line="245" w:lineRule="auto"/>
              <w:jc w:val="left"/>
            </w:pPr>
            <w:r>
              <w:rPr>
                <w:b w:val="0"/>
                <w:sz w:val="19"/>
              </w:rPr>
              <w:t>Third-person share</w:t>
            </w:r>
          </w:p>
        </w:tc>
        <w:tc>
          <w:tcPr>
            <w:tcW w:type="dxa" w:w="1512"/>
            <w:vAlign w:val="center"/>
            <w:shd w:fill="FFFFFF"/>
          </w:tcPr>
          <w:p>
            <w:pPr>
              <w:keepNext w:val="0"/>
              <w:spacing w:after="0" w:before="0" w:line="245" w:lineRule="auto"/>
              <w:jc w:val="center"/>
            </w:pPr>
            <w:r>
              <w:rPr>
                <w:b w:val="0"/>
                <w:sz w:val="19"/>
              </w:rPr>
              <w:t>-0.143</w:t>
            </w:r>
          </w:p>
        </w:tc>
        <w:tc>
          <w:tcPr>
            <w:tcW w:type="dxa" w:w="2880"/>
            <w:vAlign w:val="center"/>
            <w:shd w:fill="FFFFFF"/>
          </w:tcPr>
          <w:p>
            <w:pPr>
              <w:keepNext w:val="0"/>
              <w:spacing w:after="0" w:before="0" w:line="245" w:lineRule="auto"/>
              <w:jc w:val="center"/>
            </w:pPr>
            <w:r>
              <w:rPr>
                <w:b w:val="0"/>
                <w:sz w:val="19"/>
              </w:rPr>
              <w:t>-0.543 to 0.429</w:t>
            </w:r>
          </w:p>
        </w:tc>
        <w:tc>
          <w:tcPr>
            <w:tcW w:type="dxa" w:w="1728"/>
            <w:vAlign w:val="center"/>
            <w:shd w:fill="FFFFFF"/>
          </w:tcPr>
          <w:p>
            <w:pPr>
              <w:keepNext w:val="0"/>
              <w:spacing w:after="0" w:before="0" w:line="245" w:lineRule="auto"/>
              <w:jc w:val="center"/>
            </w:pPr>
            <w:r>
              <w:rPr>
                <w:b w:val="0"/>
                <w:sz w:val="19"/>
              </w:rPr>
              <w:t>-0.086</w:t>
            </w:r>
          </w:p>
        </w:tc>
      </w:tr>
      <w:tr>
        <w:trPr>
          <w:cantSplit/>
        </w:trPr>
        <w:tc>
          <w:tcPr>
            <w:tcW w:type="dxa" w:w="3240"/>
            <w:vAlign w:val="center"/>
            <w:shd w:fill="F7F8F9"/>
          </w:tcPr>
          <w:p>
            <w:pPr>
              <w:keepNext w:val="0"/>
              <w:spacing w:after="0" w:before="0" w:line="245" w:lineRule="auto"/>
              <w:jc w:val="left"/>
            </w:pPr>
            <w:r>
              <w:rPr>
                <w:b w:val="0"/>
                <w:sz w:val="19"/>
              </w:rPr>
              <w:t>Em-dash rate</w:t>
            </w:r>
          </w:p>
        </w:tc>
        <w:tc>
          <w:tcPr>
            <w:tcW w:type="dxa" w:w="1512"/>
            <w:vAlign w:val="center"/>
            <w:shd w:fill="F7F8F9"/>
          </w:tcPr>
          <w:p>
            <w:pPr>
              <w:keepNext w:val="0"/>
              <w:spacing w:after="0" w:before="0" w:line="245" w:lineRule="auto"/>
              <w:jc w:val="center"/>
            </w:pPr>
            <w:r>
              <w:rPr>
                <w:b w:val="0"/>
                <w:sz w:val="19"/>
              </w:rPr>
              <w:t>0.829</w:t>
            </w:r>
          </w:p>
        </w:tc>
        <w:tc>
          <w:tcPr>
            <w:tcW w:type="dxa" w:w="2880"/>
            <w:vAlign w:val="center"/>
            <w:shd w:fill="F7F8F9"/>
          </w:tcPr>
          <w:p>
            <w:pPr>
              <w:keepNext w:val="0"/>
              <w:spacing w:after="0" w:before="0" w:line="245" w:lineRule="auto"/>
              <w:jc w:val="center"/>
            </w:pPr>
            <w:r>
              <w:rPr>
                <w:b w:val="0"/>
                <w:sz w:val="19"/>
              </w:rPr>
              <w:t>0.600 to 0.943</w:t>
            </w:r>
          </w:p>
        </w:tc>
        <w:tc>
          <w:tcPr>
            <w:tcW w:type="dxa" w:w="1728"/>
            <w:vAlign w:val="center"/>
            <w:shd w:fill="F7F8F9"/>
          </w:tcPr>
          <w:p>
            <w:pPr>
              <w:keepNext w:val="0"/>
              <w:spacing w:after="0" w:before="0" w:line="245" w:lineRule="auto"/>
              <w:jc w:val="center"/>
            </w:pPr>
            <w:r>
              <w:rPr>
                <w:b w:val="0"/>
                <w:sz w:val="19"/>
              </w:rPr>
              <w:t>0.986</w:t>
            </w:r>
          </w:p>
        </w:tc>
      </w:tr>
      <w:tr>
        <w:trPr>
          <w:cantSplit/>
        </w:trPr>
        <w:tc>
          <w:tcPr>
            <w:tcW w:type="dxa" w:w="3240"/>
            <w:vAlign w:val="center"/>
            <w:shd w:fill="FFFFFF"/>
          </w:tcPr>
          <w:p>
            <w:pPr>
              <w:keepNext w:val="0"/>
              <w:spacing w:after="0" w:before="0" w:line="245" w:lineRule="auto"/>
              <w:jc w:val="left"/>
            </w:pPr>
            <w:r>
              <w:rPr>
                <w:b w:val="0"/>
                <w:sz w:val="19"/>
              </w:rPr>
              <w:t>Semicolon rate</w:t>
            </w:r>
          </w:p>
        </w:tc>
        <w:tc>
          <w:tcPr>
            <w:tcW w:type="dxa" w:w="1512"/>
            <w:vAlign w:val="center"/>
            <w:shd w:fill="FFFFFF"/>
          </w:tcPr>
          <w:p>
            <w:pPr>
              <w:keepNext w:val="0"/>
              <w:spacing w:after="0" w:before="0" w:line="245" w:lineRule="auto"/>
              <w:jc w:val="center"/>
            </w:pPr>
            <w:r>
              <w:rPr>
                <w:b w:val="0"/>
                <w:sz w:val="19"/>
              </w:rPr>
              <w:t>0.986</w:t>
            </w:r>
          </w:p>
        </w:tc>
        <w:tc>
          <w:tcPr>
            <w:tcW w:type="dxa" w:w="2880"/>
            <w:vAlign w:val="center"/>
            <w:shd w:fill="FFFFFF"/>
          </w:tcPr>
          <w:p>
            <w:pPr>
              <w:keepNext w:val="0"/>
              <w:spacing w:after="0" w:before="0" w:line="245" w:lineRule="auto"/>
              <w:jc w:val="center"/>
            </w:pPr>
            <w:r>
              <w:rPr>
                <w:b w:val="0"/>
                <w:sz w:val="19"/>
              </w:rPr>
              <w:t>0.820 to 0.986</w:t>
            </w:r>
          </w:p>
        </w:tc>
        <w:tc>
          <w:tcPr>
            <w:tcW w:type="dxa" w:w="1728"/>
            <w:vAlign w:val="center"/>
            <w:shd w:fill="FFFFFF"/>
          </w:tcPr>
          <w:p>
            <w:pPr>
              <w:keepNext w:val="0"/>
              <w:spacing w:after="0" w:before="0" w:line="245" w:lineRule="auto"/>
              <w:jc w:val="center"/>
            </w:pPr>
            <w:r>
              <w:rPr>
                <w:b w:val="0"/>
                <w:sz w:val="19"/>
              </w:rPr>
              <w:t>0.986</w:t>
            </w:r>
          </w:p>
        </w:tc>
      </w:tr>
      <w:tr>
        <w:trPr>
          <w:cantSplit/>
        </w:trPr>
        <w:tc>
          <w:tcPr>
            <w:tcW w:type="dxa" w:w="3240"/>
            <w:vAlign w:val="center"/>
            <w:shd w:fill="F7F8F9"/>
          </w:tcPr>
          <w:p>
            <w:pPr>
              <w:keepNext w:val="0"/>
              <w:spacing w:after="0" w:before="0" w:line="245" w:lineRule="auto"/>
              <w:jc w:val="left"/>
            </w:pPr>
            <w:r>
              <w:rPr>
                <w:b w:val="0"/>
                <w:sz w:val="19"/>
              </w:rPr>
              <w:t>Colon rate</w:t>
            </w:r>
          </w:p>
        </w:tc>
        <w:tc>
          <w:tcPr>
            <w:tcW w:type="dxa" w:w="1512"/>
            <w:vAlign w:val="center"/>
            <w:shd w:fill="F7F8F9"/>
          </w:tcPr>
          <w:p>
            <w:pPr>
              <w:keepNext w:val="0"/>
              <w:spacing w:after="0" w:before="0" w:line="245" w:lineRule="auto"/>
              <w:jc w:val="center"/>
            </w:pPr>
            <w:r>
              <w:rPr>
                <w:b w:val="0"/>
                <w:sz w:val="19"/>
              </w:rPr>
              <w:t>0.200</w:t>
            </w:r>
          </w:p>
        </w:tc>
        <w:tc>
          <w:tcPr>
            <w:tcW w:type="dxa" w:w="2880"/>
            <w:vAlign w:val="center"/>
            <w:shd w:fill="F7F8F9"/>
          </w:tcPr>
          <w:p>
            <w:pPr>
              <w:keepNext w:val="0"/>
              <w:spacing w:after="0" w:before="0" w:line="245" w:lineRule="auto"/>
              <w:jc w:val="center"/>
            </w:pPr>
            <w:r>
              <w:rPr>
                <w:b w:val="0"/>
                <w:sz w:val="19"/>
              </w:rPr>
              <w:t>-0.348 to 0.543</w:t>
            </w:r>
          </w:p>
        </w:tc>
        <w:tc>
          <w:tcPr>
            <w:tcW w:type="dxa" w:w="1728"/>
            <w:vAlign w:val="center"/>
            <w:shd w:fill="F7F8F9"/>
          </w:tcPr>
          <w:p>
            <w:pPr>
              <w:keepNext w:val="0"/>
              <w:spacing w:after="0" w:before="0" w:line="245" w:lineRule="auto"/>
              <w:jc w:val="center"/>
            </w:pPr>
            <w:r>
              <w:rPr>
                <w:b w:val="0"/>
                <w:sz w:val="19"/>
              </w:rPr>
              <w:t>—</w:t>
            </w:r>
          </w:p>
        </w:tc>
      </w:tr>
      <w:tr>
        <w:trPr>
          <w:cantSplit/>
        </w:trPr>
        <w:tc>
          <w:tcPr>
            <w:tcW w:type="dxa" w:w="3240"/>
            <w:vAlign w:val="center"/>
            <w:shd w:fill="FFFFFF"/>
          </w:tcPr>
          <w:p>
            <w:pPr>
              <w:keepNext w:val="0"/>
              <w:spacing w:after="0" w:before="0" w:line="245" w:lineRule="auto"/>
              <w:jc w:val="left"/>
            </w:pPr>
            <w:r>
              <w:rPr>
                <w:b w:val="0"/>
                <w:sz w:val="19"/>
              </w:rPr>
              <w:t>Comma rate</w:t>
            </w:r>
          </w:p>
        </w:tc>
        <w:tc>
          <w:tcPr>
            <w:tcW w:type="dxa" w:w="1512"/>
            <w:vAlign w:val="center"/>
            <w:shd w:fill="FFFFFF"/>
          </w:tcPr>
          <w:p>
            <w:pPr>
              <w:keepNext w:val="0"/>
              <w:spacing w:after="0" w:before="0" w:line="245" w:lineRule="auto"/>
              <w:jc w:val="center"/>
            </w:pPr>
            <w:r>
              <w:rPr>
                <w:b w:val="0"/>
                <w:sz w:val="19"/>
              </w:rPr>
              <w:t>0.200</w:t>
            </w:r>
          </w:p>
        </w:tc>
        <w:tc>
          <w:tcPr>
            <w:tcW w:type="dxa" w:w="2880"/>
            <w:vAlign w:val="center"/>
            <w:shd w:fill="FFFFFF"/>
          </w:tcPr>
          <w:p>
            <w:pPr>
              <w:keepNext w:val="0"/>
              <w:spacing w:after="0" w:before="0" w:line="245" w:lineRule="auto"/>
              <w:jc w:val="center"/>
            </w:pPr>
            <w:r>
              <w:rPr>
                <w:b w:val="0"/>
                <w:sz w:val="19"/>
              </w:rPr>
              <w:t>-0.257 to 0.886</w:t>
            </w:r>
          </w:p>
        </w:tc>
        <w:tc>
          <w:tcPr>
            <w:tcW w:type="dxa" w:w="1728"/>
            <w:vAlign w:val="center"/>
            <w:shd w:fill="FFFFFF"/>
          </w:tcPr>
          <w:p>
            <w:pPr>
              <w:keepNext w:val="0"/>
              <w:spacing w:after="0" w:before="0" w:line="245" w:lineRule="auto"/>
              <w:jc w:val="center"/>
            </w:pPr>
            <w:r>
              <w:rPr>
                <w:b w:val="0"/>
                <w:sz w:val="19"/>
              </w:rPr>
              <w:t>0.200</w:t>
            </w:r>
          </w:p>
        </w:tc>
      </w:tr>
      <w:tr>
        <w:trPr>
          <w:cantSplit/>
        </w:trPr>
        <w:tc>
          <w:tcPr>
            <w:tcW w:type="dxa" w:w="3240"/>
            <w:vAlign w:val="center"/>
            <w:shd w:fill="F7F8F9"/>
          </w:tcPr>
          <w:p>
            <w:pPr>
              <w:keepNext w:val="0"/>
              <w:spacing w:after="0" w:before="0" w:line="245" w:lineRule="auto"/>
              <w:jc w:val="left"/>
            </w:pPr>
            <w:r>
              <w:rPr>
                <w:b w:val="0"/>
                <w:sz w:val="19"/>
              </w:rPr>
              <w:t>Exclamation rate</w:t>
            </w:r>
          </w:p>
        </w:tc>
        <w:tc>
          <w:tcPr>
            <w:tcW w:type="dxa" w:w="1512"/>
            <w:vAlign w:val="center"/>
            <w:shd w:fill="F7F8F9"/>
          </w:tcPr>
          <w:p>
            <w:pPr>
              <w:keepNext w:val="0"/>
              <w:spacing w:after="0" w:before="0" w:line="245" w:lineRule="auto"/>
              <w:jc w:val="center"/>
            </w:pPr>
            <w:r>
              <w:rPr>
                <w:b w:val="0"/>
                <w:sz w:val="19"/>
              </w:rPr>
              <w:t>-0.200</w:t>
            </w:r>
          </w:p>
        </w:tc>
        <w:tc>
          <w:tcPr>
            <w:tcW w:type="dxa" w:w="2880"/>
            <w:vAlign w:val="center"/>
            <w:shd w:fill="F7F8F9"/>
          </w:tcPr>
          <w:p>
            <w:pPr>
              <w:keepNext w:val="0"/>
              <w:spacing w:after="0" w:before="0" w:line="245" w:lineRule="auto"/>
              <w:jc w:val="center"/>
            </w:pPr>
            <w:r>
              <w:rPr>
                <w:b w:val="0"/>
                <w:sz w:val="19"/>
              </w:rPr>
              <w:t>-0.200 to -0.200</w:t>
            </w:r>
          </w:p>
        </w:tc>
        <w:tc>
          <w:tcPr>
            <w:tcW w:type="dxa" w:w="1728"/>
            <w:vAlign w:val="center"/>
            <w:shd w:fill="F7F8F9"/>
          </w:tcPr>
          <w:p>
            <w:pPr>
              <w:keepNext w:val="0"/>
              <w:spacing w:after="0" w:before="0" w:line="245" w:lineRule="auto"/>
              <w:jc w:val="center"/>
            </w:pPr>
            <w:r>
              <w:rPr>
                <w:b w:val="0"/>
                <w:sz w:val="19"/>
              </w:rPr>
              <w:t>—</w:t>
            </w:r>
          </w:p>
        </w:tc>
      </w:tr>
      <w:tr>
        <w:trPr>
          <w:cantSplit/>
        </w:trPr>
        <w:tc>
          <w:tcPr>
            <w:tcW w:type="dxa" w:w="3240"/>
            <w:vAlign w:val="center"/>
            <w:shd w:fill="FFFFFF"/>
          </w:tcPr>
          <w:p>
            <w:pPr>
              <w:keepNext w:val="0"/>
              <w:spacing w:after="0" w:before="0" w:line="245" w:lineRule="auto"/>
              <w:jc w:val="left"/>
            </w:pPr>
            <w:r>
              <w:rPr>
                <w:b w:val="0"/>
                <w:sz w:val="19"/>
              </w:rPr>
              <w:t>Question rate</w:t>
            </w:r>
          </w:p>
        </w:tc>
        <w:tc>
          <w:tcPr>
            <w:tcW w:type="dxa" w:w="1512"/>
            <w:vAlign w:val="center"/>
            <w:shd w:fill="FFFFFF"/>
          </w:tcPr>
          <w:p>
            <w:pPr>
              <w:keepNext w:val="0"/>
              <w:spacing w:after="0" w:before="0" w:line="245" w:lineRule="auto"/>
              <w:jc w:val="center"/>
            </w:pPr>
            <w:r>
              <w:rPr>
                <w:b w:val="0"/>
                <w:sz w:val="19"/>
              </w:rPr>
              <w:t>-0.034</w:t>
            </w:r>
          </w:p>
        </w:tc>
        <w:tc>
          <w:tcPr>
            <w:tcW w:type="dxa" w:w="2880"/>
            <w:vAlign w:val="center"/>
            <w:shd w:fill="FFFFFF"/>
          </w:tcPr>
          <w:p>
            <w:pPr>
              <w:keepNext w:val="0"/>
              <w:spacing w:after="0" w:before="0" w:line="245" w:lineRule="auto"/>
              <w:jc w:val="center"/>
            </w:pPr>
            <w:r>
              <w:rPr>
                <w:b w:val="0"/>
                <w:sz w:val="19"/>
              </w:rPr>
              <w:t>-0.566 to 0.440</w:t>
            </w:r>
          </w:p>
        </w:tc>
        <w:tc>
          <w:tcPr>
            <w:tcW w:type="dxa" w:w="1728"/>
            <w:vAlign w:val="center"/>
            <w:shd w:fill="FFFFFF"/>
          </w:tcPr>
          <w:p>
            <w:pPr>
              <w:keepNext w:val="0"/>
              <w:spacing w:after="0" w:before="0" w:line="245" w:lineRule="auto"/>
              <w:jc w:val="center"/>
            </w:pPr>
            <w:r>
              <w:rPr>
                <w:b w:val="0"/>
                <w:sz w:val="19"/>
              </w:rPr>
              <w:t>—</w:t>
            </w:r>
          </w:p>
        </w:tc>
      </w:tr>
      <w:tr>
        <w:trPr>
          <w:cantSplit/>
        </w:trPr>
        <w:tc>
          <w:tcPr>
            <w:tcW w:type="dxa" w:w="3240"/>
            <w:vAlign w:val="center"/>
            <w:shd w:fill="F7F8F9"/>
          </w:tcPr>
          <w:p>
            <w:pPr>
              <w:keepNext w:val="0"/>
              <w:spacing w:after="0" w:before="0" w:line="245" w:lineRule="auto"/>
              <w:jc w:val="left"/>
            </w:pPr>
            <w:r>
              <w:rPr>
                <w:b w:val="0"/>
                <w:sz w:val="19"/>
              </w:rPr>
              <w:t>Ellipsis rate</w:t>
            </w:r>
          </w:p>
        </w:tc>
        <w:tc>
          <w:tcPr>
            <w:tcW w:type="dxa" w:w="1512"/>
            <w:vAlign w:val="center"/>
            <w:shd w:fill="F7F8F9"/>
          </w:tcPr>
          <w:p>
            <w:pPr>
              <w:keepNext w:val="0"/>
              <w:spacing w:after="0" w:before="0" w:line="245" w:lineRule="auto"/>
              <w:jc w:val="center"/>
            </w:pPr>
            <w:r>
              <w:rPr>
                <w:b w:val="0"/>
                <w:sz w:val="19"/>
              </w:rPr>
              <w:t>—</w:t>
            </w:r>
          </w:p>
        </w:tc>
        <w:tc>
          <w:tcPr>
            <w:tcW w:type="dxa" w:w="2880"/>
            <w:vAlign w:val="center"/>
            <w:shd w:fill="F7F8F9"/>
          </w:tcPr>
          <w:p>
            <w:pPr>
              <w:keepNext w:val="0"/>
              <w:spacing w:after="0" w:before="0" w:line="245" w:lineRule="auto"/>
              <w:jc w:val="center"/>
            </w:pPr>
            <w:r>
              <w:rPr>
                <w:b w:val="0"/>
                <w:sz w:val="19"/>
              </w:rPr>
              <w:t>—</w:t>
            </w:r>
          </w:p>
        </w:tc>
        <w:tc>
          <w:tcPr>
            <w:tcW w:type="dxa" w:w="1728"/>
            <w:vAlign w:val="center"/>
            <w:shd w:fill="F7F8F9"/>
          </w:tcPr>
          <w:p>
            <w:pPr>
              <w:keepNext w:val="0"/>
              <w:spacing w:after="0" w:before="0" w:line="245" w:lineRule="auto"/>
              <w:jc w:val="center"/>
            </w:pPr>
            <w:r>
              <w:rPr>
                <w:b w:val="0"/>
                <w:sz w:val="19"/>
              </w:rPr>
              <w:t>—</w:t>
            </w:r>
          </w:p>
        </w:tc>
      </w:tr>
    </w:tbl>
    <w:p>
      <w:pPr>
        <w:spacing w:after="0"/>
      </w:pPr>
    </w:p>
    <w:p>
      <w:pPr>
        <w:pStyle w:val="Caption"/>
      </w:pPr>
      <w:r>
        <w:t>Table C1. Spearman correlations across six endpoint means. Full-sample intervals are archived 95% response-bootstrap intervals conditional on endpoint and prompt composition; shared-cap estimates are revision-stage exploratory point estimates with equal weighting of the 5- and 10-line means. A dash denotes an undefined correlation due to constant endpoint means in at least one study. Shared-cap restrictions also make colon, exclamation, and question correlations undefined. No interval is implied for that column.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5" w:lineRule="auto" w:after="16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associated style under distribution shift</dc:title>
  <dc:subject>Local separability and cross environment portability</dc:subject>
  <dc:creator>Bo Chesterton</dc:creator>
  <cp:keywords>stylometry; model attribution; distribution shift</cp:keywords>
  <dc:description>generated by python-docx</dc:description>
  <cp:lastModifiedBy/>
  <cp:revision>1</cp:revision>
  <dcterms:created xsi:type="dcterms:W3CDTF">2013-12-23T23:15:00Z</dcterms:created>
  <dcterms:modified xsi:type="dcterms:W3CDTF">2013-12-23T23:15:00Z</dcterms:modified>
  <cp:category/>
</cp:coreProperties>
</file>