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Garamond" w:hAnsi="Garamond"/>
        </w:rPr>
      </w:pPr>
      <w:bookmarkStart w:id="0" w:name="the-average-bullshittings-of-machines"/>
      <w:r>
        <w:rPr>
          <w:rFonts w:ascii="Garamond" w:hAnsi="Garamond"/>
        </w:rPr>
        <w:t>The Average Bullshittings of Machines</w:t>
      </w:r>
    </w:p>
    <w:p>
      <w:pPr>
        <w:pStyle w:val="FirstParagraph"/>
        <w:rPr>
          <w:rFonts w:ascii="Garamond" w:hAnsi="Garamond"/>
        </w:rPr>
      </w:pPr>
      <w:r>
        <w:rPr>
          <w:rFonts w:ascii="Garamond" w:hAnsi="Garamond"/>
          <w:b/>
          <w:bCs/>
        </w:rPr>
        <w:t>R</w:t>
      </w:r>
      <w:r>
        <w:rPr>
          <w:rFonts w:ascii="Garamond" w:hAnsi="Garamond"/>
          <w:b/>
          <w:bCs/>
        </w:rPr>
        <w:t>egistered measures, unregistered priors, and what six models do when nobody is watching</w:t>
      </w:r>
    </w:p>
    <w:p>
      <w:pPr>
        <w:pStyle w:val="BodyText"/>
        <w:rPr/>
      </w:pPr>
      <w:r>
        <w:rPr>
          <w:rFonts w:ascii="Garamond" w:hAnsi="Garamond"/>
          <w:b/>
          <w:bCs/>
        </w:rPr>
        <w:t>Author:</w:t>
      </w:r>
      <w:r>
        <w:rPr>
          <w:rFonts w:ascii="Garamond" w:hAnsi="Garamond"/>
        </w:rPr>
        <w:t xml:space="preserve"> Bo Chesterton</w:t>
        <w:br/>
      </w:r>
      <w:r>
        <w:rPr>
          <w:rFonts w:ascii="Garamond" w:hAnsi="Garamond"/>
          <w:b/>
          <w:bCs/>
        </w:rPr>
        <w:t>Coders:</w:t>
      </w:r>
      <w:r>
        <w:rPr>
          <w:rFonts w:ascii="Garamond" w:hAnsi="Garamond"/>
        </w:rPr>
        <w:t xml:space="preserve"> structural heuristic by </w:t>
      </w:r>
      <w:r>
        <w:rPr>
          <w:rStyle w:val="VerbatimChar"/>
          <w:rFonts w:ascii="Garamond" w:hAnsi="Garamond"/>
        </w:rPr>
        <w:t>claude-opus-4-7</w:t>
      </w:r>
      <w:r>
        <w:rPr>
          <w:rFonts w:ascii="Garamond" w:hAnsi="Garamond"/>
        </w:rPr>
        <w:t xml:space="preserve">; semantic heuristic by </w:t>
      </w:r>
      <w:r>
        <w:rPr>
          <w:rStyle w:val="VerbatimChar"/>
          <w:rFonts w:ascii="Garamond" w:hAnsi="Garamond"/>
        </w:rPr>
        <w:t>gpt-5.5-thinking</w:t>
      </w:r>
      <w:r>
        <w:rPr>
          <w:rFonts w:ascii="Garamond" w:hAnsi="Garamond"/>
        </w:rPr>
        <w:br/>
      </w:r>
      <w:r>
        <w:rPr>
          <w:rFonts w:ascii="Garamond" w:hAnsi="Garamond"/>
          <w:b/>
          <w:bCs/>
        </w:rPr>
        <w:t>This v4 rewrite:</w:t>
      </w:r>
      <w:r>
        <w:rPr>
          <w:rFonts w:ascii="Garamond" w:hAnsi="Garamond"/>
        </w:rPr>
        <w:t xml:space="preserve"> GPT-5.5 Thinking / Extended, cross-checked against the public repository and the v3 draft</w:t>
        <w:br/>
      </w:r>
      <w:r>
        <w:rPr>
          <w:rFonts w:ascii="Garamond" w:hAnsi="Garamond"/>
          <w:b/>
          <w:bCs/>
        </w:rPr>
        <w:t>Date:</w:t>
      </w:r>
      <w:r>
        <w:rPr>
          <w:rFonts w:ascii="Garamond" w:hAnsi="Garamond"/>
        </w:rPr>
        <w:t xml:space="preserve"> May 7, 2026</w:t>
        <w:br/>
      </w:r>
      <w:r>
        <w:rPr>
          <w:rFonts w:ascii="Garamond" w:hAnsi="Garamond"/>
          <w:b/>
          <w:bCs/>
        </w:rPr>
        <w:t>Repository:</w:t>
      </w:r>
      <w:r>
        <w:rPr>
          <w:rFonts w:ascii="Garamond" w:hAnsi="Garamond"/>
        </w:rPr>
        <w:t xml:space="preserve"> https://github.com/quumble/An-Assay-of-Bullshit</w:t>
      </w:r>
    </w:p>
    <w:p>
      <w:pPr>
        <w:pStyle w:val="Normal"/>
        <w:rPr>
          <w:rFonts w:ascii="Garamond" w:hAnsi="Garamond"/>
        </w:rPr>
      </w:pPr>
      <w:r>
        <w:rPr>
          <w:rFonts w:ascii="Garamond" w:hAnsi="Garamond"/>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Garamond" w:hAnsi="Garamond"/>
        </w:rPr>
      </w:pPr>
      <w:bookmarkStart w:id="1" w:name="abstract"/>
      <w:r>
        <w:rPr>
          <w:rFonts w:ascii="Garamond" w:hAnsi="Garamond"/>
        </w:rPr>
        <w:t>Abstract</w:t>
      </w:r>
    </w:p>
    <w:p>
      <w:pPr>
        <w:pStyle w:val="FirstParagraph"/>
        <w:rPr/>
      </w:pPr>
      <w:r>
        <w:rPr>
          <w:rFonts w:ascii="Garamond" w:hAnsi="Garamond"/>
        </w:rPr>
        <w:t xml:space="preserve">Six contemporary chat models - three Claudes and three GPTs - were each given the same nine cold creative-writing prompts ten times. There was no system message, no conversation history, </w:t>
      </w:r>
      <w:r>
        <w:rPr>
          <w:rStyle w:val="VerbatimChar"/>
          <w:rFonts w:ascii="Garamond" w:hAnsi="Garamond"/>
        </w:rPr>
        <w:t>temperature = 1.0</w:t>
      </w:r>
      <w:r>
        <w:rPr>
          <w:rFonts w:ascii="Garamond" w:hAnsi="Garamond"/>
        </w:rPr>
        <w:t xml:space="preserve">, and a fixed </w:t>
      </w:r>
      <w:r>
        <w:rPr>
          <w:rStyle w:val="VerbatimChar"/>
          <w:rFonts w:ascii="Garamond" w:hAnsi="Garamond"/>
        </w:rPr>
        <w:t>max_tokens = 400</w:t>
      </w:r>
      <w:r>
        <w:rPr>
          <w:rFonts w:ascii="Garamond" w:hAnsi="Garamond"/>
        </w:rPr>
        <w:t>, yielding 540 successful outputs. Two deterministic machine-authored heuristic coders, one semantic and one structural, processed the responses blind before de-blinding.</w:t>
      </w:r>
    </w:p>
    <w:p>
      <w:pPr>
        <w:pStyle w:val="BodyText"/>
        <w:rPr>
          <w:rFonts w:ascii="Garamond" w:hAnsi="Garamond"/>
        </w:rPr>
      </w:pPr>
      <w:r>
        <w:rPr>
          <w:rFonts w:ascii="Garamond" w:hAnsi="Garamond"/>
        </w:rPr>
        <w:t xml:space="preserve">This version makes a stricter evidentiary distinction than earlier drafts. The repository contains two in-progress preregistration documents and a deviations/running-log file. Those preregistrations register the design and several planned descriptive measures: compliance with length constraints, opening-token concentration, lexical diversity, named-entity behavior for animal prompts, and embedding geometry. They do </w:t>
      </w:r>
      <w:r>
        <w:rPr>
          <w:rFonts w:ascii="Garamond" w:hAnsi="Garamond"/>
          <w:b/>
          <w:bCs/>
        </w:rPr>
        <w:t>not</w:t>
      </w:r>
      <w:r>
        <w:rPr>
          <w:rFonts w:ascii="Garamond" w:hAnsi="Garamond"/>
        </w:rPr>
        <w:t xml:space="preserve"> preregister folk predictions about which family would use em-dashes or assistant-style preambles. Those predictions may have been made before unblinding, but unless they were recorded in the preregistration record, they are not preregistered hypotheses. They are analyst priors, and this paper treats them as such.</w:t>
      </w:r>
    </w:p>
    <w:p>
      <w:pPr>
        <w:pStyle w:val="BodyText"/>
        <w:rPr/>
      </w:pPr>
      <w:r>
        <w:rPr>
          <w:rFonts w:ascii="Garamond" w:hAnsi="Garamond"/>
        </w:rPr>
        <w:t xml:space="preserve">Under that stricter accounting, the most important registered result is opening-word concentration: all three Claude models begin with “the” in 62-67% of outputs, with first-word entropies around 1.2-1.5 bits, while the three GPT models have much more dispersed openings, around 2.9-3.0 bits. The most interesting unregistered reversals are still worth reporting, but as exploratory findings: em-dashes localize to </w:t>
      </w:r>
      <w:r>
        <w:rPr>
          <w:rStyle w:val="VerbatimChar"/>
          <w:rFonts w:ascii="Garamond" w:hAnsi="Garamond"/>
        </w:rPr>
        <w:t>gpt-5.4-nano</w:t>
      </w:r>
      <w:r>
        <w:rPr>
          <w:rFonts w:ascii="Garamond" w:hAnsi="Garamond"/>
        </w:rPr>
        <w:t xml:space="preserve">, not Claude, and assistant-style “Here is…” preambles localize to </w:t>
      </w:r>
      <w:r>
        <w:rPr>
          <w:rStyle w:val="VerbatimChar"/>
          <w:rFonts w:ascii="Garamond" w:hAnsi="Garamond"/>
        </w:rPr>
        <w:t>claude-sonnet-4-6</w:t>
      </w:r>
      <w:r>
        <w:rPr>
          <w:rFonts w:ascii="Garamond" w:hAnsi="Garamond"/>
        </w:rPr>
        <w:t>, not GPT, and only under particular prompt conditions.</w:t>
      </w:r>
    </w:p>
    <w:p>
      <w:pPr>
        <w:pStyle w:val="BodyText"/>
        <w:rPr>
          <w:rFonts w:ascii="Garamond" w:hAnsi="Garamond"/>
        </w:rPr>
      </w:pPr>
      <w:r>
        <w:rPr>
          <w:rFonts w:ascii="Garamond" w:hAnsi="Garamond"/>
        </w:rPr>
        <w:t>The broader finding survives the audit: models have visible defaults. But v4 states the claim more cleanly. The paper is not a confirmatory test. It is an exploratory assay with a public methods ledger, machine-authored coders, and a useful distinction between what was registered, what was discovered, and what was merely believed before the blind was lifted.</w:t>
      </w:r>
    </w:p>
    <w:p>
      <w:pPr>
        <w:pStyle w:val="Normal"/>
        <w:rPr>
          <w:rFonts w:ascii="Garamond" w:hAnsi="Garamond"/>
        </w:rPr>
      </w:pPr>
      <w:bookmarkStart w:id="2" w:name="abstract"/>
      <w:r>
        <w:rPr>
          <w:rFonts w:ascii="Garamond" w:hAnsi="Garamond"/>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rFonts w:ascii="Garamond" w:hAnsi="Garamond"/>
        </w:rPr>
      </w:pPr>
      <w:bookmarkStart w:id="3" w:name="X72afd7383fc2bff86933c3fbfe8ac2f769d3cc6"/>
      <w:r>
        <w:rPr>
          <w:rFonts w:ascii="Garamond" w:hAnsi="Garamond"/>
        </w:rPr>
        <w:t>0. Evidence hierarchy: what was registered, what was logged, what was guessed</w:t>
      </w:r>
    </w:p>
    <w:p>
      <w:pPr>
        <w:pStyle w:val="FirstParagraph"/>
        <w:rPr>
          <w:rFonts w:ascii="Garamond" w:hAnsi="Garamond"/>
        </w:rPr>
      </w:pPr>
      <w:r>
        <w:rPr>
          <w:rFonts w:ascii="Garamond" w:hAnsi="Garamond"/>
        </w:rPr>
        <w:t>The biggest change from v3 is methodological, not numerical. The earlier draft leaned too hard on the drama of two wrong expectations - em-dashes would be Claude, preambles would be GPT. That drama remains useful, but it must be labeled correctly.</w:t>
      </w:r>
    </w:p>
    <w:p>
      <w:pPr>
        <w:pStyle w:val="BodyText"/>
        <w:rPr/>
      </w:pPr>
      <w:r>
        <w:rPr>
          <w:rFonts w:ascii="Garamond" w:hAnsi="Garamond"/>
        </w:rPr>
        <w:t xml:space="preserve">The repository contains two files that can fairly be called preregistration documents: </w:t>
      </w:r>
      <w:r>
        <w:rPr>
          <w:rStyle w:val="VerbatimChar"/>
          <w:rFonts w:ascii="Garamond" w:hAnsi="Garamond"/>
        </w:rPr>
        <w:t>PREREGISTRATION.md</w:t>
      </w:r>
      <w:r>
        <w:rPr>
          <w:rFonts w:ascii="Garamond" w:hAnsi="Garamond"/>
        </w:rPr>
        <w:t xml:space="preserve"> and </w:t>
      </w:r>
      <w:r>
        <w:rPr>
          <w:rStyle w:val="VerbatimChar"/>
          <w:rFonts w:ascii="Garamond" w:hAnsi="Garamond"/>
        </w:rPr>
        <w:t>model_comparison_preregistration.md</w:t>
      </w:r>
      <w:r>
        <w:rPr>
          <w:rFonts w:ascii="Garamond" w:hAnsi="Garamond"/>
        </w:rPr>
        <w:t>. Both describe an exploratory computational study, not a confirmatory one. The first states that all questions are exploratory and that no confirmatory decision rule is preregistered. The second is even more explicit: the registration is in-progress, the study is already underway, and no confirmatory hypotheses are preregistered.</w:t>
      </w:r>
    </w:p>
    <w:p>
      <w:pPr>
        <w:pStyle w:val="BodyText"/>
        <w:rPr/>
      </w:pPr>
      <w:r>
        <w:rPr>
          <w:rFonts w:ascii="Garamond" w:hAnsi="Garamond"/>
        </w:rPr>
        <w:t xml:space="preserve">The repository also contains </w:t>
      </w:r>
      <w:r>
        <w:rPr>
          <w:rStyle w:val="VerbatimChar"/>
          <w:rFonts w:ascii="Garamond" w:hAnsi="Garamond"/>
        </w:rPr>
        <w:t>deviations_md.md</w:t>
      </w:r>
      <w:r>
        <w:rPr>
          <w:rFonts w:ascii="Garamond" w:hAnsi="Garamond"/>
        </w:rPr>
        <w:t>, a public methods ledger. It clarifies that the preregistration was added while the experiment was already underway and should be interpreted as an in-progress exploratory preregistration or methods lock-in, not as a conventional sealed preregistration. It also records that semantic coding was added as an exploratory follow-up, that GPT and Claude helped author deterministic heuristic pipelines, and that LLM-assisted interpretation should be treated as non-independent and exploratory.</w:t>
      </w:r>
    </w:p>
    <w:p>
      <w:pPr>
        <w:pStyle w:val="BodyText"/>
        <w:rPr>
          <w:rFonts w:ascii="Garamond" w:hAnsi="Garamond"/>
        </w:rPr>
      </w:pPr>
      <w:r>
        <w:rPr>
          <w:rFonts w:ascii="Garamond" w:hAnsi="Garamond"/>
        </w:rPr>
        <w:t>So the evidence hierarchy for this paper is:</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Status</w:t>
            </w:r>
          </w:p>
        </w:tc>
        <w:tc>
          <w:tcPr>
            <w:tcW w:w="312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What belongs here</w:t>
            </w:r>
          </w:p>
        </w:tc>
        <w:tc>
          <w:tcPr>
            <w:tcW w:w="312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How v4 treats it</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Registered exploratory design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ascii="Garamond" w:hAnsi="Garamond"/>
                <w:kern w:val="0"/>
                <w:sz w:val="24"/>
                <w:szCs w:val="24"/>
                <w:lang w:val="en-US" w:eastAsia="en-US" w:bidi="ar-SA"/>
              </w:rPr>
              <w:t xml:space="preserve">Six models, nine prompts, ten runs per cell, </w:t>
            </w:r>
            <w:r>
              <w:rPr>
                <w:rStyle w:val="VerbatimChar"/>
                <w:rFonts w:eastAsia="Aptos" w:cs="" w:ascii="Garamond" w:hAnsi="Garamond"/>
                <w:kern w:val="0"/>
                <w:szCs w:val="24"/>
                <w:lang w:val="en-US" w:eastAsia="en-US" w:bidi="ar-SA"/>
              </w:rPr>
              <w:t>temperature = 1.0</w:t>
            </w:r>
            <w:r>
              <w:rPr>
                <w:rFonts w:eastAsia="Aptos" w:cs="" w:ascii="Garamond" w:hAnsi="Garamond"/>
                <w:kern w:val="0"/>
                <w:sz w:val="24"/>
                <w:szCs w:val="24"/>
                <w:lang w:val="en-US" w:eastAsia="en-US" w:bidi="ar-SA"/>
              </w:rPr>
              <w:t xml:space="preserve">, </w:t>
            </w:r>
            <w:r>
              <w:rPr>
                <w:rStyle w:val="VerbatimChar"/>
                <w:rFonts w:eastAsia="Aptos" w:cs="" w:ascii="Garamond" w:hAnsi="Garamond"/>
                <w:kern w:val="0"/>
                <w:szCs w:val="24"/>
                <w:lang w:val="en-US" w:eastAsia="en-US" w:bidi="ar-SA"/>
              </w:rPr>
              <w:t>max_tokens = 400</w:t>
            </w:r>
            <w:r>
              <w:rPr>
                <w:rFonts w:eastAsia="Aptos" w:cs="" w:ascii="Garamond" w:hAnsi="Garamond"/>
                <w:kern w:val="0"/>
                <w:sz w:val="24"/>
                <w:szCs w:val="24"/>
                <w:lang w:val="en-US" w:eastAsia="en-US" w:bidi="ar-SA"/>
              </w:rPr>
              <w:t>, no system prompt</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Methods lock-in / registered exploratory design</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Registered exploratory measures</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Compliance, opening words/bigrams, lexical diversity, named-entity behavior, embedding geometry, output-cap reporting</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Strongest evidentiary footing, still exploratory</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Public deviations / methods log</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Semantic heuristic coding, two machine-authored coders, blinding limitations, analyst-position concerns</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Disclosed and used to classify analyses</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Unregistered analyst priors</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Em-dashes as Claude; “Here is…” as GPT</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Interesting reversals, not preregistered hypotheses</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Post hoc / added analyses</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Format-rigidity typology, preamble conditionality, classifier check, many structural-punctuation screens</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Exploratory, hypothesis-generating</w:t>
            </w:r>
          </w:p>
        </w:tc>
      </w:tr>
    </w:tbl>
    <w:p>
      <w:pPr>
        <w:pStyle w:val="BodyText"/>
        <w:rPr>
          <w:rFonts w:ascii="Garamond" w:hAnsi="Garamond"/>
        </w:rPr>
      </w:pPr>
      <w:r>
        <w:rPr>
          <w:rFonts w:ascii="Garamond" w:hAnsi="Garamond"/>
        </w:rPr>
        <w:t>This is not pedantry. It changes the paper. The cleanest registered result is not the sexiest one. Opening-word entropy is on stronger footing than the em-dash reversal. The em-dash reversal is still funny, still sharp, and still empirically real in this dataset, but it is not a failed preregistered prediction. It is an unregistered prior being mugged by data.</w:t>
      </w:r>
    </w:p>
    <w:p>
      <w:pPr>
        <w:pStyle w:val="Normal"/>
        <w:rPr>
          <w:rFonts w:ascii="Garamond" w:hAnsi="Garamond"/>
        </w:rPr>
      </w:pPr>
      <w:bookmarkStart w:id="4" w:name="X72afd7383fc2bff86933c3fbfe8ac2f769d3cc6"/>
      <w:r>
        <w:rPr>
          <w:rFonts w:ascii="Garamond" w:hAnsi="Garamond"/>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rFonts w:ascii="Garamond" w:hAnsi="Garamond"/>
        </w:rPr>
      </w:pPr>
      <w:bookmarkStart w:id="5" w:name="setup-cold-prompts-as-a-vacuum-chamber"/>
      <w:r>
        <w:rPr>
          <w:rFonts w:ascii="Garamond" w:hAnsi="Garamond"/>
        </w:rPr>
        <w:t>1. Setup: cold prompts as a vacuum chamber</w:t>
      </w:r>
    </w:p>
    <w:p>
      <w:pPr>
        <w:pStyle w:val="FirstParagraph"/>
        <w:rPr>
          <w:rFonts w:ascii="Garamond" w:hAnsi="Garamond"/>
        </w:rPr>
      </w:pPr>
      <w:r>
        <w:rPr>
          <w:rFonts w:ascii="Garamond" w:hAnsi="Garamond"/>
        </w:rPr>
        <w:t>A cold prompt is an unnatural thing to give a chat model. No system message, no conversation, no user history, no stakes. “Create a short story.” “Create an animal.” “Create a poem.” The model still has to do something, and what it does in that vacuum is the experiment.</w:t>
      </w:r>
    </w:p>
    <w:p>
      <w:pPr>
        <w:pStyle w:val="BodyText"/>
        <w:rPr>
          <w:rFonts w:ascii="Garamond" w:hAnsi="Garamond"/>
        </w:rPr>
      </w:pPr>
      <w:r>
        <w:rPr>
          <w:rFonts w:ascii="Garamond" w:hAnsi="Garamond"/>
        </w:rPr>
        <w:t>Defaults are interesting because they survive the removal of context. They are not the model’s best behavior. They are not a capability score. They are not quality. They are residue: pretraining, post-training, product taste, hidden provider defaults, helpfulness rituals, and whatever else makes a model feel like itself when nothing else is asking it to become something specific.</w:t>
      </w:r>
    </w:p>
    <w:p>
      <w:pPr>
        <w:pStyle w:val="BodyText"/>
        <w:rPr>
          <w:rFonts w:ascii="Garamond" w:hAnsi="Garamond"/>
        </w:rPr>
      </w:pPr>
      <w:r>
        <w:rPr>
          <w:rFonts w:ascii="Garamond" w:hAnsi="Garamond"/>
        </w:rPr>
        <w:t>The question is narrow: in 540 cold-prompt creative outputs, are there visible habits that distinguish the six models? The answer is yes. The stricter question is: which of those habits were planned measures and which were discovered after the fact? v4 keeps those two answers separate.</w:t>
      </w:r>
    </w:p>
    <w:p>
      <w:pPr>
        <w:pStyle w:val="Normal"/>
        <w:rPr>
          <w:rFonts w:ascii="Garamond" w:hAnsi="Garamond"/>
        </w:rPr>
      </w:pPr>
      <w:bookmarkStart w:id="6" w:name="setup-cold-prompts-as-a-vacuum-chamber"/>
      <w:r>
        <w:rPr>
          <w:rFonts w:ascii="Garamond" w:hAnsi="Garamond"/>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rFonts w:ascii="Garamond" w:hAnsi="Garamond"/>
        </w:rPr>
      </w:pPr>
      <w:bookmarkStart w:id="7" w:name="design-and-data"/>
      <w:r>
        <w:rPr>
          <w:rFonts w:ascii="Garamond" w:hAnsi="Garamond"/>
        </w:rPr>
        <w:t>2. Design and data</w:t>
      </w:r>
    </w:p>
    <w:p>
      <w:pPr>
        <w:pStyle w:val="FirstParagraph"/>
        <w:rPr/>
      </w:pPr>
      <w:r>
        <w:rPr>
          <w:rFonts w:ascii="Garamond" w:hAnsi="Garamond"/>
        </w:rPr>
        <w:t xml:space="preserve">The experiment compared six models: </w:t>
      </w:r>
      <w:r>
        <w:rPr>
          <w:rStyle w:val="VerbatimChar"/>
          <w:rFonts w:ascii="Garamond" w:hAnsi="Garamond"/>
        </w:rPr>
        <w:t>gpt-5.4</w:t>
      </w:r>
      <w:r>
        <w:rPr>
          <w:rFonts w:ascii="Garamond" w:hAnsi="Garamond"/>
        </w:rPr>
        <w:t xml:space="preserve">, </w:t>
      </w:r>
      <w:r>
        <w:rPr>
          <w:rStyle w:val="VerbatimChar"/>
          <w:rFonts w:ascii="Garamond" w:hAnsi="Garamond"/>
        </w:rPr>
        <w:t>gpt-5.4-mini</w:t>
      </w:r>
      <w:r>
        <w:rPr>
          <w:rFonts w:ascii="Garamond" w:hAnsi="Garamond"/>
        </w:rPr>
        <w:t xml:space="preserve">, </w:t>
      </w:r>
      <w:r>
        <w:rPr>
          <w:rStyle w:val="VerbatimChar"/>
          <w:rFonts w:ascii="Garamond" w:hAnsi="Garamond"/>
        </w:rPr>
        <w:t>gpt-5.4-nano</w:t>
      </w:r>
      <w:r>
        <w:rPr>
          <w:rFonts w:ascii="Garamond" w:hAnsi="Garamond"/>
        </w:rPr>
        <w:t xml:space="preserve">, </w:t>
      </w:r>
      <w:r>
        <w:rPr>
          <w:rStyle w:val="VerbatimChar"/>
          <w:rFonts w:ascii="Garamond" w:hAnsi="Garamond"/>
        </w:rPr>
        <w:t>claude-opus-4-7</w:t>
      </w:r>
      <w:r>
        <w:rPr>
          <w:rFonts w:ascii="Garamond" w:hAnsi="Garamond"/>
        </w:rPr>
        <w:t xml:space="preserve">, </w:t>
      </w:r>
      <w:r>
        <w:rPr>
          <w:rStyle w:val="VerbatimChar"/>
          <w:rFonts w:ascii="Garamond" w:hAnsi="Garamond"/>
        </w:rPr>
        <w:t>claude-sonnet-4-6</w:t>
      </w:r>
      <w:r>
        <w:rPr>
          <w:rFonts w:ascii="Garamond" w:hAnsi="Garamond"/>
        </w:rPr>
        <w:t xml:space="preserve">, and </w:t>
      </w:r>
      <w:r>
        <w:rPr>
          <w:rStyle w:val="VerbatimChar"/>
          <w:rFonts w:ascii="Garamond" w:hAnsi="Garamond"/>
        </w:rPr>
        <w:t>claude-haiku-4-5-20251001</w:t>
      </w:r>
      <w:r>
        <w:rPr>
          <w:rFonts w:ascii="Garamond" w:hAnsi="Garamond"/>
        </w:rPr>
        <w:t>. The prompt grid crossed three categories - story, animal, poem - with three length conditions: fewer than 5, fewer than 10, and open length. Each of the 54 model-prompt cells was sampled 10 times, for 540 total outputs.</w:t>
      </w:r>
    </w:p>
    <w:p>
      <w:pPr>
        <w:pStyle w:val="BodyText"/>
        <w:rPr/>
      </w:pPr>
      <w:r>
        <w:rPr>
          <w:rFonts w:ascii="Garamond" w:hAnsi="Garamond"/>
        </w:rPr>
        <w:t xml:space="preserve">All calls used </w:t>
      </w:r>
      <w:r>
        <w:rPr>
          <w:rStyle w:val="VerbatimChar"/>
          <w:rFonts w:ascii="Garamond" w:hAnsi="Garamond"/>
        </w:rPr>
        <w:t>temperature = 1.0</w:t>
      </w:r>
      <w:r>
        <w:rPr>
          <w:rFonts w:ascii="Garamond" w:hAnsi="Garamond"/>
        </w:rPr>
        <w:t xml:space="preserve">, </w:t>
      </w:r>
      <w:r>
        <w:rPr>
          <w:rStyle w:val="VerbatimChar"/>
          <w:rFonts w:ascii="Garamond" w:hAnsi="Garamond"/>
        </w:rPr>
        <w:t>max_tokens = 400</w:t>
      </w:r>
      <w:r>
        <w:rPr>
          <w:rFonts w:ascii="Garamond" w:hAnsi="Garamond"/>
        </w:rPr>
        <w:t>, and no system prompt. The runner wrote one JSONL record per call. The prompt file contains a typo in the poem prompts - “fewer then 5 lines” and “fewer then 10 lines” - which is preserved because the experiment was first-take and the same typo applied to all models.</w:t>
      </w:r>
    </w:p>
    <w:p>
      <w:pPr>
        <w:pStyle w:val="BodyText"/>
        <w:rPr>
          <w:rFonts w:ascii="Garamond" w:hAnsi="Garamond"/>
        </w:rPr>
      </w:pPr>
      <w:r>
        <w:rPr>
          <w:rFonts w:ascii="Garamond" w:hAnsi="Garamond"/>
        </w:rPr>
        <w:t>Two deterministic heuristic coders were used. The semantic coder, authored with GPT-5.5 Thinking, labeled content-like features: setting, mood, tense, person, imagery, plot arc, animal/entity candidates, opening word/bigram, formulaicness, and type-token ratio. The structural coder, authored by Claude Opus 4.7, labeled surface form: sentence and paragraph structure, line counts, title lines, meta-preambles, punctuation, sentence rhythm, repetition, hedges, intensifiers, and endings.</w:t>
      </w:r>
    </w:p>
    <w:p>
      <w:pPr>
        <w:pStyle w:val="BodyText"/>
        <w:rPr>
          <w:rFonts w:ascii="Garamond" w:hAnsi="Garamond"/>
        </w:rPr>
      </w:pPr>
      <w:r>
        <w:rPr>
          <w:rFonts w:ascii="Garamond" w:hAnsi="Garamond"/>
        </w:rPr>
        <w:t>The coders were blind to model identity and used independent blind label schemes. After de-blinding, the crosswalk was exact:</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Structural</w:t>
            </w:r>
          </w:p>
        </w:tc>
        <w:tc>
          <w:tcPr>
            <w:tcW w:w="264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Semantic</w:t>
            </w:r>
          </w:p>
        </w:tc>
        <w:tc>
          <w:tcPr>
            <w:tcW w:w="264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M1</w:t>
            </w:r>
          </w:p>
        </w:tc>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 A</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gpt-5.4</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M2</w:t>
            </w:r>
          </w:p>
        </w:tc>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 B</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gpt-5.4-nano</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M3</w:t>
            </w:r>
          </w:p>
        </w:tc>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 C</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claude-opus-4-7</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M4</w:t>
            </w:r>
          </w:p>
        </w:tc>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 D</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claude-sonnet-4-6</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M5</w:t>
            </w:r>
          </w:p>
        </w:tc>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 E</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gpt-5.4-mini</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M6</w:t>
            </w:r>
          </w:p>
        </w:tc>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 F</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claude-haiku-4-5-20251001</w:t>
            </w:r>
          </w:p>
        </w:tc>
      </w:tr>
    </w:tbl>
    <w:p>
      <w:pPr>
        <w:pStyle w:val="BodyText"/>
        <w:rPr>
          <w:rFonts w:ascii="Garamond" w:hAnsi="Garamond"/>
        </w:rPr>
      </w:pPr>
      <w:r>
        <w:rPr>
          <w:rFonts w:ascii="Garamond" w:hAnsi="Garamond"/>
        </w:rPr>
        <w:t>The joined coded dataset contains 540 aligned rows, zero duplicate output IDs, and no mismatches on shared source fields.</w:t>
      </w:r>
    </w:p>
    <w:p>
      <w:pPr>
        <w:pStyle w:val="BodyText"/>
        <w:rPr/>
      </w:pPr>
      <w:r>
        <w:rPr>
          <w:rFonts w:ascii="Garamond" w:hAnsi="Garamond"/>
        </w:rPr>
        <w:t xml:space="preserve">The variable formerly called </w:t>
      </w:r>
      <w:r>
        <w:rPr>
          <w:rStyle w:val="VerbatimChar"/>
          <w:rFonts w:ascii="Garamond" w:hAnsi="Garamond"/>
        </w:rPr>
        <w:t>is_truncated_400ish</w:t>
      </w:r>
      <w:r>
        <w:rPr>
          <w:rFonts w:ascii="Garamond" w:hAnsi="Garamond"/>
        </w:rPr>
        <w:t xml:space="preserve"> is referred to here as an </w:t>
      </w:r>
      <w:r>
        <w:rPr>
          <w:rFonts w:ascii="Garamond" w:hAnsi="Garamond"/>
          <w:b/>
          <w:bCs/>
        </w:rPr>
        <w:t>output-cap hit</w:t>
      </w:r>
      <w:r>
        <w:rPr>
          <w:rFonts w:ascii="Garamond" w:hAnsi="Garamond"/>
        </w:rPr>
        <w:t xml:space="preserve">. With </w:t>
      </w:r>
      <w:r>
        <w:rPr>
          <w:rStyle w:val="VerbatimChar"/>
          <w:rFonts w:ascii="Garamond" w:hAnsi="Garamond"/>
        </w:rPr>
        <w:t>max_tokens = 400</w:t>
      </w:r>
      <w:r>
        <w:rPr>
          <w:rFonts w:ascii="Garamond" w:hAnsi="Garamond"/>
        </w:rPr>
        <w:t>, this is not natural truncation and not a context-window limit. It means the experimental harness stopped the response. A cap-hit output is a censored observation: the model attempted to continue beyond the fixed response budget.</w:t>
      </w:r>
    </w:p>
    <w:p>
      <w:pPr>
        <w:pStyle w:val="Normal"/>
        <w:rPr>
          <w:rFonts w:ascii="Garamond" w:hAnsi="Garamond"/>
        </w:rPr>
      </w:pPr>
      <w:bookmarkStart w:id="8" w:name="design-and-data"/>
      <w:r>
        <w:rPr>
          <w:rFonts w:ascii="Garamond" w:hAnsi="Garamond"/>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rFonts w:ascii="Garamond" w:hAnsi="Garamond"/>
        </w:rPr>
      </w:pPr>
      <w:bookmarkStart w:id="9" w:name="Xfa467105cee2c5e4ffe800a27ecee9a3c4d0b5f"/>
      <w:r>
        <w:rPr>
          <w:rFonts w:ascii="Garamond" w:hAnsi="Garamond"/>
        </w:rPr>
        <w:t>3. Registered result: opening-word concentration</w:t>
      </w:r>
    </w:p>
    <w:p>
      <w:pPr>
        <w:pStyle w:val="FirstParagraph"/>
        <w:rPr>
          <w:rFonts w:ascii="Garamond" w:hAnsi="Garamond"/>
        </w:rPr>
      </w:pPr>
      <w:r>
        <w:rPr>
          <w:rFonts w:ascii="Garamond" w:hAnsi="Garamond"/>
        </w:rPr>
        <w:t>Opening-token concentration was registered in both preregistration documents. It is also the cleanest family-level result in the dataset.</w:t>
      </w:r>
    </w:p>
    <w:p>
      <w:pPr>
        <w:pStyle w:val="BodyText"/>
        <w:rPr>
          <w:rFonts w:ascii="Garamond" w:hAnsi="Garamond"/>
        </w:rPr>
      </w:pPr>
      <w:r>
        <w:rPr>
          <w:rFonts w:ascii="Garamond" w:hAnsi="Garamond"/>
        </w:rPr>
        <w:t>Across all three Claude models, the first word is overwhelmingly “the”: 60/90 for Opus, 56/90 for Sonnet, and 60/90 for Haiku. First-word entropy is correspondingly low: 1.52 bits for Opus, 1.18 for Sonnet, and 1.49 for Haiku. The GPT models are much more dispersed: 3.02 bits for GPT 5.4, 2.92 for GPT 5.4 Mini, and 2.87 for GPT 5.4 Nano.</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560"/>
        <w:gridCol w:w="2080"/>
        <w:gridCol w:w="2079"/>
        <w:gridCol w:w="2080"/>
        <w:gridCol w:w="1561"/>
      </w:tblGrid>
      <w:tr>
        <w:trPr>
          <w:tblHeader w:val="true"/>
        </w:trPr>
        <w:tc>
          <w:tcPr>
            <w:tcW w:w="156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w:t>
            </w:r>
          </w:p>
        </w:tc>
        <w:tc>
          <w:tcPr>
            <w:tcW w:w="2080"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Most common first word</w:t>
            </w:r>
          </w:p>
        </w:tc>
        <w:tc>
          <w:tcPr>
            <w:tcW w:w="2079"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Top-word share</w:t>
            </w:r>
          </w:p>
        </w:tc>
        <w:tc>
          <w:tcPr>
            <w:tcW w:w="2080"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First-word entropy</w:t>
            </w:r>
          </w:p>
        </w:tc>
        <w:tc>
          <w:tcPr>
            <w:tcW w:w="1561"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Top five openings</w:t>
            </w:r>
          </w:p>
        </w:tc>
      </w:tr>
      <w:tr>
        <w:trPr/>
        <w:tc>
          <w:tcPr>
            <w:tcW w:w="156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w:t>
            </w:r>
          </w:p>
        </w:tc>
        <w:tc>
          <w:tcPr>
            <w:tcW w:w="2080" w:type="dxa"/>
            <w:tcBorders/>
          </w:tcPr>
          <w:p>
            <w:pPr>
              <w:pStyle w:val="Compact"/>
              <w:widowControl/>
              <w:spacing w:before="36" w:after="36"/>
              <w:jc w:val="righ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at</w:t>
            </w:r>
          </w:p>
        </w:tc>
        <w:tc>
          <w:tcPr>
            <w:tcW w:w="2079"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26.7%</w:t>
            </w:r>
          </w:p>
        </w:tc>
        <w:tc>
          <w:tcPr>
            <w:tcW w:w="208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3.02</w:t>
            </w:r>
          </w:p>
        </w:tc>
        <w:tc>
          <w:tcPr>
            <w:tcW w:w="156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at: 24, the: 19, morning: 11, meet: 9, dawn: 9</w:t>
            </w:r>
          </w:p>
        </w:tc>
      </w:tr>
      <w:tr>
        <w:trPr/>
        <w:tc>
          <w:tcPr>
            <w:tcW w:w="156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 Mini</w:t>
            </w:r>
          </w:p>
        </w:tc>
        <w:tc>
          <w:tcPr>
            <w:tcW w:w="2080" w:type="dxa"/>
            <w:tcBorders/>
          </w:tcPr>
          <w:p>
            <w:pPr>
              <w:pStyle w:val="Compact"/>
              <w:widowControl/>
              <w:spacing w:before="36" w:after="36"/>
              <w:jc w:val="righ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the</w:t>
            </w:r>
          </w:p>
        </w:tc>
        <w:tc>
          <w:tcPr>
            <w:tcW w:w="2079"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21.1%</w:t>
            </w:r>
          </w:p>
        </w:tc>
        <w:tc>
          <w:tcPr>
            <w:tcW w:w="208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2.92</w:t>
            </w:r>
          </w:p>
        </w:tc>
        <w:tc>
          <w:tcPr>
            <w:tcW w:w="156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the: 19, moonlight: 19, on: 15, at: 12, here’s: 10</w:t>
            </w:r>
          </w:p>
        </w:tc>
      </w:tr>
      <w:tr>
        <w:trPr/>
        <w:tc>
          <w:tcPr>
            <w:tcW w:w="156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 Nano</w:t>
            </w:r>
          </w:p>
        </w:tc>
        <w:tc>
          <w:tcPr>
            <w:tcW w:w="2080" w:type="dxa"/>
            <w:tcBorders/>
          </w:tcPr>
          <w:p>
            <w:pPr>
              <w:pStyle w:val="Compact"/>
              <w:widowControl/>
              <w:spacing w:before="36" w:after="36"/>
              <w:jc w:val="righ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mara</w:t>
            </w:r>
          </w:p>
        </w:tc>
        <w:tc>
          <w:tcPr>
            <w:tcW w:w="2079"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28.9%</w:t>
            </w:r>
          </w:p>
        </w:tc>
        <w:tc>
          <w:tcPr>
            <w:tcW w:w="208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2.87</w:t>
            </w:r>
          </w:p>
        </w:tc>
        <w:tc>
          <w:tcPr>
            <w:tcW w:w="156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mara: 26, beneath: 18, the: 15, in: 10, meet: 9</w:t>
            </w:r>
          </w:p>
        </w:tc>
      </w:tr>
      <w:tr>
        <w:trPr/>
        <w:tc>
          <w:tcPr>
            <w:tcW w:w="156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Opus 4.7</w:t>
            </w:r>
          </w:p>
        </w:tc>
        <w:tc>
          <w:tcPr>
            <w:tcW w:w="2080" w:type="dxa"/>
            <w:tcBorders/>
          </w:tcPr>
          <w:p>
            <w:pPr>
              <w:pStyle w:val="Compact"/>
              <w:widowControl/>
              <w:spacing w:before="36" w:after="36"/>
              <w:jc w:val="righ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the</w:t>
            </w:r>
          </w:p>
        </w:tc>
        <w:tc>
          <w:tcPr>
            <w:tcW w:w="2079"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66.7%</w:t>
            </w:r>
          </w:p>
        </w:tc>
        <w:tc>
          <w:tcPr>
            <w:tcW w:w="208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1.52</w:t>
            </w:r>
          </w:p>
        </w:tc>
        <w:tc>
          <w:tcPr>
            <w:tcW w:w="156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the: 60, whispers: 16, moonlight: 8, beneath: 3, here’s: 1</w:t>
            </w:r>
          </w:p>
        </w:tc>
      </w:tr>
      <w:tr>
        <w:trPr/>
        <w:tc>
          <w:tcPr>
            <w:tcW w:w="156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Sonnet 4.6</w:t>
            </w:r>
          </w:p>
        </w:tc>
        <w:tc>
          <w:tcPr>
            <w:tcW w:w="2080" w:type="dxa"/>
            <w:tcBorders/>
          </w:tcPr>
          <w:p>
            <w:pPr>
              <w:pStyle w:val="Compact"/>
              <w:widowControl/>
              <w:spacing w:before="36" w:after="36"/>
              <w:jc w:val="righ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the</w:t>
            </w:r>
          </w:p>
        </w:tc>
        <w:tc>
          <w:tcPr>
            <w:tcW w:w="2079"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62.2%</w:t>
            </w:r>
          </w:p>
        </w:tc>
        <w:tc>
          <w:tcPr>
            <w:tcW w:w="208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1.18</w:t>
            </w:r>
          </w:p>
        </w:tc>
        <w:tc>
          <w:tcPr>
            <w:tcW w:w="156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the: 56, here: 29, here’s: 5</w:t>
            </w:r>
          </w:p>
        </w:tc>
      </w:tr>
      <w:tr>
        <w:trPr/>
        <w:tc>
          <w:tcPr>
            <w:tcW w:w="156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Haiku 4.5</w:t>
            </w:r>
          </w:p>
        </w:tc>
        <w:tc>
          <w:tcPr>
            <w:tcW w:w="2080" w:type="dxa"/>
            <w:tcBorders/>
          </w:tcPr>
          <w:p>
            <w:pPr>
              <w:pStyle w:val="Compact"/>
              <w:widowControl/>
              <w:spacing w:before="36" w:after="36"/>
              <w:jc w:val="righ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the</w:t>
            </w:r>
          </w:p>
        </w:tc>
        <w:tc>
          <w:tcPr>
            <w:tcW w:w="2079"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66.7%</w:t>
            </w:r>
          </w:p>
        </w:tc>
        <w:tc>
          <w:tcPr>
            <w:tcW w:w="208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1.49</w:t>
            </w:r>
          </w:p>
        </w:tc>
        <w:tc>
          <w:tcPr>
            <w:tcW w:w="156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the: 60, whispers: 17, whisper: 8, morning: 2, silent: 1</w:t>
            </w:r>
          </w:p>
        </w:tc>
      </w:tr>
    </w:tbl>
    <w:p>
      <w:pPr>
        <w:pStyle w:val="BodyText"/>
        <w:rPr>
          <w:rFonts w:ascii="Garamond" w:hAnsi="Garamond"/>
        </w:rPr>
      </w:pPr>
      <w:r>
        <w:rPr>
          <w:rFonts w:ascii="Garamond" w:hAnsi="Garamond"/>
        </w:rPr>
        <w:t>Entropy here simply means how spread out the first-word choices are. Low entropy means a model keeps starting the same way. High entropy means it has more varied openings. By that measure, the three Claude models are tightly templated at the first word, while the three GPT models are not.</w:t>
      </w:r>
    </w:p>
    <w:p>
      <w:pPr>
        <w:pStyle w:val="BodyText"/>
        <w:rPr>
          <w:rFonts w:ascii="Garamond" w:hAnsi="Garamond"/>
        </w:rPr>
      </w:pPr>
      <w:r>
        <w:rPr>
          <w:rFonts w:ascii="Garamond" w:hAnsi="Garamond"/>
        </w:rPr>
        <w:t>The weirdest individual detail is GPT 5.4 Nano: 26 of its 90 outputs begin with the proper name “Mara.” That is not a family effect. It is a model-specific basin in the sampling distribution. It deserves a follow-up on name fixation.</w:t>
      </w:r>
    </w:p>
    <w:p>
      <w:pPr>
        <w:pStyle w:val="Normal"/>
        <w:rPr>
          <w:rFonts w:ascii="Garamond" w:hAnsi="Garamond"/>
        </w:rPr>
      </w:pPr>
      <w:bookmarkStart w:id="10" w:name="Xfa467105cee2c5e4ffe800a27ecee9a3c4d0b5f"/>
      <w:r>
        <w:rPr>
          <w:rFonts w:ascii="Garamond" w:hAnsi="Garamond"/>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rFonts w:ascii="Garamond" w:hAnsi="Garamond"/>
        </w:rPr>
      </w:pPr>
      <w:bookmarkStart w:id="11" w:name="X04814a877c18dfeef0eb11c2c41713c647b2a3f"/>
      <w:r>
        <w:rPr>
          <w:rFonts w:ascii="Garamond" w:hAnsi="Garamond"/>
        </w:rPr>
        <w:t>4. Registered result: compliance and the sentence boundary</w:t>
      </w:r>
    </w:p>
    <w:p>
      <w:pPr>
        <w:pStyle w:val="FirstParagraph"/>
        <w:rPr>
          <w:rFonts w:ascii="Garamond" w:hAnsi="Garamond"/>
        </w:rPr>
      </w:pPr>
      <w:r>
        <w:rPr>
          <w:rFonts w:ascii="Garamond" w:hAnsi="Garamond"/>
        </w:rPr>
        <w:t>Length compliance was registered. The result is mostly simple: compliance was high. The semantic coder marked 531 of the 540 total outputs as compliant, not applicable, or open; among constrained prompts, failures were sparse and clustered.</w:t>
      </w:r>
    </w:p>
    <w:p>
      <w:pPr>
        <w:pStyle w:val="BodyText"/>
        <w:rPr>
          <w:rFonts w:ascii="Garamond" w:hAnsi="Garamond"/>
        </w:rPr>
      </w:pPr>
      <w:r>
        <w:rPr>
          <w:rFonts w:ascii="Garamond" w:hAnsi="Garamond"/>
        </w:rPr>
        <w:t>Under the semantic coder, failures were:</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w:t>
            </w:r>
          </w:p>
        </w:tc>
        <w:tc>
          <w:tcPr>
            <w:tcW w:w="264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Prompt</w:t>
            </w:r>
          </w:p>
        </w:tc>
        <w:tc>
          <w:tcPr>
            <w:tcW w:w="2640"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Failures</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Haiku 4.5</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animal_lt5</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Haiku 4.5</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story_lt5</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5</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Opus 4.7</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story_lt5</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Sonnet 4.6</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story_lt10</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w:t>
            </w:r>
          </w:p>
        </w:tc>
      </w:tr>
    </w:tbl>
    <w:p>
      <w:pPr>
        <w:pStyle w:val="BodyText"/>
        <w:rPr/>
      </w:pPr>
      <w:r>
        <w:rPr>
          <w:rFonts w:ascii="Garamond" w:hAnsi="Garamond"/>
        </w:rPr>
        <w:t xml:space="preserve">Under the structural coder, the same pattern appears, except Haiku has three additional </w:t>
      </w:r>
      <w:r>
        <w:rPr>
          <w:rStyle w:val="VerbatimChar"/>
          <w:rFonts w:ascii="Garamond" w:hAnsi="Garamond"/>
        </w:rPr>
        <w:t>story_lt5</w:t>
      </w:r>
      <w:r>
        <w:rPr>
          <w:rFonts w:ascii="Garamond" w:hAnsi="Garamond"/>
        </w:rPr>
        <w:t xml:space="preserve"> failures because the structural sentence splitter counted five sentences where the semantic splitter counted four.</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w:t>
            </w:r>
          </w:p>
        </w:tc>
        <w:tc>
          <w:tcPr>
            <w:tcW w:w="264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Prompt</w:t>
            </w:r>
          </w:p>
        </w:tc>
        <w:tc>
          <w:tcPr>
            <w:tcW w:w="2640"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Failures</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Haiku 4.5</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animal_lt5</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Haiku 4.5</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story_lt5</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8</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Opus 4.7</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story_lt5</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Sonnet 4.6</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story_lt10</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w:t>
            </w:r>
          </w:p>
        </w:tc>
      </w:tr>
    </w:tbl>
    <w:p>
      <w:pPr>
        <w:pStyle w:val="BodyText"/>
        <w:rPr/>
      </w:pPr>
      <w:r>
        <w:rPr>
          <w:rFonts w:ascii="Garamond" w:hAnsi="Garamond"/>
        </w:rPr>
        <w:t xml:space="preserve">The two coders agreed on compliance for 537 of 540 outputs. The three disagreements are all Claude Haiku on </w:t>
      </w:r>
      <w:r>
        <w:rPr>
          <w:rStyle w:val="VerbatimChar"/>
          <w:rFonts w:ascii="Garamond" w:hAnsi="Garamond"/>
        </w:rPr>
        <w:t>story_lt5</w:t>
      </w:r>
      <w:r>
        <w:rPr>
          <w:rFonts w:ascii="Garamond" w:hAnsi="Garamond"/>
        </w:rPr>
        <w:t>; each sits exactly on the four-vs-five sentence boundary. The reasonable read is not “Haiku cannot count to five.” It is that Haiku writes right up against the constraint boundary, and the verdict depends on the sentence splitter.</w:t>
      </w:r>
    </w:p>
    <w:p>
      <w:pPr>
        <w:pStyle w:val="BodyText"/>
        <w:rPr>
          <w:rFonts w:ascii="Garamond" w:hAnsi="Garamond"/>
        </w:rPr>
      </w:pPr>
      <w:r>
        <w:rPr>
          <w:rFonts w:ascii="Garamond" w:hAnsi="Garamond"/>
        </w:rPr>
        <w:t>Sentence-count disagreement itself was concentrated in open-ended prose:</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Prompt</w:t>
            </w:r>
          </w:p>
        </w:tc>
        <w:tc>
          <w:tcPr>
            <w:tcW w:w="2640"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Sentence-count disagreements</w:t>
            </w:r>
          </w:p>
        </w:tc>
        <w:tc>
          <w:tcPr>
            <w:tcW w:w="2640"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Rate</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story_open</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44</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73.3%</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animal_open</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31</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51.7%</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story_lt10</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14</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23.3%</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story_lt5</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13</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21.7%</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animal_lt10</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3.3%</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ascii="Garamond" w:hAnsi="Garamond"/>
                <w:kern w:val="0"/>
                <w:szCs w:val="24"/>
                <w:lang w:val="en-US" w:eastAsia="en-US" w:bidi="ar-SA"/>
              </w:rPr>
              <w:t>poem_open</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1.7%</w:t>
            </w:r>
          </w:p>
        </w:tc>
      </w:tr>
    </w:tbl>
    <w:p>
      <w:pPr>
        <w:pStyle w:val="BodyText"/>
        <w:rPr>
          <w:rFonts w:ascii="Garamond" w:hAnsi="Garamond"/>
        </w:rPr>
      </w:pPr>
      <w:r>
        <w:rPr>
          <w:rFonts w:ascii="Garamond" w:hAnsi="Garamond"/>
        </w:rPr>
        <w:t>This supports the preregistration’s warning that sentence segmentation is ambiguous, especially for stylized prose and poetry.</w:t>
      </w:r>
    </w:p>
    <w:p>
      <w:pPr>
        <w:pStyle w:val="Normal"/>
        <w:rPr>
          <w:rFonts w:ascii="Garamond" w:hAnsi="Garamond"/>
        </w:rPr>
      </w:pPr>
      <w:bookmarkStart w:id="12" w:name="X04814a877c18dfeef0eb11c2c41713c647b2a3f"/>
      <w:r>
        <w:rPr>
          <w:rFonts w:ascii="Garamond" w:hAnsi="Garamond"/>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rFonts w:ascii="Garamond" w:hAnsi="Garamond"/>
        </w:rPr>
      </w:pPr>
      <w:bookmarkStart w:id="13" w:name="registered-but-incomplete-measures"/>
      <w:r>
        <w:rPr>
          <w:rFonts w:ascii="Garamond" w:hAnsi="Garamond"/>
        </w:rPr>
        <w:t>5. Registered-but-incomplete measures</w:t>
      </w:r>
    </w:p>
    <w:p>
      <w:pPr>
        <w:pStyle w:val="FirstParagraph"/>
        <w:rPr>
          <w:rFonts w:ascii="Garamond" w:hAnsi="Garamond"/>
        </w:rPr>
      </w:pPr>
      <w:r>
        <w:rPr>
          <w:rFonts w:ascii="Garamond" w:hAnsi="Garamond"/>
        </w:rPr>
        <w:t>A stricter v4 should not pretend every registered analysis is complete.</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Registered measure</w:t>
            </w:r>
          </w:p>
        </w:tc>
        <w:tc>
          <w:tcPr>
            <w:tcW w:w="312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v4 status</w:t>
            </w:r>
          </w:p>
        </w:tc>
        <w:tc>
          <w:tcPr>
            <w:tcW w:w="312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Consequence</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Opening words/bigrams</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Reported, with entropy and top-word concentration</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Strongest registered result</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Sentence-count compliance</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Reported with two coders and disagreement cases</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Robust except at boundary cases</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Line-count metrics for poems</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Partly present in coder outputs, not fully emphasized here</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Should be expanded if poem compliance matters</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Lexical diversity / MTLD</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Not completed as preregistered; type-token ratio/formulaicness appear only as heuristic proxies</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Do not treat formulaicness as registered MTLD</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Named-entity inventory for animal prompts</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Partly approximated by semantic animal/entity candidates, not the full preregistered inventory</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Should be labeled exploratory/partial</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Embedding geometry</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Not completed in this v4</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Cannot claim within/between embedding structure yet</w:t>
            </w:r>
          </w:p>
        </w:tc>
      </w:tr>
      <w:tr>
        <w:trPr/>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Nearest-neighbor confusion matrix</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Not completed for embeddings; classifier confusion matrix is a different exploratory check</w:t>
            </w:r>
          </w:p>
        </w:tc>
        <w:tc>
          <w:tcPr>
            <w:tcW w:w="312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Keep distinct</w:t>
            </w:r>
          </w:p>
        </w:tc>
      </w:tr>
    </w:tbl>
    <w:p>
      <w:pPr>
        <w:pStyle w:val="BodyText"/>
        <w:rPr>
          <w:rFonts w:ascii="Garamond" w:hAnsi="Garamond"/>
        </w:rPr>
      </w:pPr>
      <w:r>
        <w:rPr>
          <w:rFonts w:ascii="Garamond" w:hAnsi="Garamond"/>
        </w:rPr>
        <w:t>This section is the boring backbone of the paper. It prevents the exciting results from laundering themselves through the preregistration. The preregistered study asked for more than the present write-up fully delivers. That is fine for a v4, provided the incompleteness is visible.</w:t>
      </w:r>
    </w:p>
    <w:p>
      <w:pPr>
        <w:pStyle w:val="Normal"/>
        <w:rPr>
          <w:rFonts w:ascii="Garamond" w:hAnsi="Garamond"/>
        </w:rPr>
      </w:pPr>
      <w:bookmarkStart w:id="14" w:name="registered-but-incomplete-measures"/>
      <w:r>
        <w:rPr>
          <w:rFonts w:ascii="Garamond" w:hAnsi="Garamond"/>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rFonts w:ascii="Garamond" w:hAnsi="Garamond"/>
        </w:rPr>
      </w:pPr>
      <w:bookmarkStart w:id="15" w:name="X41968db52aa97c3ab2d8070228e4118700e2563"/>
      <w:r>
        <w:rPr>
          <w:rFonts w:ascii="Garamond" w:hAnsi="Garamond"/>
        </w:rPr>
        <w:t>6. Exploratory reversal: em-dashes are not a Claude tell here</w:t>
      </w:r>
    </w:p>
    <w:p>
      <w:pPr>
        <w:pStyle w:val="FirstParagraph"/>
        <w:rPr>
          <w:rFonts w:ascii="Garamond" w:hAnsi="Garamond"/>
        </w:rPr>
      </w:pPr>
      <w:r>
        <w:rPr>
          <w:rFonts w:ascii="Garamond" w:hAnsi="Garamond"/>
        </w:rPr>
        <w:t>The em-dash result is not preregistered. It is an exploratory structural screen. It is also too clean and too funny not to report.</w:t>
      </w:r>
    </w:p>
    <w:p>
      <w:pPr>
        <w:pStyle w:val="BodyText"/>
        <w:rPr>
          <w:rFonts w:ascii="Garamond" w:hAnsi="Garamond"/>
        </w:rPr>
      </w:pPr>
      <w:r>
        <w:rPr>
          <w:rFonts w:ascii="Garamond" w:hAnsi="Garamond"/>
        </w:rPr>
        <w:t>The folk stereotype says em-dashes and curly quotes are how you spot Claude. In this dataset, the em-dash signal localizes to GPT 5.4 Nano. GPT 5.4 Nano averages 1.62 em-dashes per response, more than twice any other model. Its median em-dash count is 1; every other model has median 0. It also has the highest median smart-quote share.</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477"/>
        <w:gridCol w:w="1971"/>
        <w:gridCol w:w="1970"/>
        <w:gridCol w:w="1971"/>
        <w:gridCol w:w="1971"/>
      </w:tblGrid>
      <w:tr>
        <w:trPr>
          <w:tblHeader w:val="true"/>
        </w:trPr>
        <w:tc>
          <w:tcPr>
            <w:tcW w:w="1477"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w:t>
            </w:r>
          </w:p>
        </w:tc>
        <w:tc>
          <w:tcPr>
            <w:tcW w:w="1971"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Mean em-dashes</w:t>
            </w:r>
          </w:p>
        </w:tc>
        <w:tc>
          <w:tcPr>
            <w:tcW w:w="1970"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Median em-dashes</w:t>
            </w:r>
          </w:p>
        </w:tc>
        <w:tc>
          <w:tcPr>
            <w:tcW w:w="1971"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Total em-dashes</w:t>
            </w:r>
          </w:p>
        </w:tc>
        <w:tc>
          <w:tcPr>
            <w:tcW w:w="1971"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Median smart-quote share</w:t>
            </w:r>
          </w:p>
        </w:tc>
      </w:tr>
      <w:tr>
        <w:trPr/>
        <w:tc>
          <w:tcPr>
            <w:tcW w:w="1477"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0.36</w:t>
            </w:r>
          </w:p>
        </w:tc>
        <w:tc>
          <w:tcPr>
            <w:tcW w:w="197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32</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0.0</w:t>
            </w:r>
          </w:p>
        </w:tc>
      </w:tr>
      <w:tr>
        <w:trPr/>
        <w:tc>
          <w:tcPr>
            <w:tcW w:w="1477"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 Mini</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0.37</w:t>
            </w:r>
          </w:p>
        </w:tc>
        <w:tc>
          <w:tcPr>
            <w:tcW w:w="197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33</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0.5</w:t>
            </w:r>
          </w:p>
        </w:tc>
      </w:tr>
      <w:tr>
        <w:trPr/>
        <w:tc>
          <w:tcPr>
            <w:tcW w:w="1477"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 Nano</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1.62</w:t>
            </w:r>
          </w:p>
        </w:tc>
        <w:tc>
          <w:tcPr>
            <w:tcW w:w="197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146</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1.0</w:t>
            </w:r>
          </w:p>
        </w:tc>
      </w:tr>
      <w:tr>
        <w:trPr/>
        <w:tc>
          <w:tcPr>
            <w:tcW w:w="1477"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Opus 4.7</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0.62</w:t>
            </w:r>
          </w:p>
        </w:tc>
        <w:tc>
          <w:tcPr>
            <w:tcW w:w="197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56</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0.0</w:t>
            </w:r>
          </w:p>
        </w:tc>
      </w:tr>
      <w:tr>
        <w:trPr/>
        <w:tc>
          <w:tcPr>
            <w:tcW w:w="1477"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Sonnet 4.6</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0.81</w:t>
            </w:r>
          </w:p>
        </w:tc>
        <w:tc>
          <w:tcPr>
            <w:tcW w:w="197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73</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0.0</w:t>
            </w:r>
          </w:p>
        </w:tc>
      </w:tr>
      <w:tr>
        <w:trPr/>
        <w:tc>
          <w:tcPr>
            <w:tcW w:w="1477"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Haiku 4.5</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0.69</w:t>
            </w:r>
          </w:p>
        </w:tc>
        <w:tc>
          <w:tcPr>
            <w:tcW w:w="197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62</w:t>
            </w:r>
          </w:p>
        </w:tc>
        <w:tc>
          <w:tcPr>
            <w:tcW w:w="1971"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0.0</w:t>
            </w:r>
          </w:p>
        </w:tc>
      </w:tr>
    </w:tbl>
    <w:p>
      <w:pPr>
        <w:pStyle w:val="BodyText"/>
        <w:rPr>
          <w:rFonts w:ascii="Garamond" w:hAnsi="Garamond"/>
        </w:rPr>
      </w:pPr>
      <w:r>
        <w:rPr>
          <w:rFonts w:ascii="Garamond" w:hAnsi="Garamond"/>
        </w:rPr>
        <w:t>Whatever produced the user-facing “em-dash equals Claude” folk wisdom is not visible in this cold-prompt assay. Here, em-dashes are a GPT 5.4 Nano tell. More narrowly and more safely: they are a tell for this Nano snapshot under these prompts and settings.</w:t>
      </w:r>
    </w:p>
    <w:p>
      <w:pPr>
        <w:pStyle w:val="Normal"/>
        <w:rPr>
          <w:rFonts w:ascii="Garamond" w:hAnsi="Garamond"/>
        </w:rPr>
      </w:pPr>
      <w:bookmarkStart w:id="16" w:name="X41968db52aa97c3ab2d8070228e4118700e2563"/>
      <w:r>
        <w:rPr>
          <w:rFonts w:ascii="Garamond" w:hAnsi="Garamond"/>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rFonts w:ascii="Garamond" w:hAnsi="Garamond"/>
        </w:rPr>
      </w:pPr>
      <w:bookmarkStart w:id="17" w:name="Xf318b7051314766397269972b973c67c6f87cc3"/>
      <w:r>
        <w:rPr>
          <w:rFonts w:ascii="Garamond" w:hAnsi="Garamond"/>
        </w:rPr>
        <w:t>7. Exploratory reversal: the “Here is…” preamble is Sonnet, not GPT</w:t>
      </w:r>
    </w:p>
    <w:p>
      <w:pPr>
        <w:pStyle w:val="FirstParagraph"/>
        <w:rPr>
          <w:rFonts w:ascii="Garamond" w:hAnsi="Garamond"/>
        </w:rPr>
      </w:pPr>
      <w:r>
        <w:rPr>
          <w:rFonts w:ascii="Garamond" w:hAnsi="Garamond"/>
        </w:rPr>
        <w:t>The preamble result is also exploratory. It is not a registered hypothesis. But it matters because it reverses another common folk belief.</w:t>
      </w:r>
    </w:p>
    <w:p>
      <w:pPr>
        <w:pStyle w:val="BodyText"/>
        <w:rPr>
          <w:rFonts w:ascii="Garamond" w:hAnsi="Garamond"/>
        </w:rPr>
      </w:pPr>
      <w:r>
        <w:rPr>
          <w:rFonts w:ascii="Garamond" w:hAnsi="Garamond"/>
        </w:rPr>
        <w:t>Across 270 GPT outputs, there are zero structural meta-preambles. Across 90 Sonnet outputs, there are 34. Opus has one. Haiku has none. This is not a Claude-family habit. It is a Sonnet habit under specific prompt conditions.</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w:t>
            </w:r>
          </w:p>
        </w:tc>
        <w:tc>
          <w:tcPr>
            <w:tcW w:w="2640"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Preamble rate</w:t>
            </w:r>
          </w:p>
        </w:tc>
        <w:tc>
          <w:tcPr>
            <w:tcW w:w="2640"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Preambles / 90</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0.0%</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 Mini</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0.0%</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 Nano</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0.0%</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Opus 4.7</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1.1%</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Sonnet 4.6</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37.8%</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34</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Haiku 4.5</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0.0%</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r>
    </w:tbl>
    <w:p>
      <w:pPr>
        <w:pStyle w:val="BodyText"/>
        <w:rPr/>
      </w:pPr>
      <w:r>
        <w:rPr>
          <w:rFonts w:ascii="Garamond" w:hAnsi="Garamond"/>
        </w:rPr>
        <w:t xml:space="preserve">Within Sonnet, the behavior is conditional. It appears on length-constrained poems and stories: 10/10 on </w:t>
      </w:r>
      <w:r>
        <w:rPr>
          <w:rStyle w:val="VerbatimChar"/>
          <w:rFonts w:ascii="Garamond" w:hAnsi="Garamond"/>
        </w:rPr>
        <w:t>poem_lt5</w:t>
      </w:r>
      <w:r>
        <w:rPr>
          <w:rFonts w:ascii="Garamond" w:hAnsi="Garamond"/>
        </w:rPr>
        <w:t xml:space="preserve">, 10/10 on </w:t>
      </w:r>
      <w:r>
        <w:rPr>
          <w:rStyle w:val="VerbatimChar"/>
          <w:rFonts w:ascii="Garamond" w:hAnsi="Garamond"/>
        </w:rPr>
        <w:t>poem_lt10</w:t>
      </w:r>
      <w:r>
        <w:rPr>
          <w:rFonts w:ascii="Garamond" w:hAnsi="Garamond"/>
        </w:rPr>
        <w:t xml:space="preserve">, 10/10 on </w:t>
      </w:r>
      <w:r>
        <w:rPr>
          <w:rStyle w:val="VerbatimChar"/>
          <w:rFonts w:ascii="Garamond" w:hAnsi="Garamond"/>
        </w:rPr>
        <w:t>story_lt5</w:t>
      </w:r>
      <w:r>
        <w:rPr>
          <w:rFonts w:ascii="Garamond" w:hAnsi="Garamond"/>
        </w:rPr>
        <w:t xml:space="preserve">, and 4/10 on </w:t>
      </w:r>
      <w:r>
        <w:rPr>
          <w:rStyle w:val="VerbatimChar"/>
          <w:rFonts w:ascii="Garamond" w:hAnsi="Garamond"/>
        </w:rPr>
        <w:t>story_lt10</w:t>
      </w:r>
      <w:r>
        <w:rPr>
          <w:rFonts w:ascii="Garamond" w:hAnsi="Garamond"/>
        </w:rPr>
        <w:t>. It disappears on open prompts and on animal prompts.</w:t>
      </w:r>
    </w:p>
    <w:p>
      <w:pPr>
        <w:pStyle w:val="BodyText"/>
        <w:rPr>
          <w:rFonts w:ascii="Garamond" w:hAnsi="Garamond"/>
        </w:rPr>
      </w:pPr>
      <w:r>
        <w:rPr>
          <w:rFonts w:ascii="Garamond" w:hAnsi="Garamond"/>
        </w:rPr>
        <w:t>The behavior looks like a deliverable-frame reflex: when Sonnet is asked for a constrained poem or story, it sometimes announces the artifact before giving it. In normal product settings, a system prompt might suppress this. The result describes cold Sonnet, not Sonnet under an assistant policy scaffold.</w:t>
      </w:r>
    </w:p>
    <w:p>
      <w:pPr>
        <w:pStyle w:val="Normal"/>
        <w:rPr>
          <w:rFonts w:ascii="Garamond" w:hAnsi="Garamond"/>
        </w:rPr>
      </w:pPr>
      <w:bookmarkStart w:id="18" w:name="Xf318b7051314766397269972b973c67c6f87cc3"/>
      <w:r>
        <w:rPr>
          <w:rFonts w:ascii="Garamond" w:hAnsi="Garamond"/>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rPr>
          <w:rFonts w:ascii="Garamond" w:hAnsi="Garamond"/>
        </w:rPr>
      </w:pPr>
      <w:bookmarkStart w:id="19" w:name="X307dee0f7fabe42af1da1192cd8fad6fb02c86d"/>
      <w:r>
        <w:rPr>
          <w:rFonts w:ascii="Garamond" w:hAnsi="Garamond"/>
        </w:rPr>
        <w:t>8. Exploratory structural signature: format-rigidity</w:t>
      </w:r>
    </w:p>
    <w:p>
      <w:pPr>
        <w:pStyle w:val="FirstParagraph"/>
        <w:rPr>
          <w:rFonts w:ascii="Garamond" w:hAnsi="Garamond"/>
        </w:rPr>
      </w:pPr>
      <w:r>
        <w:rPr>
          <w:rFonts w:ascii="Garamond" w:hAnsi="Garamond"/>
        </w:rPr>
        <w:t>Format is where the model fingerprints become obvious. Titles and single-block prose separate the six models dramatically, but not as a simple Claude-vs-GPT binary.</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w:t>
            </w:r>
          </w:p>
        </w:tc>
        <w:tc>
          <w:tcPr>
            <w:tcW w:w="2640"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Title-line rate</w:t>
            </w:r>
          </w:p>
        </w:tc>
        <w:tc>
          <w:tcPr>
            <w:tcW w:w="2640"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Single-block rate</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2.2%</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64.4%</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 Mini</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22.2%</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65.6%</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 Nano</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5.6%</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66.7%</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Opus 4.7</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75.6%</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23.3%</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Sonnet 4.6</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98.9%</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0.0%</w:t>
            </w:r>
          </w:p>
        </w:tc>
      </w:tr>
      <w:tr>
        <w:trPr/>
        <w:tc>
          <w:tcPr>
            <w:tcW w:w="2640"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Haiku 4.5</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100.0%</w:t>
            </w:r>
          </w:p>
        </w:tc>
        <w:tc>
          <w:tcPr>
            <w:tcW w:w="2640"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0.0%</w:t>
            </w:r>
          </w:p>
        </w:tc>
      </w:tr>
    </w:tbl>
    <w:p>
      <w:pPr>
        <w:pStyle w:val="BodyText"/>
        <w:rPr>
          <w:rFonts w:ascii="Garamond" w:hAnsi="Garamond"/>
        </w:rPr>
      </w:pPr>
      <w:r>
        <w:rPr>
          <w:rFonts w:ascii="Garamond" w:hAnsi="Garamond"/>
        </w:rPr>
        <w:t>A family summary is true but too smooth: GPT-family outputs are usually single-block; Claude-family outputs are usually titled. The individual profiles are more informative. Sonnet and Haiku are format-rigid: title-heavy under every length condition and never single-block. GPT 5.4 and GPT 5.4 Nano are format-minimal: rarely titled and usually single-block. Opus and GPT Mini are format-adaptive: they title heavily under open prompts and drop titles under constraints, though they do so differently.</w:t>
      </w:r>
    </w:p>
    <w:p>
      <w:pPr>
        <w:pStyle w:val="BodyText"/>
        <w:rPr>
          <w:rFonts w:ascii="Garamond" w:hAnsi="Garamond"/>
        </w:rPr>
      </w:pPr>
      <w:r>
        <w:rPr>
          <w:rFonts w:ascii="Garamond" w:hAnsi="Garamond"/>
        </w:rPr>
        <w:t>Those labels - rigid, minimal, adaptive - are interpretive. The underlying rates are the load-bearing part. A different analyst could name the clusters differently. The point is that the clusters are not reducible to provider family.</w:t>
      </w:r>
    </w:p>
    <w:p>
      <w:pPr>
        <w:pStyle w:val="Normal"/>
        <w:rPr>
          <w:rFonts w:ascii="Garamond" w:hAnsi="Garamond"/>
        </w:rPr>
      </w:pPr>
      <w:bookmarkStart w:id="20" w:name="X307dee0f7fabe42af1da1192cd8fad6fb02c86d"/>
      <w:r>
        <w:rPr>
          <w:rFonts w:ascii="Garamond" w:hAnsi="Garamond"/>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2"/>
        <w:rPr>
          <w:rFonts w:ascii="Garamond" w:hAnsi="Garamond"/>
        </w:rPr>
      </w:pPr>
      <w:bookmarkStart w:id="21" w:name="output-cap-hits-opus-had-more-to-say"/>
      <w:r>
        <w:rPr>
          <w:rFonts w:ascii="Garamond" w:hAnsi="Garamond"/>
        </w:rPr>
        <w:t>9. Output-cap hits: Opus had more to say</w:t>
      </w:r>
    </w:p>
    <w:p>
      <w:pPr>
        <w:pStyle w:val="FirstParagraph"/>
        <w:rPr/>
      </w:pPr>
      <w:r>
        <w:rPr>
          <w:rFonts w:ascii="Garamond" w:hAnsi="Garamond"/>
        </w:rPr>
        <w:t>Output-cap hits were planned to be reported as truncation-at-</w:t>
      </w:r>
      <w:r>
        <w:rPr>
          <w:rStyle w:val="VerbatimChar"/>
          <w:rFonts w:ascii="Garamond" w:hAnsi="Garamond"/>
        </w:rPr>
        <w:t>max_tokens</w:t>
      </w:r>
      <w:r>
        <w:rPr>
          <w:rFonts w:ascii="Garamond" w:hAnsi="Garamond"/>
        </w:rPr>
        <w:t>, but the interpretation here is refined: a cap hit is a censoring event imposed by the harness. It is not a natural completion failure.</w:t>
      </w:r>
    </w:p>
    <w:p>
      <w:pPr>
        <w:pStyle w:val="BodyText"/>
        <w:rPr>
          <w:rFonts w:ascii="Garamond" w:hAnsi="Garamond"/>
        </w:rPr>
      </w:pPr>
      <w:r>
        <w:rPr>
          <w:rFonts w:ascii="Garamond" w:hAnsi="Garamond"/>
        </w:rPr>
        <w:t>Every cap hit in the dataset occurs in an open-length prompt. No constrained output hits the cap. The distribution is model-specific:</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221"/>
        <w:gridCol w:w="1628"/>
        <w:gridCol w:w="1627"/>
        <w:gridCol w:w="1628"/>
        <w:gridCol w:w="1628"/>
        <w:gridCol w:w="1628"/>
      </w:tblGrid>
      <w:tr>
        <w:trPr>
          <w:tblHeader w:val="true"/>
        </w:trPr>
        <w:tc>
          <w:tcPr>
            <w:tcW w:w="1221" w:type="dxa"/>
            <w:tcBorders>
              <w:bottom w:val="single" w:sz="6" w:space="0" w:color="000000"/>
            </w:tcBorders>
            <w:vAlign w:val="bottom"/>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Model</w:t>
            </w:r>
          </w:p>
        </w:tc>
        <w:tc>
          <w:tcPr>
            <w:tcW w:w="1628"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Cap hits / 90</w:t>
            </w:r>
          </w:p>
        </w:tc>
        <w:tc>
          <w:tcPr>
            <w:tcW w:w="1627"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Overall cap-hit rate</w:t>
            </w:r>
          </w:p>
        </w:tc>
        <w:tc>
          <w:tcPr>
            <w:tcW w:w="1628"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Story open</w:t>
            </w:r>
          </w:p>
        </w:tc>
        <w:tc>
          <w:tcPr>
            <w:tcW w:w="1628"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Animal open</w:t>
            </w:r>
          </w:p>
        </w:tc>
        <w:tc>
          <w:tcPr>
            <w:tcW w:w="1628" w:type="dxa"/>
            <w:tcBorders>
              <w:bottom w:val="single" w:sz="6" w:space="0" w:color="000000"/>
            </w:tcBorders>
            <w:vAlign w:val="bottom"/>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Poem open</w:t>
            </w:r>
          </w:p>
        </w:tc>
      </w:tr>
      <w:tr>
        <w:trPr/>
        <w:tc>
          <w:tcPr>
            <w:tcW w:w="122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5</w:t>
            </w:r>
          </w:p>
        </w:tc>
        <w:tc>
          <w:tcPr>
            <w:tcW w:w="1627"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5.6%</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50%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r>
      <w:tr>
        <w:trPr/>
        <w:tc>
          <w:tcPr>
            <w:tcW w:w="122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 Mini</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8</w:t>
            </w:r>
          </w:p>
        </w:tc>
        <w:tc>
          <w:tcPr>
            <w:tcW w:w="1627"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8.9%</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80%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r>
      <w:tr>
        <w:trPr/>
        <w:tc>
          <w:tcPr>
            <w:tcW w:w="122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GPT 5.4 Nano</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10</w:t>
            </w:r>
          </w:p>
        </w:tc>
        <w:tc>
          <w:tcPr>
            <w:tcW w:w="1627"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11.1%</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100%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r>
      <w:tr>
        <w:trPr/>
        <w:tc>
          <w:tcPr>
            <w:tcW w:w="122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Opus 4.7</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20</w:t>
            </w:r>
          </w:p>
        </w:tc>
        <w:tc>
          <w:tcPr>
            <w:tcW w:w="1627"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22.2%</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100%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100%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r>
      <w:tr>
        <w:trPr/>
        <w:tc>
          <w:tcPr>
            <w:tcW w:w="122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Sonnet 4.6</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627"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r>
      <w:tr>
        <w:trPr/>
        <w:tc>
          <w:tcPr>
            <w:tcW w:w="1221" w:type="dxa"/>
            <w:tcBorders/>
          </w:tcPr>
          <w:p>
            <w:pPr>
              <w:pStyle w:val="Compact"/>
              <w:widowControl/>
              <w:spacing w:before="36" w:after="36"/>
              <w:jc w:val="lef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Claude Haiku 4.5</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w:t>
            </w:r>
          </w:p>
        </w:tc>
        <w:tc>
          <w:tcPr>
            <w:tcW w:w="1627"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1.1%</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10%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c>
          <w:tcPr>
            <w:tcW w:w="1628" w:type="dxa"/>
            <w:tcBorders/>
          </w:tcPr>
          <w:p>
            <w:pPr>
              <w:pStyle w:val="Compact"/>
              <w:widowControl/>
              <w:spacing w:before="36" w:after="36"/>
              <w:jc w:val="right"/>
              <w:rPr>
                <w:rFonts w:ascii="Garamond" w:hAnsi="Garamond" w:eastAsia="Aptos" w:cs=""/>
                <w:kern w:val="0"/>
                <w:sz w:val="24"/>
                <w:szCs w:val="24"/>
                <w:lang w:val="en-US" w:eastAsia="en-US" w:bidi="ar-SA"/>
              </w:rPr>
            </w:pPr>
            <w:r>
              <w:rPr>
                <w:rFonts w:eastAsia="Aptos" w:cs="" w:ascii="Garamond" w:hAnsi="Garamond"/>
                <w:kern w:val="0"/>
                <w:sz w:val="24"/>
                <w:szCs w:val="24"/>
                <w:lang w:val="en-US" w:eastAsia="en-US" w:bidi="ar-SA"/>
              </w:rPr>
              <w:t>0%</w:t>
            </w:r>
          </w:p>
        </w:tc>
      </w:tr>
    </w:tbl>
    <w:p>
      <w:pPr>
        <w:pStyle w:val="BodyText"/>
        <w:rPr>
          <w:rFonts w:ascii="Garamond" w:hAnsi="Garamond"/>
        </w:rPr>
      </w:pPr>
      <w:r>
        <w:rPr>
          <w:rFonts w:ascii="Garamond" w:hAnsi="Garamond"/>
        </w:rPr>
        <w:t>Opus hits the cap on 100% of open stories and 100% of open animal descriptions. In this setup, that means Opus most often attempted to continue beyond the fixed response budget. It had more to say than the harness allowed. Sonnet never hits the cap. GPT 5.4 Nano hits the cap on all open stories but not on open animals or poems.</w:t>
      </w:r>
    </w:p>
    <w:p>
      <w:pPr>
        <w:pStyle w:val="BodyText"/>
        <w:rPr>
          <w:rFonts w:ascii="Garamond" w:hAnsi="Garamond"/>
        </w:rPr>
      </w:pPr>
      <w:r>
        <w:rPr>
          <w:rFonts w:ascii="Garamond" w:hAnsi="Garamond"/>
        </w:rPr>
        <w:t>The cap-hit finding is useful but dangerous. It should not be folded into quality judgments. It should be treated as latent elaboration pressure and as a censoring confound for anything involving endings, plot resolution, final sentence structure, lexical diversity, or formulaicness.</w:t>
      </w:r>
    </w:p>
    <w:p>
      <w:pPr>
        <w:pStyle w:val="Normal"/>
        <w:rPr>
          <w:rFonts w:ascii="Garamond" w:hAnsi="Garamond"/>
        </w:rPr>
      </w:pPr>
      <w:bookmarkStart w:id="22" w:name="output-cap-hits-opus-had-more-to-say"/>
      <w:r>
        <w:rPr>
          <w:rFonts w:ascii="Garamond" w:hAnsi="Garamond"/>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2"/>
        <w:rPr>
          <w:rFonts w:ascii="Garamond" w:hAnsi="Garamond"/>
        </w:rPr>
      </w:pPr>
      <w:bookmarkStart w:id="23" w:name="X590ef3b7ddbe3545e8a99e0f0b0d6e3bbfbc97e"/>
      <w:r>
        <w:rPr>
          <w:rFonts w:ascii="Garamond" w:hAnsi="Garamond"/>
        </w:rPr>
        <w:t>10. Classifier check with the missing confusion matrix restored</w:t>
      </w:r>
    </w:p>
    <w:p>
      <w:pPr>
        <w:pStyle w:val="FirstParagraph"/>
        <w:rPr>
          <w:rFonts w:ascii="Garamond" w:hAnsi="Garamond"/>
        </w:rPr>
      </w:pPr>
      <w:r>
        <w:rPr>
          <w:rFonts w:ascii="Garamond" w:hAnsi="Garamond"/>
        </w:rPr>
        <w:t>v3 correctly flagged that the classifier result was incomplete without a confusion matrix. v4 adds one.</w:t>
      </w:r>
    </w:p>
    <w:p>
      <w:pPr>
        <w:pStyle w:val="BodyText"/>
        <w:rPr>
          <w:rFonts w:ascii="Garamond" w:hAnsi="Garamond"/>
        </w:rPr>
      </w:pPr>
      <w:r>
        <w:rPr>
          <w:rFonts w:ascii="Garamond" w:hAnsi="Garamond"/>
        </w:rPr>
        <w:t>The classifier check is exploratory and not part of the preregistered embedding-nearest-neighbor analysis. It uses surface-style features only, excluding model labels, family labels, prompt labels, compliance labels, text, and output-cap hits. Validation is leave-one-prompt-condition-out: train on eight prompt conditions, test on the ninth, and repeat across all nine prompt IDs.</w:t>
      </w:r>
    </w:p>
    <w:p>
      <w:pPr>
        <w:pStyle w:val="BodyText"/>
        <w:rPr>
          <w:rFonts w:ascii="Garamond" w:hAnsi="Garamond"/>
        </w:rPr>
      </w:pPr>
      <w:r>
        <w:rPr>
          <w:rFonts w:ascii="Garamond" w:hAnsi="Garamond"/>
        </w:rPr>
        <w:t>With this v4 feature set, logistic regression reaches 55.6% six-way accuracy and random forest reaches 58.5%, against 16.7% chance.</w:t>
      </w:r>
    </w:p>
    <w:p>
      <w:pPr>
        <w:pStyle w:val="BodyText"/>
        <w:rPr>
          <w:rFonts w:ascii="Garamond" w:hAnsi="Garamond"/>
        </w:rPr>
      </w:pPr>
      <w:r>
        <w:rPr>
          <w:rFonts w:ascii="Garamond" w:hAnsi="Garamond"/>
        </w:rPr>
        <w:t>The confusion matrix shows that the result is not evenly distributed across models. Haiku is easy: 60/90 correct in the random forest. Sonnet is also relatively visible. The GPT models are harder and often confused with one another. Opus is frequently confused with Haiku, which is exactly the sort of detail the aggregate accuracy hid.</w:t>
      </w:r>
    </w:p>
    <w:p>
      <w:pPr>
        <w:pStyle w:val="BodyText"/>
        <w:rPr>
          <w:rFonts w:ascii="Garamond" w:hAnsi="Garamond"/>
        </w:rPr>
      </w:pPr>
      <w:r>
        <w:rPr>
          <w:rFonts w:ascii="Garamond" w:hAnsi="Garamond"/>
        </w:rPr>
        <w:t>This does not make the classifier an attribution system. It is a sanity check: if a small set of surface features identifies individual models far above chance on held-out prompt conditions, then stylistic defaults are stable enough to survive the prompt grid.</w:t>
      </w:r>
    </w:p>
    <w:p>
      <w:pPr>
        <w:pStyle w:val="Normal"/>
        <w:rPr>
          <w:rFonts w:ascii="Garamond" w:hAnsi="Garamond"/>
        </w:rPr>
      </w:pPr>
      <w:bookmarkStart w:id="24" w:name="X590ef3b7ddbe3545e8a99e0f0b0d6e3bbfbc97e"/>
      <w:r>
        <w:rPr>
          <w:rFonts w:ascii="Garamond" w:hAnsi="Garamond"/>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p>
    <w:p>
      <w:pPr>
        <w:pStyle w:val="Heading2"/>
        <w:rPr>
          <w:rFonts w:ascii="Garamond" w:hAnsi="Garamond"/>
        </w:rPr>
      </w:pPr>
      <w:bookmarkStart w:id="25" w:name="why-semantic-features-were-quieter"/>
      <w:r>
        <w:rPr>
          <w:rFonts w:ascii="Garamond" w:hAnsi="Garamond"/>
        </w:rPr>
        <w:t>11. Why semantic features were quieter</w:t>
      </w:r>
    </w:p>
    <w:p>
      <w:pPr>
        <w:pStyle w:val="FirstParagraph"/>
        <w:rPr>
          <w:rFonts w:ascii="Garamond" w:hAnsi="Garamond"/>
        </w:rPr>
      </w:pPr>
      <w:r>
        <w:rPr>
          <w:rFonts w:ascii="Garamond" w:hAnsi="Garamond"/>
        </w:rPr>
        <w:t>The semantic coder produced weaker separations than the structural coder. That does not prove that the models are semantically similar. It proves only that these short cold-prompt outputs, coded with these coarse semantic bins, separated less strongly by content than by visible form.</w:t>
      </w:r>
    </w:p>
    <w:p>
      <w:pPr>
        <w:pStyle w:val="BodyText"/>
        <w:rPr/>
      </w:pPr>
      <w:r>
        <w:rPr>
          <w:rFonts w:ascii="Garamond" w:hAnsi="Garamond"/>
        </w:rPr>
        <w:t xml:space="preserve">There are several plausible reasons. The prompts may naturally pull all frontier-style models toward similar semantic material: natural settings, serene moods, third-person present-tense narration, gentle transformations, small creatures, starlight, forests, rivers, memory. The semantic bins may also be too coarse. A model can differ in metaphor texture, cliché handling, tonal pressure, or narrative pacing without changing a label such as </w:t>
      </w:r>
      <w:r>
        <w:rPr>
          <w:rStyle w:val="VerbatimChar"/>
          <w:rFonts w:ascii="Garamond" w:hAnsi="Garamond"/>
        </w:rPr>
        <w:t>dominant_mood_heuristic = serene</w:t>
      </w:r>
      <w:r>
        <w:rPr>
          <w:rFonts w:ascii="Garamond" w:hAnsi="Garamond"/>
        </w:rPr>
        <w:t>. And the 400-token cap censors the very outputs where longer semantic arcs might have developed.</w:t>
      </w:r>
    </w:p>
    <w:p>
      <w:pPr>
        <w:pStyle w:val="BodyText"/>
        <w:rPr>
          <w:rFonts w:ascii="Garamond" w:hAnsi="Garamond"/>
        </w:rPr>
      </w:pPr>
      <w:r>
        <w:rPr>
          <w:rFonts w:ascii="Garamond" w:hAnsi="Garamond"/>
        </w:rPr>
        <w:t>So the defensible claim is narrow: structural features discriminated models more strongly than the available semantic heuristics. The paper should not claim that models differ in form but not meaning.</w:t>
      </w:r>
    </w:p>
    <w:p>
      <w:pPr>
        <w:pStyle w:val="BodyText"/>
        <w:rPr>
          <w:rFonts w:ascii="Garamond" w:hAnsi="Garamond"/>
        </w:rPr>
      </w:pPr>
      <w:r>
        <w:rPr>
          <w:rFonts w:ascii="Garamond" w:hAnsi="Garamond"/>
        </w:rPr>
        <w:t>Formulaicness is especially delicate. It appears in the semantic heuristic, not in the original registered MTLD plan. It is therefore an exploratory proxy, not a preregistered lexical-diversity result. And because both coders and analysts are themselves models, any flattering model-specific interpretation of “formulaicness” should be treated as soft.</w:t>
      </w:r>
    </w:p>
    <w:p>
      <w:pPr>
        <w:pStyle w:val="Normal"/>
        <w:rPr>
          <w:rFonts w:ascii="Garamond" w:hAnsi="Garamond"/>
        </w:rPr>
      </w:pPr>
      <w:bookmarkStart w:id="26" w:name="why-semantic-features-were-quieter"/>
      <w:r>
        <w:rPr>
          <w:rFonts w:ascii="Garamond" w:hAnsi="Garamond"/>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2"/>
        <w:rPr>
          <w:rFonts w:ascii="Garamond" w:hAnsi="Garamond"/>
        </w:rPr>
      </w:pPr>
      <w:bookmarkStart w:id="27" w:name="discussion-what-the-audit-changes"/>
      <w:r>
        <w:rPr>
          <w:rFonts w:ascii="Garamond" w:hAnsi="Garamond"/>
        </w:rPr>
        <w:t>12. Discussion: what the audit changes</w:t>
      </w:r>
    </w:p>
    <w:p>
      <w:pPr>
        <w:pStyle w:val="FirstParagraph"/>
        <w:rPr>
          <w:rFonts w:ascii="Garamond" w:hAnsi="Garamond"/>
        </w:rPr>
      </w:pPr>
      <w:r>
        <w:rPr>
          <w:rFonts w:ascii="Garamond" w:hAnsi="Garamond"/>
        </w:rPr>
        <w:t>The main empirical result remains: the models have recognizable defaults. They do not bullshit the same way. But v4 changes the paper’s epistemology.</w:t>
      </w:r>
    </w:p>
    <w:p>
      <w:pPr>
        <w:pStyle w:val="BodyText"/>
        <w:rPr>
          <w:rFonts w:ascii="Garamond" w:hAnsi="Garamond"/>
        </w:rPr>
      </w:pPr>
      <w:r>
        <w:rPr>
          <w:rFonts w:ascii="Garamond" w:hAnsi="Garamond"/>
        </w:rPr>
        <w:t>The old center of gravity was: blind analysis reversed the analyst’s folk beliefs. The new center is more careful: the repository registered an exploratory design and several planned descriptive measures; the strongest registered signal is opening-token concentration; several of the most entertaining findings are exploratory reversals of informal priors, not preregistered hypotheses.</w:t>
      </w:r>
    </w:p>
    <w:p>
      <w:pPr>
        <w:pStyle w:val="BodyText"/>
        <w:rPr>
          <w:rFonts w:ascii="Garamond" w:hAnsi="Garamond"/>
        </w:rPr>
      </w:pPr>
      <w:r>
        <w:rPr>
          <w:rFonts w:ascii="Garamond" w:hAnsi="Garamond"/>
        </w:rPr>
        <w:t>That is not a downgrade. It is a better paper. It prevents a public methods ledger from being rhetorically inflated into a sealed preregistration. It preserves the weirdness without laundering it. It lets the strongest claim stand on the correct footing:</w:t>
      </w:r>
    </w:p>
    <w:p>
      <w:pPr>
        <w:pStyle w:val="BlockText"/>
        <w:rPr>
          <w:rFonts w:ascii="Garamond" w:hAnsi="Garamond"/>
        </w:rPr>
      </w:pPr>
      <w:r>
        <w:rPr>
          <w:rFonts w:ascii="Garamond" w:hAnsi="Garamond"/>
        </w:rPr>
        <w:t>Under cold creative-writing prompts, models exhibit measurable default styles. Some planned measures, especially opening-token concentration, show clean family-level structure. Many of the most vivid signatures - em-dashes, preambles, format-rigidity, output-budget pressure - are exploratory and model-specific.</w:t>
      </w:r>
    </w:p>
    <w:p>
      <w:pPr>
        <w:pStyle w:val="FirstParagraph"/>
        <w:rPr>
          <w:rFonts w:ascii="Garamond" w:hAnsi="Garamond"/>
        </w:rPr>
      </w:pPr>
      <w:r>
        <w:rPr>
          <w:rFonts w:ascii="Garamond" w:hAnsi="Garamond"/>
        </w:rPr>
        <w:t>The machine-authored-coder problem is also not a footnote. Claude Opus wrote the structural heuristic; GPT-5.5 Thinking wrote the semantic heuristic; a later GPT-5.5 Thinking pass produced this rewrite. The human author is not pretending to be an invisible gold-standard judge. The human role is closer to producer, curator, editor, taste function - Rick Rubin with a repo. That does not invalidate the counts. It does mean the choice of what to count is part of the object under study.</w:t>
      </w:r>
    </w:p>
    <w:p>
      <w:pPr>
        <w:pStyle w:val="BodyText"/>
        <w:rPr>
          <w:rFonts w:ascii="Garamond" w:hAnsi="Garamond"/>
        </w:rPr>
      </w:pPr>
      <w:r>
        <w:rPr>
          <w:rFonts w:ascii="Garamond" w:hAnsi="Garamond"/>
        </w:rPr>
        <w:t>The most interesting future version would make that recursive structure explicit: have multiple models independently design coders, run all coders on the same outputs, and treat coder disagreement as data. The coders have fingerprints too.</w:t>
      </w:r>
    </w:p>
    <w:p>
      <w:pPr>
        <w:pStyle w:val="Normal"/>
        <w:rPr>
          <w:rFonts w:ascii="Garamond" w:hAnsi="Garamond"/>
        </w:rPr>
      </w:pPr>
      <w:bookmarkStart w:id="28" w:name="discussion-what-the-audit-changes"/>
      <w:r>
        <w:rPr>
          <w:rFonts w:ascii="Garamond" w:hAnsi="Garamond"/>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p>
    <w:p>
      <w:pPr>
        <w:pStyle w:val="Heading2"/>
        <w:rPr>
          <w:rFonts w:ascii="Garamond" w:hAnsi="Garamond"/>
        </w:rPr>
      </w:pPr>
      <w:bookmarkStart w:id="29" w:name="limitations-and-deviations"/>
      <w:r>
        <w:rPr>
          <w:rFonts w:ascii="Garamond" w:hAnsi="Garamond"/>
        </w:rPr>
        <w:t>13. Limitations and deviations</w:t>
      </w:r>
    </w:p>
    <w:p>
      <w:pPr>
        <w:pStyle w:val="Compact"/>
        <w:numPr>
          <w:ilvl w:val="0"/>
          <w:numId w:val="1"/>
        </w:numPr>
        <w:rPr>
          <w:rFonts w:ascii="Garamond" w:hAnsi="Garamond"/>
        </w:rPr>
      </w:pPr>
      <w:r>
        <w:rPr>
          <w:rFonts w:ascii="Garamond" w:hAnsi="Garamond"/>
        </w:rPr>
        <w:t>The preregistration was in-progress and public, not a conventional sealed prospective preregistration. The deviations log says so explicitly. All findings remain exploratory.</w:t>
      </w:r>
    </w:p>
    <w:p>
      <w:pPr>
        <w:pStyle w:val="Compact"/>
        <w:numPr>
          <w:ilvl w:val="0"/>
          <w:numId w:val="1"/>
        </w:numPr>
        <w:rPr>
          <w:rFonts w:ascii="Garamond" w:hAnsi="Garamond"/>
        </w:rPr>
      </w:pPr>
      <w:r>
        <w:rPr>
          <w:rFonts w:ascii="Garamond" w:hAnsi="Garamond"/>
        </w:rPr>
        <w:t>No confirmatory hypotheses were preregistered. The registered questions were descriptive and exploratory.</w:t>
      </w:r>
    </w:p>
    <w:p>
      <w:pPr>
        <w:pStyle w:val="Compact"/>
        <w:numPr>
          <w:ilvl w:val="0"/>
          <w:numId w:val="1"/>
        </w:numPr>
        <w:rPr>
          <w:rFonts w:ascii="Garamond" w:hAnsi="Garamond"/>
        </w:rPr>
      </w:pPr>
      <w:r>
        <w:rPr>
          <w:rFonts w:ascii="Garamond" w:hAnsi="Garamond"/>
        </w:rPr>
        <w:t>Several registered analyses are incomplete or only partially represented here: full MTLD, full named-entity inventory, embedding geometry, and embedding nearest-neighbor confusion matrices.</w:t>
      </w:r>
    </w:p>
    <w:p>
      <w:pPr>
        <w:pStyle w:val="Compact"/>
        <w:numPr>
          <w:ilvl w:val="0"/>
          <w:numId w:val="1"/>
        </w:numPr>
        <w:rPr>
          <w:rFonts w:ascii="Garamond" w:hAnsi="Garamond"/>
        </w:rPr>
      </w:pPr>
      <w:r>
        <w:rPr>
          <w:rFonts w:ascii="Garamond" w:hAnsi="Garamond"/>
        </w:rPr>
        <w:t>Some of the strongest narrative findings - em-dashes, preambles, format-rigidity, and classifier identification - are exploratory post hoc analyses or unregistered-prior reversals.</w:t>
      </w:r>
    </w:p>
    <w:p>
      <w:pPr>
        <w:pStyle w:val="Compact"/>
        <w:numPr>
          <w:ilvl w:val="0"/>
          <w:numId w:val="1"/>
        </w:numPr>
        <w:rPr>
          <w:rFonts w:ascii="Garamond" w:hAnsi="Garamond"/>
        </w:rPr>
      </w:pPr>
      <w:r>
        <w:rPr>
          <w:rFonts w:ascii="Garamond" w:hAnsi="Garamond"/>
        </w:rPr>
        <w:t>The classifier check now includes a confusion matrix, but it is still not a production attribution system. It is trained and tested within one prompt grid, one temperature, one day, and one set of model identifiers.</w:t>
      </w:r>
    </w:p>
    <w:p>
      <w:pPr>
        <w:pStyle w:val="Compact"/>
        <w:numPr>
          <w:ilvl w:val="0"/>
          <w:numId w:val="1"/>
        </w:numPr>
        <w:rPr>
          <w:rFonts w:ascii="Garamond" w:hAnsi="Garamond"/>
        </w:rPr>
      </w:pPr>
      <w:r>
        <w:rPr>
          <w:rFonts w:ascii="Garamond" w:hAnsi="Garamond"/>
        </w:rPr>
        <w:t>The sample is small: 10 runs per model-prompt cell.</w:t>
      </w:r>
    </w:p>
    <w:p>
      <w:pPr>
        <w:pStyle w:val="Compact"/>
        <w:numPr>
          <w:ilvl w:val="0"/>
          <w:numId w:val="1"/>
        </w:numPr>
        <w:rPr>
          <w:rFonts w:ascii="Garamond" w:hAnsi="Garamond"/>
        </w:rPr>
      </w:pPr>
      <w:r>
        <w:rPr>
          <w:rFonts w:ascii="Garamond" w:hAnsi="Garamond"/>
        </w:rPr>
        <w:t>The prompts are cold and contextless; they measure defaults in a vacuum-chamber regime, not normal chat behavior.</w:t>
      </w:r>
    </w:p>
    <w:p>
      <w:pPr>
        <w:pStyle w:val="Compact"/>
        <w:numPr>
          <w:ilvl w:val="0"/>
          <w:numId w:val="1"/>
        </w:numPr>
        <w:rPr>
          <w:rFonts w:ascii="Garamond" w:hAnsi="Garamond"/>
        </w:rPr>
      </w:pPr>
      <w:r>
        <w:rPr>
          <w:rFonts w:ascii="Garamond" w:hAnsi="Garamond"/>
        </w:rPr>
        <w:t>The 400-token output cap censors open-prompt outputs, especially Opus story and animal completions.</w:t>
      </w:r>
    </w:p>
    <w:p>
      <w:pPr>
        <w:pStyle w:val="Compact"/>
        <w:numPr>
          <w:ilvl w:val="0"/>
          <w:numId w:val="1"/>
        </w:numPr>
        <w:rPr>
          <w:rFonts w:ascii="Garamond" w:hAnsi="Garamond"/>
        </w:rPr>
      </w:pPr>
      <w:r>
        <w:rPr>
          <w:rFonts w:ascii="Garamond" w:hAnsi="Garamond"/>
        </w:rPr>
        <w:t>Sentence-count heuristics disagree on 105 of 540 rows, especially open stories and animals. Compliance is robust except at a few boundary cases.</w:t>
      </w:r>
    </w:p>
    <w:p>
      <w:pPr>
        <w:pStyle w:val="Compact"/>
        <w:numPr>
          <w:ilvl w:val="0"/>
          <w:numId w:val="1"/>
        </w:numPr>
        <w:rPr>
          <w:rFonts w:ascii="Garamond" w:hAnsi="Garamond"/>
        </w:rPr>
      </w:pPr>
      <w:r>
        <w:rPr>
          <w:rFonts w:ascii="Garamond" w:hAnsi="Garamond"/>
        </w:rPr>
        <w:t>Both heuristic coders were machine-authored, including by models from the families under study. Determinism bounds the act of counting; it does not bound the choice of features.</w:t>
      </w:r>
    </w:p>
    <w:p>
      <w:pPr>
        <w:pStyle w:val="Compact"/>
        <w:numPr>
          <w:ilvl w:val="0"/>
          <w:numId w:val="1"/>
        </w:numPr>
        <w:rPr>
          <w:rFonts w:ascii="Garamond" w:hAnsi="Garamond"/>
        </w:rPr>
      </w:pPr>
      <w:r>
        <w:rPr>
          <w:rFonts w:ascii="Garamond" w:hAnsi="Garamond"/>
        </w:rPr>
        <w:t>Five of six model identifiers are not pinned to dated snapshots. Behavior may shift if provider-side deployments change.</w:t>
      </w:r>
    </w:p>
    <w:p>
      <w:pPr>
        <w:pStyle w:val="Compact"/>
        <w:numPr>
          <w:ilvl w:val="0"/>
          <w:numId w:val="1"/>
        </w:numPr>
        <w:rPr>
          <w:rFonts w:ascii="Garamond" w:hAnsi="Garamond"/>
        </w:rPr>
      </w:pPr>
      <w:r>
        <w:rPr>
          <w:rFonts w:ascii="Garamond" w:hAnsi="Garamond"/>
        </w:rPr>
        <w:t>One prompt contains a typo: “fewer then” instead of “fewer than.” It applies equally across models, but it remains an instruction hazard.</w:t>
      </w:r>
    </w:p>
    <w:p>
      <w:pPr>
        <w:pStyle w:val="Compact"/>
        <w:numPr>
          <w:ilvl w:val="0"/>
          <w:numId w:val="1"/>
        </w:numPr>
        <w:rPr>
          <w:rFonts w:ascii="Garamond" w:hAnsi="Garamond"/>
        </w:rPr>
      </w:pPr>
      <w:r>
        <w:rPr>
          <w:rFonts w:ascii="Garamond" w:hAnsi="Garamond"/>
        </w:rPr>
        <w:t>Stylistic signatures are not quality judgments and should not be generalized to coding, reasoning, retrieval, summarization, dialogue, or tool use.</w:t>
      </w:r>
    </w:p>
    <w:p>
      <w:pPr>
        <w:pStyle w:val="Normal"/>
        <w:rPr>
          <w:rFonts w:ascii="Garamond" w:hAnsi="Garamond"/>
        </w:rPr>
      </w:pPr>
      <w:bookmarkStart w:id="30" w:name="limitations-and-deviations"/>
      <w:r>
        <w:rPr>
          <w:rFonts w:ascii="Garamond" w:hAnsi="Garamond"/>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p>
    <w:p>
      <w:pPr>
        <w:pStyle w:val="Heading2"/>
        <w:rPr>
          <w:rFonts w:ascii="Garamond" w:hAnsi="Garamond"/>
        </w:rPr>
      </w:pPr>
      <w:bookmarkStart w:id="31" w:name="conclusion"/>
      <w:r>
        <w:rPr>
          <w:rFonts w:ascii="Garamond" w:hAnsi="Garamond"/>
        </w:rPr>
        <w:t>14. Conclusion</w:t>
      </w:r>
    </w:p>
    <w:p>
      <w:pPr>
        <w:pStyle w:val="FirstParagraph"/>
        <w:rPr>
          <w:rFonts w:ascii="Garamond" w:hAnsi="Garamond"/>
        </w:rPr>
      </w:pPr>
      <w:r>
        <w:rPr>
          <w:rFonts w:ascii="Garamond" w:hAnsi="Garamond"/>
        </w:rPr>
        <w:t>The cleanest registered result is that Claude models begin the same way. Not morally, not intelligently, not better - just literally. They start with “the” at striking rates. The GPT models, by contrast, scatter their openings.</w:t>
      </w:r>
    </w:p>
    <w:p>
      <w:pPr>
        <w:pStyle w:val="BodyText"/>
        <w:rPr>
          <w:rFonts w:ascii="Garamond" w:hAnsi="Garamond"/>
        </w:rPr>
      </w:pPr>
      <w:r>
        <w:rPr>
          <w:rFonts w:ascii="Garamond" w:hAnsi="Garamond"/>
        </w:rPr>
        <w:t>The funniest exploratory result is that two folk stereotypes fail here. Em-dashes are not Claude in this dataset; they are GPT 5.4 Nano. Preambles are not GPT; they are Sonnet, and only in particular prompt conditions. The most visually obvious result is that formatting habits are model-specific. The most analytically important correction is that output-cap hits mean a model had more to say than the harness allowed, not that it failed.</w:t>
      </w:r>
    </w:p>
    <w:p>
      <w:pPr>
        <w:pStyle w:val="BodyText"/>
        <w:rPr>
          <w:rFonts w:ascii="Garamond" w:hAnsi="Garamond"/>
        </w:rPr>
      </w:pPr>
      <w:r>
        <w:rPr>
          <w:rFonts w:ascii="Garamond" w:hAnsi="Garamond"/>
        </w:rPr>
        <w:t>The methodological result may be the most durable one. A public exploratory methods ledger is useful, but it is not a sealed preregistration. Machine-authored coders can count reproducibly, but they still choose what to count. Blind labels reduce some expectancy effects, but style itself leaks identity. The protocol does not purify the study. It gives the weirdness somewhere to stand.</w:t>
      </w:r>
    </w:p>
    <w:p>
      <w:pPr>
        <w:pStyle w:val="BodyText"/>
        <w:rPr>
          <w:rFonts w:ascii="Garamond" w:hAnsi="Garamond"/>
        </w:rPr>
      </w:pPr>
      <w:r>
        <w:rPr>
          <w:rFonts w:ascii="Garamond" w:hAnsi="Garamond"/>
        </w:rPr>
        <w:t>There are truths in the average bullshittings of machines. v4 adds a stricter rule: say which truths were looked for, which were found by accident, and which were only expected by the people - human and otherwise - doing the looking.</w:t>
      </w:r>
    </w:p>
    <w:p>
      <w:pPr>
        <w:pStyle w:val="Normal"/>
        <w:rPr>
          <w:rFonts w:ascii="Garamond" w:hAnsi="Garamond"/>
        </w:rPr>
      </w:pPr>
      <w:bookmarkStart w:id="32" w:name="conclusion"/>
      <w:r>
        <w:rPr>
          <w:rFonts w:ascii="Garamond" w:hAnsi="Garamond"/>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2"/>
        <w:rPr>
          <w:rFonts w:ascii="Garamond" w:hAnsi="Garamond"/>
        </w:rPr>
      </w:pPr>
      <w:bookmarkStart w:id="33" w:name="references-and-source-record"/>
      <w:r>
        <w:rPr>
          <w:rFonts w:ascii="Garamond" w:hAnsi="Garamond"/>
        </w:rPr>
        <w:t>References and source record</w:t>
      </w:r>
    </w:p>
    <w:p>
      <w:pPr>
        <w:pStyle w:val="Compact"/>
        <w:numPr>
          <w:ilvl w:val="0"/>
          <w:numId w:val="4"/>
        </w:numPr>
        <w:rPr>
          <w:rFonts w:ascii="Garamond" w:hAnsi="Garamond"/>
        </w:rPr>
      </w:pPr>
      <w:r>
        <w:rPr>
          <w:rFonts w:ascii="Garamond" w:hAnsi="Garamond"/>
        </w:rPr>
        <w:t>Project repository: https://github.com/quumble/An-Assay-of-Bullshit</w:t>
      </w:r>
    </w:p>
    <w:p>
      <w:pPr>
        <w:pStyle w:val="Compact"/>
        <w:numPr>
          <w:ilvl w:val="0"/>
          <w:numId w:val="2"/>
        </w:numPr>
        <w:rPr/>
      </w:pPr>
      <w:r>
        <w:rPr>
          <w:rFonts w:ascii="Garamond" w:hAnsi="Garamond"/>
        </w:rPr>
        <w:t xml:space="preserve">Repository README, design summary: six models, nine prompts, ten runs per cell, 540 calls, </w:t>
      </w:r>
      <w:r>
        <w:rPr>
          <w:rStyle w:val="VerbatimChar"/>
          <w:rFonts w:ascii="Garamond" w:hAnsi="Garamond"/>
        </w:rPr>
        <w:t>temperature = 1.0</w:t>
      </w:r>
      <w:r>
        <w:rPr>
          <w:rFonts w:ascii="Garamond" w:hAnsi="Garamond"/>
        </w:rPr>
        <w:t xml:space="preserve">, </w:t>
      </w:r>
      <w:r>
        <w:rPr>
          <w:rStyle w:val="VerbatimChar"/>
          <w:rFonts w:ascii="Garamond" w:hAnsi="Garamond"/>
        </w:rPr>
        <w:t>max_tokens = 400</w:t>
      </w:r>
      <w:r>
        <w:rPr>
          <w:rFonts w:ascii="Garamond" w:hAnsi="Garamond"/>
        </w:rPr>
        <w:t>, no system prompt.</w:t>
      </w:r>
    </w:p>
    <w:p>
      <w:pPr>
        <w:pStyle w:val="Compact"/>
        <w:numPr>
          <w:ilvl w:val="0"/>
          <w:numId w:val="2"/>
        </w:numPr>
        <w:rPr/>
      </w:pPr>
      <w:r>
        <w:rPr>
          <w:rStyle w:val="VerbatimChar"/>
          <w:rFonts w:ascii="Garamond" w:hAnsi="Garamond"/>
        </w:rPr>
        <w:t>Bullshit_Assay_1/PREREGISTRATION.md</w:t>
      </w:r>
      <w:r>
        <w:rPr>
          <w:rFonts w:ascii="Garamond" w:hAnsi="Garamond"/>
        </w:rPr>
        <w:t>: exploratory preregistration / design lock-in and planned analyses.</w:t>
      </w:r>
    </w:p>
    <w:p>
      <w:pPr>
        <w:pStyle w:val="Compact"/>
        <w:numPr>
          <w:ilvl w:val="0"/>
          <w:numId w:val="2"/>
        </w:numPr>
        <w:rPr/>
      </w:pPr>
      <w:r>
        <w:rPr>
          <w:rStyle w:val="VerbatimChar"/>
          <w:rFonts w:ascii="Garamond" w:hAnsi="Garamond"/>
        </w:rPr>
        <w:t>Bullshit_Assay_1/model_comparison_preregistration.md</w:t>
      </w:r>
      <w:r>
        <w:rPr>
          <w:rFonts w:ascii="Garamond" w:hAnsi="Garamond"/>
        </w:rPr>
        <w:t>: in-progress preregistration; no confirmatory hypotheses preregistered.</w:t>
      </w:r>
    </w:p>
    <w:p>
      <w:pPr>
        <w:pStyle w:val="Compact"/>
        <w:numPr>
          <w:ilvl w:val="0"/>
          <w:numId w:val="2"/>
        </w:numPr>
        <w:rPr/>
      </w:pPr>
      <w:r>
        <w:rPr>
          <w:rStyle w:val="VerbatimChar"/>
          <w:rFonts w:ascii="Garamond" w:hAnsi="Garamond"/>
        </w:rPr>
        <w:t>deviations_md.md</w:t>
      </w:r>
      <w:r>
        <w:rPr>
          <w:rFonts w:ascii="Garamond" w:hAnsi="Garamond"/>
        </w:rPr>
        <w:t>: public running log and deviations record, including preregistration timing clarification, semantic-coding exploratory addition, heuristic-pipeline provenance, and analyst-position note.</w:t>
      </w:r>
    </w:p>
    <w:p>
      <w:pPr>
        <w:pStyle w:val="Compact"/>
        <w:numPr>
          <w:ilvl w:val="0"/>
          <w:numId w:val="2"/>
        </w:numPr>
        <w:rPr/>
      </w:pPr>
      <w:r>
        <w:rPr>
          <w:rStyle w:val="VerbatimChar"/>
          <w:rFonts w:ascii="Garamond" w:hAnsi="Garamond"/>
        </w:rPr>
        <w:t>Bullshit_Assay_1/run_experiment.py</w:t>
      </w:r>
      <w:r>
        <w:rPr>
          <w:rFonts w:ascii="Garamond" w:hAnsi="Garamond"/>
        </w:rPr>
        <w:t>: exact model list, prompts, typo-preserved poem prompts, temperature, max-token setting, and no-system-prompt runner behavior.</w:t>
      </w:r>
    </w:p>
    <w:p>
      <w:pPr>
        <w:pStyle w:val="Compact"/>
        <w:numPr>
          <w:ilvl w:val="0"/>
          <w:numId w:val="2"/>
        </w:numPr>
        <w:spacing w:before="36" w:after="36"/>
        <w:rPr/>
      </w:pPr>
      <w:r>
        <w:rPr>
          <w:rFonts w:ascii="Garamond" w:hAnsi="Garamond"/>
        </w:rPr>
        <w:t xml:space="preserve">In-session coded outputs and blind maps: </w:t>
      </w:r>
      <w:r>
        <w:rPr>
          <w:rStyle w:val="VerbatimChar"/>
          <w:rFonts w:ascii="Garamond" w:hAnsi="Garamond"/>
        </w:rPr>
        <w:t>coded_outputs_semantic(2).csv</w:t>
      </w:r>
      <w:r>
        <w:rPr>
          <w:rFonts w:ascii="Garamond" w:hAnsi="Garamond"/>
        </w:rPr>
        <w:t xml:space="preserve">, </w:t>
      </w:r>
      <w:r>
        <w:rPr>
          <w:rStyle w:val="VerbatimChar"/>
          <w:rFonts w:ascii="Garamond" w:hAnsi="Garamond"/>
        </w:rPr>
        <w:t>coded_outputs_structural(2).csv</w:t>
      </w:r>
      <w:r>
        <w:rPr>
          <w:rFonts w:ascii="Garamond" w:hAnsi="Garamond"/>
        </w:rPr>
        <w:t xml:space="preserve">, </w:t>
      </w:r>
      <w:r>
        <w:rPr>
          <w:rStyle w:val="VerbatimChar"/>
          <w:rFonts w:ascii="Garamond" w:hAnsi="Garamond"/>
        </w:rPr>
        <w:t>blind_model_map_PRIVATE_semantic.json</w:t>
      </w:r>
      <w:r>
        <w:rPr>
          <w:rFonts w:ascii="Garamond" w:hAnsi="Garamond"/>
        </w:rPr>
        <w:t xml:space="preserve">, and </w:t>
      </w:r>
      <w:r>
        <w:rPr>
          <w:rStyle w:val="VerbatimChar"/>
          <w:rFonts w:ascii="Garamond" w:hAnsi="Garamond"/>
        </w:rPr>
        <w:t>blind_model_map_PRIVATE_structural.json</w:t>
      </w:r>
      <w:r>
        <w:rPr>
          <w:rFonts w:ascii="Garamond" w:hAnsi="Garamond"/>
        </w:rPr>
        <w:t>.</w:t>
      </w:r>
      <w:bookmarkEnd w:id="0"/>
      <w:bookmarkEnd w:id="3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roman"/>
    <w:pitch w:val="default"/>
  </w:font>
  <w:font w:name="Aptos Display">
    <w:charset w:val="01"/>
    <w:family w:val="roman"/>
    <w:pitch w:val="default"/>
  </w:font>
  <w:font w:name="Consolas">
    <w:charset w:val="01"/>
    <w:family w:val="roman"/>
    <w:pitch w:val="default"/>
  </w:font>
  <w:font w:name="Liberation Sans">
    <w:altName w:val="Arial"/>
    <w:charset w:val="00"/>
    <w:family w:val="swiss"/>
    <w:pitch w:val="variable"/>
  </w:font>
  <w:font w:name="Times New Roman">
    <w:charset w:val="01"/>
    <w:family w:val="roman"/>
    <w:pitch w:val="default"/>
  </w:font>
  <w:font w:name="Garamond">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Times New Roman" w:hAnsi="Times New Roman"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ascii="Times New Roman" w:hAnsi="Times New Roman"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LibreOffice/25.8.5.2$Windows_X86_64 LibreOffice_project/9c8b85f387cc00a89945a79c9e6239f32e450ac2</Application>
  <AppVersion>15.0000</AppVersion>
  <Pages>12</Pages>
  <Words>3856</Words>
  <Characters>22170</Characters>
  <CharactersWithSpaces>25635</CharactersWithSpaces>
  <Paragraphs>388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2026-05-08T00:17:23Z</dcterms:created>
  <dc:creator/>
  <dc:description/>
  <dc:language>en-US</dc:language>
  <cp:lastModifiedBy/>
  <dcterms:modified xsi:type="dcterms:W3CDTF">2026-05-08T11:55:52Z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