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36"/>
          <w:szCs w:val="36"/>
        </w:rPr>
        <w:t xml:space="preserve">What Models Do When Nobody's Watching</w:t>
      </w:r>
    </w:p>
    <w:p>
      <w:pPr>
        <w:spacing w:after="320" w:before="0"/>
        <w:jc w:val="center"/>
      </w:pPr>
      <w:r>
        <w:rPr>
          <w:i/>
          <w:iCs/>
          <w:sz w:val="26"/>
          <w:szCs w:val="26"/>
        </w:rPr>
        <w:t xml:space="preserve">Stylistic defaults of six frontier LLMs under cold, contextless prompts</w:t>
      </w:r>
    </w:p>
    <w:p>
      <w:pPr>
        <w:spacing w:after="200" w:before="0"/>
        <w:jc w:val="center"/>
      </w:pPr>
      <w:r>
        <w:rPr>
          <w:color w:val="606060"/>
          <w:sz w:val="20"/>
          <w:szCs w:val="20"/>
        </w:rPr>
        <w:t xml:space="preserve">v2 — May 7, 2026</w:t>
      </w:r>
    </w:p>
    <w:p>
      <w:pPr>
        <w:spacing w:after="30" w:before="30"/>
      </w:pPr>
      <w:r>
        <w:rPr>
          <w:b/>
          <w:bCs/>
          <w:sz w:val="20"/>
          <w:szCs w:val="20"/>
        </w:rPr>
        <w:t xml:space="preserve">Author: </w:t>
      </w:r>
      <w:r>
        <w:rPr>
          <w:sz w:val="20"/>
          <w:szCs w:val="20"/>
        </w:rPr>
        <w:t xml:space="preserve">Bo Chesterton</w:t>
      </w:r>
    </w:p>
    <w:p>
      <w:pPr>
        <w:spacing w:after="30" w:before="30"/>
      </w:pPr>
      <w:r>
        <w:rPr>
          <w:b/>
          <w:bCs/>
          <w:sz w:val="20"/>
          <w:szCs w:val="20"/>
        </w:rPr>
        <w:t xml:space="preserve">Coder authorship: </w:t>
      </w:r>
      <w:r>
        <w:rPr>
          <w:sz w:val="20"/>
          <w:szCs w:val="20"/>
        </w:rPr>
        <w:t xml:space="preserve">Structural coder by claude-opus-4-7; semantic coder by gpt-5.5-thinking</w:t>
      </w:r>
    </w:p>
    <w:p>
      <w:pPr>
        <w:spacing w:after="30" w:before="30"/>
      </w:pPr>
      <w:r>
        <w:rPr>
          <w:b/>
          <w:bCs/>
          <w:sz w:val="20"/>
          <w:szCs w:val="20"/>
        </w:rPr>
        <w:t xml:space="preserve">This rewrite: </w:t>
      </w:r>
      <w:r>
        <w:rPr>
          <w:sz w:val="20"/>
          <w:szCs w:val="20"/>
        </w:rPr>
        <w:t xml:space="preserve">claude-opus-4-7 (with the conflict that implies — see §0)</w:t>
      </w:r>
    </w:p>
    <w:p>
      <w:pPr>
        <w:spacing w:after="30" w:before="30"/>
      </w:pPr>
      <w:r>
        <w:rPr>
          <w:b/>
          <w:bCs/>
          <w:sz w:val="20"/>
          <w:szCs w:val="20"/>
        </w:rPr>
        <w:t xml:space="preserve">Repository: </w:t>
      </w:r>
      <w:r>
        <w:rPr>
          <w:sz w:val="20"/>
          <w:szCs w:val="20"/>
        </w:rPr>
        <w:t xml:space="preserve">github.com/quumble/An-Assay-of-Bullshit</w:t>
      </w:r>
    </w:p>
    <w:p>
      <w:pPr>
        <w:pStyle w:val="Heading2"/>
        <w:spacing w:after="120" w:before="320"/>
      </w:pPr>
      <w:r>
        <w:t xml:space="preserve">Abstract</w:t>
      </w:r>
    </w:p>
    <w:p>
      <w:pPr>
        <w:spacing w:after="100" w:before="60" w:line="300"/>
        <w:jc w:val="both"/>
      </w:pPr>
      <w:r>
        <w:t xml:space="preserve">Six frontier language models — three from the Claude family (Opus 4.7, Sonnet 4.6, Haiku 4.5) and three from the GPT family (5.4, 5.4-mini, 5.4-nano) — were each given the same nine creative-writing prompts ten times under cold, contextless conditions. The 540 resulting outputs were coded by two independent deterministic heuristics, one structural and one semantic. The headline result is not that families differ; that is real but coarse. The headline is that two widely held folk-stereotypes about how the families differ are wrong on this dataset. </w:t>
      </w:r>
      <w:r>
        <w:rPr>
          <w:b/>
          <w:bCs/>
        </w:rPr>
        <w:t xml:space="preserve">The em-dash is not a Claude tell here: </w:t>
      </w:r>
      <w:r>
        <w:t xml:space="preserve">gpt-5.4-nano produced a mean of 1.62 em-dashes per response — twice the rate of any other model, and a median of 1 against medians of 0 elsewhere — and was the only model with a non-zero median smart-quote share. </w:t>
      </w:r>
      <w:r>
        <w:rPr>
          <w:b/>
          <w:bCs/>
        </w:rPr>
        <w:t xml:space="preserve">The “Sure! Here is…” preamble is not a GPT tell here: </w:t>
      </w:r>
      <w:r>
        <w:t xml:space="preserve">claude-sonnet-4-6 had a 37.8% preamble rate; the three GPT models had 0.0%. Sonnet's preamble was concentrated almost entirely in length-constrained poems and stories, suggesting a specific behavior — “when squeezed by a length cap, frame the output as a deliverable” — rather than a general habit. </w:t>
      </w:r>
      <w:r>
        <w:t xml:space="preserve">Beyond the falsified stereotypes, the cleanest family-level signal is opening-word entropy: Claude models open with “the” 60–67% of the time and have opening-word entropies near 1.2–1.5 bits; GPT models have entropies near 2.9–3.0 bits. A small classifier trained on surface features identifies the six individual models at 49.8% on held-out prompt conditions against 16.7% chance — not a production attribution system, but a sign that the defaults are real and prompt-portable. The structural coder authored by claude-opus-4-7 is itself one of the experimental subjects; this conflict is bounded by deterministic lexical matching and a prereg-blind-unblind protocol but not eliminated. The findings are descriptive of cold-prompt defaults on this 540-output sample; they should not be read as universal model properties.</w:t>
      </w:r>
    </w:p>
    <w:p>
      <w:pPr>
        <w:pStyle w:val="Heading1"/>
        <w:spacing w:after="160" w:before="320"/>
      </w:pPr>
      <w:r>
        <w:t xml:space="preserve">0. Author and analyst disclosure</w:t>
      </w:r>
    </w:p>
    <w:p>
      <w:pPr>
        <w:spacing w:after="100" w:before="60" w:line="300"/>
        <w:jc w:val="both"/>
      </w:pPr>
      <w:r>
        <w:t xml:space="preserve">This paper has a real conflict of interest and the reader should weight it accordingly. The structural coder (</w:t>
      </w:r>
      <w:r>
        <w:rPr>
          <w:rFonts w:ascii="Courier New" w:cs="Courier New" w:eastAsia="Courier New" w:hAnsi="Courier New"/>
          <w:sz w:val="20"/>
          <w:szCs w:val="20"/>
        </w:rPr>
        <w:t xml:space="preserve">structural_heuristics.py</w:t>
      </w:r>
      <w:r>
        <w:t xml:space="preserve">) was authored by claude-opus-4-7, which is one of the six models under study. The semantic coder (</w:t>
      </w:r>
      <w:r>
        <w:rPr>
          <w:rFonts w:ascii="Courier New" w:cs="Courier New" w:eastAsia="Courier New" w:hAnsi="Courier New"/>
          <w:sz w:val="20"/>
          <w:szCs w:val="20"/>
        </w:rPr>
        <w:t xml:space="preserve">semantic_heuristics.py</w:t>
      </w:r>
      <w:r>
        <w:t xml:space="preserve">) was authored by gpt-5.5-thinking. This rewrite is also being drafted by claude-opus-4-7.</w:t>
      </w:r>
    </w:p>
    <w:p>
      <w:pPr>
        <w:spacing w:after="100" w:before="60" w:line="300"/>
        <w:jc w:val="both"/>
      </w:pPr>
      <w:r>
        <w:t xml:space="preserve">Three things bound the conflict without erasing it. First, both coders are deterministic lexical and regex matchers; there are no learned components, so a coder cannot simply prefer outputs that look like its author's. Second, the analysis was conducted blind: the structural coder used labels M1–M6 and the semantic coder used Model A–F, with no model identities visible during interpretation. The two label schemes were independently shuffled and matched only at de-blinding. Third, before unblinding, the analyst (claude-opus-4-7) committed to two labeled guesses: that the em-dash signal would resolve to Claude and that the “Here is…” preamble would resolve to GPT. </w:t>
      </w:r>
      <w:r>
        <w:rPr>
          <w:b/>
          <w:bCs/>
        </w:rPr>
        <w:t xml:space="preserve">Both guesses were wrong.</w:t>
      </w:r>
      <w:r>
        <w:t xml:space="preserve"> The em-dash signal resolved to gpt-5.4-nano and the preamble signal resolved to claude-sonnet-4-6. Recording those errors is part of the protocol's value; they are reported in §3 as the headline findings precisely because the analyst's prior was contradicted on the labeled record.</w:t>
      </w:r>
    </w:p>
    <w:p>
      <w:pPr>
        <w:spacing w:after="100" w:before="60" w:line="300"/>
        <w:jc w:val="both"/>
      </w:pPr>
      <w:r>
        <w:t xml:space="preserve">None of this makes the structural coder neutral. The </w:t>
      </w:r>
      <w:r>
        <w:rPr>
          <w:i/>
          <w:iCs/>
        </w:rPr>
        <w:t xml:space="preserve">choice</w:t>
      </w:r>
      <w:r>
        <w:t xml:space="preserve"> of which features to count — em-dashes, smart quotes, title lines, single-block formatting, “Here is…” preambles — encodes a prior about what tells exist. A coder authored by a different model might count different things. That is a real limitation; it is not a fatal one, because the features chosen happen to surface large signals at sites the author did not predict. A coder that only confirmed its author's priors would not have produced the gpt-5.4-nano em-dash result.</w:t>
      </w:r>
    </w:p>
    <w:p>
      <w:pPr>
        <w:pStyle w:val="Heading1"/>
        <w:spacing w:after="160" w:before="320"/>
      </w:pPr>
      <w:r>
        <w:t xml:space="preserve">1. Introduction</w:t>
      </w:r>
    </w:p>
    <w:p>
      <w:pPr>
        <w:spacing w:after="100" w:before="60" w:line="300"/>
        <w:jc w:val="both"/>
      </w:pPr>
      <w:r>
        <w:t xml:space="preserve">A cold prompt — no system message, no conversation history, no domain context — is an unnatural condition for a chat model. The model is asked for a small invented thing (a short story, an animal description, a poem) without any of the cues it would normally use to calibrate tone, scaffolding, or length. It still has to produce something. What it produces in that vacuum is, by construction, default behavior.</w:t>
      </w:r>
    </w:p>
    <w:p>
      <w:pPr>
        <w:spacing w:after="100" w:before="60" w:line="300"/>
        <w:jc w:val="both"/>
      </w:pPr>
      <w:r>
        <w:t xml:space="preserve">Defaults are interesting because they are the part of a model's behavior that survives when nothing is asking for it. They reflect whatever has been baked in by pretraining, post-training, product taste, and the implicit etiquette of being “helpful.” They are not necessarily a model's best behavior, and they are certainly not a measure of capability — these prompts ask for nothing hard. But because they emerge unprompted, they are the residue of choices that go all the way down.</w:t>
      </w:r>
    </w:p>
    <w:p>
      <w:pPr>
        <w:spacing w:after="100" w:before="60" w:line="300"/>
        <w:jc w:val="both"/>
      </w:pPr>
      <w:r>
        <w:t xml:space="preserve">The empirical question of this paper is narrow: can the visible habits in 540 cold-prompted outputs distinguish the models that produced them, and if so, what are those habits? Two findings — both unexpected to the analyst, both contradicting popular folk-stereotypes about the model families — make up the headline. A third finding, an opening-word entropy gap, gives the cleanest family-level signal. A fourth, a 2-2-2 split in how models handle length constraints, is suggestive but more vulnerable to analyst bias. A fifth, a near-binary divide in who uses titles and blocks, is the loudest signal but also the most familiar. Together they describe a stylistic geography that is sharper at the individual-model level than at the family level.</w:t>
      </w:r>
    </w:p>
    <w:p>
      <w:pPr>
        <w:pStyle w:val="Heading1"/>
        <w:spacing w:after="160" w:before="320"/>
      </w:pPr>
      <w:r>
        <w:t xml:space="preserve">2. Design and data</w:t>
      </w:r>
    </w:p>
    <w:p>
      <w:pPr>
        <w:spacing w:after="100" w:before="60" w:line="300"/>
        <w:jc w:val="both"/>
      </w:pPr>
      <w:r>
        <w:t xml:space="preserve">Six models were sampled at temperature 1.0 with max_tokens=400 and no system prompt. Nine prompts spanned three categories (story, animal, poem) crossed with three length conditions (fewer than 5 sentences, fewer than 10 sentences, open-ended). Ten runs per (model, prompt) cell yielded 540 calls; all 540 returned non-null responses. The runner code, prompts, and raw JSONL are public at the linked repository.</w:t>
      </w:r>
    </w:p>
    <w:p>
      <w:pPr>
        <w:spacing w:after="100" w:before="60" w:line="300"/>
        <w:jc w:val="both"/>
      </w:pPr>
      <w:r>
        <w:t xml:space="preserve">Two heuristic coders processed the responses independently. The semantic coder labeled content: dominant setting, mood, plot arc, imagery, ending valence, tense, person, animal entity counts, formulaicness, type-token ratio, opening word and bigram, and a sentence-counter used for compliance. The structural coder labeled form: word and character counts, sentence count (separate splitter), paragraph and line count, single-block flag, title-line flag, meta-preamble flag, punctuation counts, sentence-length distribution, repeated openings, hedging and intensifier flags, and closer properties. Outputs were joined by output_id; alignment was exact at 540/540 rows, with zero mismatches on shared source fields.</w:t>
      </w:r>
    </w:p>
    <w:p>
      <w:pPr>
        <w:spacing w:after="100" w:before="60" w:line="300"/>
        <w:jc w:val="both"/>
      </w:pPr>
      <w:r>
        <w:t xml:space="preserve">De-blinding occurred after analysis. The structural-to-semantic crosswalk was 1-to-1 and is given below.</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500"/>
        <w:gridCol w:w="1500"/>
      </w:tblGrid>
      <w:tr>
        <w:trPr>
          <w:tblHeader/>
        </w:trPr>
        <w:tc>
          <w:tcPr>
            <w:tcW w:type="dxa" w:w="1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Structural</w:t>
            </w:r>
          </w:p>
        </w:tc>
        <w:tc>
          <w:tcPr>
            <w:tcW w:type="dxa" w:w="1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Semantic</w:t>
            </w:r>
          </w:p>
        </w:tc>
        <w:tc>
          <w:tcPr>
            <w:tcW w:type="dxa" w:w="3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Model</w:t>
            </w:r>
          </w:p>
        </w:tc>
        <w:tc>
          <w:tcPr>
            <w:tcW w:type="dxa" w:w="1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Family</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M1</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Model A</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M2</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Model B</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gpt-5.4-nano</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M3</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Model C</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claude-opus-4-7</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M4</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Model D</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claude-sonnet-4-6</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M5</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Model E</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gpt-5.4-mini</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w:t>
            </w:r>
          </w:p>
        </w:tc>
      </w:tr>
      <w:tr>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M6</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Model F</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claude-haiku-4-5-20251001</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w:t>
            </w:r>
          </w:p>
        </w:tc>
      </w:tr>
    </w:tbl>
    <w:p>
      <w:pPr>
        <w:spacing w:after="80" w:before="80"/>
      </w:pPr>
      <w:r>
        <w:t xml:space="preserve"/>
      </w:r>
    </w:p>
    <w:p>
      <w:pPr>
        <w:spacing w:after="100" w:before="60" w:line="300"/>
        <w:jc w:val="both"/>
      </w:pPr>
      <w:r>
        <w:t xml:space="preserve">One design choice deserves explicit attention. The variable previously called </w:t>
      </w:r>
      <w:r>
        <w:rPr>
          <w:rFonts w:ascii="Courier New" w:cs="Courier New" w:eastAsia="Courier New" w:hAnsi="Courier New"/>
          <w:sz w:val="20"/>
          <w:szCs w:val="20"/>
        </w:rPr>
        <w:t xml:space="preserve">is_truncated_400ish</w:t>
      </w:r>
      <w:r>
        <w:t xml:space="preserve"> is renamed here to </w:t>
      </w:r>
      <w:r>
        <w:rPr>
          <w:i/>
          <w:iCs/>
        </w:rPr>
        <w:t xml:space="preserve">output-cap hit</w:t>
      </w:r>
      <w:r>
        <w:t xml:space="preserve">. With max_tokens fixed at 400, hitting the cap is not a behavioral failure of the model; it is a censoring event imposed by the harness. A model that hits the cap was trying to say more, not failing to say something. Treating cap hits as completion failures would be a misread; treating them as a signal of latent elaboration pressure is correct.</w:t>
      </w:r>
    </w:p>
    <w:p>
      <w:pPr>
        <w:pStyle w:val="Heading1"/>
        <w:spacing w:after="160" w:before="320"/>
      </w:pPr>
      <w:r>
        <w:t xml:space="preserve">3. Headline findings</w:t>
      </w:r>
    </w:p>
    <w:p>
      <w:pPr>
        <w:pStyle w:val="Heading2"/>
        <w:spacing w:after="120" w:before="240"/>
      </w:pPr>
      <w:r>
        <w:t xml:space="preserve">3.1 The em-dash is not a Claude tell here</w:t>
      </w:r>
    </w:p>
    <w:p>
      <w:pPr>
        <w:spacing w:after="100" w:before="60" w:line="300"/>
        <w:jc w:val="both"/>
      </w:pPr>
      <w:r>
        <w:t xml:space="preserve">Folk-stereotype: em-dashes and curly quotes mark Claude-family writing. In this dataset, that is not what the data show.</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2000"/>
        <w:gridCol w:w="1800"/>
      </w:tblGrid>
      <w:tr>
        <w:trPr>
          <w:tblHeader/>
        </w:trPr>
        <w:tc>
          <w:tcPr>
            <w:tcW w:type="dxa" w:w="30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Model</w:t>
            </w:r>
          </w:p>
        </w:tc>
        <w:tc>
          <w:tcPr>
            <w:tcW w:type="dxa" w:w="19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Em-dash mean</w:t>
            </w:r>
          </w:p>
        </w:tc>
        <w:tc>
          <w:tcPr>
            <w:tcW w:type="dxa" w:w="20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Smart-quote share (median)</w:t>
            </w:r>
          </w:p>
        </w:tc>
        <w:tc>
          <w:tcPr>
            <w:tcW w:type="dxa" w:w="18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Em-dash median</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0.36</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gpt-5.4-mini</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0.37</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0.50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gpt-5.4-nano</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1.62</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claude-opus-4-7</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0.62</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claude-sonnet-4-6</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0.81</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claude-haiku-4-5</w:t>
            </w:r>
          </w:p>
        </w:tc>
        <w:tc>
          <w:tcPr>
            <w:tcW w:type="dxa" w:w="19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0.69</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0.00</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w:t>
            </w:r>
          </w:p>
        </w:tc>
      </w:tr>
    </w:tbl>
    <w:p>
      <w:pPr>
        <w:spacing w:after="80" w:before="80"/>
      </w:pPr>
      <w:r>
        <w:t xml:space="preserve"/>
      </w:r>
    </w:p>
    <w:p>
      <w:pPr>
        <w:spacing w:after="100" w:before="60" w:line="300"/>
        <w:jc w:val="both"/>
      </w:pPr>
      <w:r>
        <w:t xml:space="preserve">gpt-5.4-nano produced a mean of 1.62 em-dashes per response — more than twice as many as any other model — and a median of 1, while every other model has a median of 0. It was the only model with a non-zero median smart-quote share. The three Claude models clustered between 0.62 and 0.81 em-dashes per response on average, all with medians of 0 and no smart quotes. Whatever signal in user-facing chat traffic produced the em-dash-as-Claude folk-stereotype, it is not visible in this prompt set with this set of models. If anything, on these prompts, em-dashes and curly quotes are a small-GPT tell.</w:t>
      </w:r>
    </w:p>
    <w:p>
      <w:pPr>
        <w:spacing w:after="100" w:before="60" w:line="300"/>
        <w:jc w:val="both"/>
      </w:pPr>
      <w:r>
        <w:t xml:space="preserve">Why might this happen? One plausible reading: gpt-5.4-nano's output distribution has higher variance under cold prompts than its larger siblings, and a portion of that variance reads as more “writerly” punctuation. Another: the em-dash habit may be specific to whatever fine-tuning set or sampling regime distinguishes nano from the larger GPTs. Either is consistent with the data; neither is decidable from the data.</w:t>
      </w:r>
    </w:p>
    <w:p>
      <w:pPr>
        <w:pStyle w:val="Heading2"/>
        <w:spacing w:after="120" w:before="240"/>
      </w:pPr>
      <w:r>
        <w:t xml:space="preserve">3.2 The “Here is…” preamble is not a GPT tell here</w:t>
      </w:r>
    </w:p>
    <w:p>
      <w:pPr>
        <w:spacing w:after="100" w:before="60" w:line="300"/>
        <w:jc w:val="both"/>
      </w:pPr>
      <w:r>
        <w:t xml:space="preserve">Folk-stereotype: the assistant-y “Sure! Here is…” opener is a GPT mannerism. In this dataset, it is a Sonnet mannerism, and a conditional one.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00"/>
      </w:tblGrid>
      <w:tr>
        <w:trPr>
          <w:tblHeader/>
        </w:trPr>
        <w:tc>
          <w:tcPr>
            <w:tcW w:type="dxa" w:w="3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Model</w:t>
            </w:r>
          </w:p>
        </w:tc>
        <w:tc>
          <w:tcPr>
            <w:tcW w:type="dxa" w:w="20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Preamble rate</w:t>
            </w:r>
          </w:p>
        </w:tc>
        <w:tc>
          <w:tcPr>
            <w:tcW w:type="dxa" w:w="3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Where the preambles concentrate</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gpt-5.4-mini</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gpt-5.4-nano</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claude-opus-4-7</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1.1%</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 row, story_lt5</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claude-sonnet-4-6</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37.8%</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100% poem_lt5, 100% poem_lt10, 100% story_lt5, 40% story_lt10, 0% all open and animal cells</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claude-haiku-4-5</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w:t>
            </w:r>
          </w:p>
        </w:tc>
      </w:tr>
    </w:tbl>
    <w:p>
      <w:pPr>
        <w:spacing w:after="80" w:before="80"/>
      </w:pPr>
      <w:r>
        <w:t xml:space="preserve"/>
      </w:r>
    </w:p>
    <w:p>
      <w:pPr>
        <w:spacing w:after="100" w:before="60" w:line="300"/>
        <w:jc w:val="both"/>
      </w:pPr>
      <w:r>
        <w:t xml:space="preserve">None of the three GPT models produced a preamble in any of 270 outputs. Sonnet produced one in 34 of 90. Haiku produced none. Opus produced one. The preamble is not a Claude-family habit; it is specific to claude-sonnet-4-6, and within Sonnet it is specific to length-constrained poems and stories. On open-length cells and on every animal prompt regardless of length condition, Sonnet's preamble rate is 0%.</w:t>
      </w:r>
    </w:p>
    <w:p>
      <w:pPr>
        <w:spacing w:after="100" w:before="60" w:line="300"/>
        <w:jc w:val="both"/>
      </w:pPr>
      <w:r>
        <w:t xml:space="preserve">The pattern reads as a specific behavior: when given a length constraint on a poem or story, Sonnet frames the output as a deliverable being handed over (“Here's a poem in fewer than five lines:” and similar). It does not do this when the prompt is open-ended, and it does not do this for animal descriptions even when those have length constraints. This is a finely textured habit that the headline-level family contrast “GPT prose vs. Claude formatted artifact” would have washed out entirely.</w:t>
      </w:r>
    </w:p>
    <w:p>
      <w:pPr>
        <w:spacing w:after="100" w:before="60" w:line="300"/>
        <w:jc w:val="both"/>
      </w:pPr>
      <w:r>
        <w:t xml:space="preserve">This is also the finding most vulnerable to a system-prompt confound. In any production deployment with even a minimal system message, the preamble may disappear. The result describes Sonnet under cold prompts, not Sonnet in normal use.</w:t>
      </w:r>
    </w:p>
    <w:p>
      <w:pPr>
        <w:pStyle w:val="Heading2"/>
        <w:spacing w:after="120" w:before="240"/>
      </w:pPr>
      <w:r>
        <w:t xml:space="preserve">3.3 Opening-word entropy: a clean family signal</w:t>
      </w:r>
    </w:p>
    <w:p>
      <w:pPr>
        <w:spacing w:after="100" w:before="60" w:line="300"/>
        <w:jc w:val="both"/>
      </w:pPr>
      <w:r>
        <w:t xml:space="preserve">Of all the features measured, opening-word concentration is the cleanest split between the families and the only one that crosses tier within each family.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2000"/>
        <w:gridCol w:w="1800"/>
      </w:tblGrid>
      <w:tr>
        <w:trPr>
          <w:tblHeader/>
        </w:trPr>
        <w:tc>
          <w:tcPr>
            <w:tcW w:type="dxa" w:w="30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Model</w:t>
            </w:r>
          </w:p>
        </w:tc>
        <w:tc>
          <w:tcPr>
            <w:tcW w:type="dxa" w:w="2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Opening-word entropy (bits)</w:t>
            </w:r>
          </w:p>
        </w:tc>
        <w:tc>
          <w:tcPr>
            <w:tcW w:type="dxa" w:w="20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Top opening word</w:t>
            </w:r>
          </w:p>
        </w:tc>
        <w:tc>
          <w:tcPr>
            <w:tcW w:type="dxa" w:w="18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Top word's share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3.02</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"at"</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26.7%</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gpt-5.4-mini</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2.92</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"the"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21.1%</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gpt-5.4-nano</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2.87</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"Mara"</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28.9%</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claude-opus-4-7</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1.52</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"the"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66.7%</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claude-sonnet-4-6</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1.18</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"the"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62.2%</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claude-haiku-4-5</w:t>
            </w:r>
          </w:p>
        </w:tc>
        <w:tc>
          <w:tcPr>
            <w:tcW w:type="dxa" w:w="2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1.49</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"the"</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66.7%</w:t>
            </w:r>
          </w:p>
        </w:tc>
      </w:tr>
    </w:tbl>
    <w:p>
      <w:pPr>
        <w:spacing w:after="80" w:before="80"/>
      </w:pPr>
      <w:r>
        <w:t xml:space="preserve"/>
      </w:r>
    </w:p>
    <w:p>
      <w:pPr>
        <w:spacing w:after="100" w:before="60" w:line="300"/>
        <w:jc w:val="both"/>
      </w:pPr>
      <w:r>
        <w:t xml:space="preserve">The three Claude models open responses with “The” between 62% and 67% of the time. The three GPT models do not: their top opening words have shares of 21–29%, and their entropy is roughly twice as high. gpt-5.4-nano shows a different kind of templating: 26 of 90 responses begin with the proper noun “Mara,” suggesting a fixation on a particular name across runs.</w:t>
      </w:r>
    </w:p>
    <w:p>
      <w:pPr>
        <w:spacing w:after="100" w:before="60" w:line="300"/>
        <w:jc w:val="both"/>
      </w:pPr>
      <w:r>
        <w:t xml:space="preserve">This is the only finding in the study where a Claude-vs-GPT family signal is both clean and crosses model tier within each family. The other large family-level signals (titles, block structure) are dominated by Sonnet and Haiku at the extreme; Opus is more middle-ground. Opening-word entropy holds across all three Claudes.</w:t>
      </w:r>
    </w:p>
    <w:p>
      <w:pPr>
        <w:pStyle w:val="Heading1"/>
        <w:spacing w:after="160" w:before="320"/>
      </w:pPr>
      <w:r>
        <w:t xml:space="preserve">4. Format-rigidity: a 2-2-2 split</w:t>
      </w:r>
    </w:p>
    <w:p>
      <w:pPr>
        <w:spacing w:after="100" w:before="60" w:line="300"/>
        <w:jc w:val="both"/>
      </w:pPr>
      <w:r>
        <w:t xml:space="preserve">The most familiar finding in this dataset is also the most familiar slogan about the model families: GPT models tend to produce single prose blocks; Claude models tend to produce titled, line-broken artifacts. That is true on average. It is also too smooth.</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1700"/>
        <w:gridCol w:w="1700"/>
        <w:gridCol w:w="1700"/>
        <w:gridCol w:w="1500"/>
      </w:tblGrid>
      <w:tr>
        <w:trPr>
          <w:tblHeader/>
        </w:trPr>
        <w:tc>
          <w:tcPr>
            <w:tcW w:type="dxa" w:w="30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Model</w:t>
            </w:r>
          </w:p>
        </w:tc>
        <w:tc>
          <w:tcPr>
            <w:tcW w:type="dxa" w:w="17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Title rate</w:t>
            </w:r>
          </w:p>
        </w:tc>
        <w:tc>
          <w:tcPr>
            <w:tcW w:type="dxa" w:w="17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Single-block</w:t>
            </w:r>
          </w:p>
        </w:tc>
        <w:tc>
          <w:tcPr>
            <w:tcW w:type="dxa" w:w="17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Preamble</w:t>
            </w:r>
          </w:p>
        </w:tc>
        <w:tc>
          <w:tcPr>
            <w:tcW w:type="dxa" w:w="1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Mean words</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2.2%</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64.4%</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109.7</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gpt-5.4-mini</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22.2%</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65.6%</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116.7</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gpt-5.4-nano</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5.6%</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66.7%</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119.4</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claude-opus-4-7</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75.6%</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23.3%</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1.1%</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108.6</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claude-sonnet-4-6</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98.9%</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37.8%</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112.2</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claude-haiku-4-5</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100.0%</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119.1</w:t>
            </w:r>
          </w:p>
        </w:tc>
      </w:tr>
    </w:tbl>
    <w:p>
      <w:pPr>
        <w:spacing w:after="80" w:before="80"/>
      </w:pPr>
      <w:r>
        <w:t xml:space="preserve"/>
      </w:r>
    </w:p>
    <w:p>
      <w:pPr>
        <w:spacing w:after="100" w:before="60" w:line="300"/>
        <w:jc w:val="both"/>
      </w:pPr>
      <w:r>
        <w:t xml:space="preserve">Breaking the title and single-block flags down by length condition exposes a sharper pattern. The six models do not split into two tribes (GPT vs. Claude); they split into three pairs by how much the length cue overrides default formatting habits.</w:t>
      </w:r>
    </w:p>
    <w:p>
      <w:pPr>
        <w:pStyle w:val="ListParagraph"/>
        <w:numPr>
          <w:ilvl w:val="0"/>
          <w:numId w:val="2"/>
        </w:numPr>
        <w:spacing w:after="30" w:before="30" w:line="300"/>
      </w:pPr>
      <w:r>
        <w:t xml:space="preserve">Format-rigid (claude-sonnet-4-6, claude-haiku-4-5): 99–100% title rate across every category and every length condition; 0% single-block. Length cue does not override the formatting habit.</w:t>
      </w:r>
    </w:p>
    <w:p>
      <w:pPr>
        <w:pStyle w:val="ListParagraph"/>
        <w:numPr>
          <w:ilvl w:val="0"/>
          <w:numId w:val="2"/>
        </w:numPr>
        <w:spacing w:after="30" w:before="30" w:line="300"/>
      </w:pPr>
      <w:r>
        <w:t xml:space="preserve">Format-adaptive (claude-opus-4-7, gpt-5.4-mini): title under open prompts (Opus near 89% on stories and poems; Mini near 30% on poems and 33% on animals), drop the title under tight constraints. Multi-block under open conditions, single-block when squeezed.</w:t>
      </w:r>
    </w:p>
    <w:p>
      <w:pPr>
        <w:pStyle w:val="ListParagraph"/>
        <w:numPr>
          <w:ilvl w:val="0"/>
          <w:numId w:val="2"/>
        </w:numPr>
        <w:spacing w:after="30" w:before="30" w:line="300"/>
      </w:pPr>
      <w:r>
        <w:t xml:space="preserve">Format-minimal (gpt-5.4, gpt-5.4-nano): rarely title in any condition (top rates 6.7% and 13.3%, both in animals); little default scaffolding to override.</w:t>
      </w:r>
    </w:p>
    <w:p>
      <w:pPr>
        <w:spacing w:after="100" w:before="60" w:line="300"/>
        <w:jc w:val="both"/>
      </w:pPr>
      <w:r>
        <w:t xml:space="preserve">This split is real in the data, but its specific framing — whether to call it “rigid/adaptive/minimal” or something else — is the part most vulnerable to analyst bias. The numbers do not change under a different label scheme; the story they tell does. A different analyst might describe it as a 2-2-2 split with different names, or as a continuum rather than three discrete groups, and the data would support either reading. The labels are suggestive, not definitive.</w:t>
      </w:r>
    </w:p>
    <w:p>
      <w:pPr>
        <w:spacing w:after="100" w:before="60" w:line="300"/>
        <w:jc w:val="both"/>
      </w:pPr>
      <w:r>
        <w:t xml:space="preserve">Notably, the sonnet preamble pattern from §3.2 is consistent with the format-rigid reading: when squeezed, Sonnet does not change its format — instead it adds a preamble framing the constrained output as a delivery. The other Claudes simply continue formatting as before; Sonnet appears to acknowledge the constraint in prose while not yielding on the form.</w:t>
      </w:r>
    </w:p>
    <w:p>
      <w:pPr>
        <w:pStyle w:val="Heading1"/>
        <w:spacing w:after="160" w:before="320"/>
      </w:pPr>
      <w:r>
        <w:t xml:space="preserve">5. Output-cap hits and the open-prompt clipping confound</w:t>
      </w:r>
    </w:p>
    <w:p>
      <w:pPr>
        <w:spacing w:after="100" w:before="60" w:line="300"/>
        <w:jc w:val="both"/>
      </w:pPr>
      <w:r>
        <w:t xml:space="preserve">With max_tokens=400 fixed, three of the six models had substantial open-prompt cap-hit rates. This is the strongest argument in the data for raising max_tokens in any follow-up; it is also a confound that any downstream lexical-diversity, ending-valence, or completion-quality analysis on open-prompt cells must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rPr>
          <w:tblHeader/>
        </w:trPr>
        <w:tc>
          <w:tcPr>
            <w:tcW w:type="dxa" w:w="30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Model</w:t>
            </w:r>
          </w:p>
        </w:tc>
        <w:tc>
          <w:tcPr>
            <w:tcW w:type="dxa" w:w="1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Overall</w:t>
            </w:r>
          </w:p>
        </w:tc>
        <w:tc>
          <w:tcPr>
            <w:tcW w:type="dxa" w:w="1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story_open</w:t>
            </w:r>
          </w:p>
        </w:tc>
        <w:tc>
          <w:tcPr>
            <w:tcW w:type="dxa" w:w="1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animal_open</w:t>
            </w:r>
          </w:p>
        </w:tc>
        <w:tc>
          <w:tcPr>
            <w:tcW w:type="dxa" w:w="1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poem_open</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5.6%</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50.0%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gpt-5.4-mini</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8.9%</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80.0%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gpt-5.4-nano</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11.1%</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100.0%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claude-opus-4-7</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22.2%</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100.0%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100.0%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claude-sonnet-4-6</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claude-haiku-4-5</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1.1%</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w:t>
            </w:r>
          </w:p>
        </w:tc>
      </w:tr>
    </w:tbl>
    <w:p>
      <w:pPr>
        <w:spacing w:after="80" w:before="80"/>
      </w:pPr>
      <w:r>
        <w:t xml:space="preserve"/>
      </w:r>
    </w:p>
    <w:p>
      <w:pPr>
        <w:spacing w:after="100" w:before="60" w:line="300"/>
        <w:jc w:val="both"/>
      </w:pPr>
      <w:r>
        <w:t xml:space="preserve">Every cap hit in the dataset, across all six models, occurs on an open-length prompt. Two models stand out at opposite ends. claude-opus-4-7 hit the cap on 100% of open-length stories and 100% of open-length animals — twenty out of thirty open-length completions. claude-sonnet-4-6 never hit the cap. Read carefully, this means Opus had more to say than the harness allowed in two of three open conditions, while Sonnet was content to wrap up within budget.</w:t>
      </w:r>
    </w:p>
    <w:p>
      <w:pPr>
        <w:spacing w:after="100" w:before="60" w:line="300"/>
        <w:jc w:val="both"/>
      </w:pPr>
      <w:r>
        <w:t xml:space="preserve">This matters analytically because cap-hit rows contaminate any downstream feature that depends on completion: ending valence, plot resolution, closer length, final-sentence properties. They are not failures, but they are censored observations. Analyses involving Opus's open-length completions need to treat those rows with care.</w:t>
      </w:r>
    </w:p>
    <w:p>
      <w:pPr>
        <w:pStyle w:val="Heading1"/>
        <w:spacing w:after="160" w:before="320"/>
      </w:pPr>
      <w:r>
        <w:t xml:space="preserve">6. Compliance and the sentence-count boundary</w:t>
      </w:r>
    </w:p>
    <w:p>
      <w:pPr>
        <w:spacing w:after="100" w:before="60" w:line="300"/>
        <w:jc w:val="both"/>
      </w:pPr>
      <w:r>
        <w:t xml:space="preserve">Compliance with length constraints was high overall: 538 of 540 outputs were within the requested sentence cap or in an open-length cell. But the small number of compliance failures clustered in a way worth describing precisely.</w:t>
      </w:r>
    </w:p>
    <w:p>
      <w:pPr>
        <w:spacing w:after="100" w:before="60" w:line="300"/>
        <w:jc w:val="both"/>
      </w:pPr>
      <w:r>
        <w:t xml:space="preserve">All compliance failures were Claude-family. The three GPT models had perfect compliance on constrained prompts under both coders. The Claude failures break down as follows under the semantic coder: Opus 2 (in story_lt5), Sonnet 1 (in story_lt10), Haiku 6 (all in story_lt5). Under the structural coder, Haiku's failures rise to 9, with the additional 3 falling into the disagreement zone described below.</w:t>
      </w:r>
    </w:p>
    <w:p>
      <w:pPr>
        <w:spacing w:after="100" w:before="60" w:line="300"/>
        <w:jc w:val="both"/>
      </w:pPr>
      <w:r>
        <w:t xml:space="preserve">The two coders agree on compliance for 537 of 540 outputs. The three disagreement cases all involve claude-haiku-4-5 on story_lt5. In each case the semantic coder counted four sentences (compliant) and the structural coder counted five (non-compliant). Each of those outputs sits exactly on the 4-vs-5 boundary; whichever sentence-splitter you use, you decide the verdict.</w:t>
      </w:r>
    </w:p>
    <w:p>
      <w:pPr>
        <w:spacing w:after="100" w:before="60" w:line="300"/>
        <w:jc w:val="both"/>
      </w:pPr>
      <w:r>
        <w:t xml:space="preserve">The reasonable read is </w:t>
      </w:r>
      <w:r>
        <w:rPr>
          <w:i/>
          <w:iCs/>
        </w:rPr>
        <w:t xml:space="preserve">not</w:t>
      </w:r>
      <w:r>
        <w:t xml:space="preserve"> “Haiku can't count to five.” It is closer to: Haiku writes story_lt5 outputs as long as it can while still claiming compliance. That is a different kind of finding — it implies a different attitude toward the constraint than gpt-5.4 has — but it is not an instruction-following failure. The gap between the two readings is exactly what the splitter ambiguity exposes.</w:t>
      </w:r>
    </w:p>
    <w:p>
      <w:pPr>
        <w:pStyle w:val="Heading1"/>
        <w:spacing w:after="160" w:before="320"/>
      </w:pPr>
      <w:r>
        <w:t xml:space="preserve">7. What the statistical screen says</w:t>
      </w:r>
    </w:p>
    <w:p>
      <w:pPr>
        <w:spacing w:after="100" w:before="60" w:line="300"/>
        <w:jc w:val="both"/>
      </w:pPr>
      <w:r>
        <w:t xml:space="preserve">The strongest categorical and continuous separations across all six models are reported below. The p-values are screening statistics, not confirmatory inference: rows are not independent (each model answered the same nine-prompt grid), so the right confirmatory test is a prompt-blocked or mixed-effects model, not a flat χ² on 540 outputs. The effect sizes (Cramér's V, ε²) are more interpretable than the p-values.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500"/>
        <w:gridCol w:w="2300"/>
      </w:tblGrid>
      <w:tr>
        <w:trPr>
          <w:tblHeader/>
        </w:trPr>
        <w:tc>
          <w:tcPr>
            <w:tcW w:type="dxa" w:w="3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Categorical feature</w:t>
            </w:r>
          </w:p>
        </w:tc>
        <w:tc>
          <w:tcPr>
            <w:tcW w:type="dxa" w:w="22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p (screening)</w:t>
            </w:r>
          </w:p>
        </w:tc>
        <w:tc>
          <w:tcPr>
            <w:tcW w:type="dxa" w:w="1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Cramér V</w:t>
            </w:r>
          </w:p>
        </w:tc>
        <w:tc>
          <w:tcPr>
            <w:tcW w:type="dxa" w:w="23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Range across models</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title-line rate</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4.5e-80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0.84</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2.2% – 100.0%</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single-block rate</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4.9e-43</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0.62</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 – 66.7%</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meta-preamble rate</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7.4e-36</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0.57</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 – 37.8%</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dominant imagery</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1.2e-13</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0.22</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nature vs. light/dark splits</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output-cap-hit rate</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1.7e-07</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0.27</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 – 22.2%</w:t>
            </w:r>
          </w:p>
        </w:tc>
      </w:tr>
    </w:tbl>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1500"/>
        <w:gridCol w:w="2300"/>
      </w:tblGrid>
      <w:tr>
        <w:trPr>
          <w:tblHeader/>
        </w:trPr>
        <w:tc>
          <w:tcPr>
            <w:tcW w:type="dxa" w:w="3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Continuous feature</w:t>
            </w:r>
          </w:p>
        </w:tc>
        <w:tc>
          <w:tcPr>
            <w:tcW w:type="dxa" w:w="22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p (screening)</w:t>
            </w:r>
          </w:p>
        </w:tc>
        <w:tc>
          <w:tcPr>
            <w:tcW w:type="dxa" w:w="1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ε²</w:t>
            </w:r>
          </w:p>
        </w:tc>
        <w:tc>
          <w:tcPr>
            <w:tcW w:type="dxa" w:w="23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Family contrast (GPT vs Claude)</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paragraph count</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6.8e-17</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0.15</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3.39 vs 4.50</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semicolon count</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4.8e-13</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0.12</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0.17 vs 0.02</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em-dash count</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9.8e-12</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0.10</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0.78 vs 0.71 (driven by nano)</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sent-len max</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6.6e-10</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0.31 (d)</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24.78 vs 33.29</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sent-len mean</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1.1e-06</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0.24 (d)</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18.04 vs 21.47</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type-token ratio</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0.026</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0.11 (d)</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0.79 vs 0.77</w:t>
            </w:r>
          </w:p>
        </w:tc>
      </w:tr>
      <w:tr>
        <w:tc>
          <w:tcPr>
            <w:tcW w:type="dxa" w:w="3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formulaicness</w:t>
            </w:r>
          </w:p>
        </w:tc>
        <w:tc>
          <w:tcPr>
            <w:tcW w:type="dxa" w:w="22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0.068</w:t>
            </w:r>
          </w:p>
        </w:tc>
        <w:tc>
          <w:tcPr>
            <w:tcW w:type="dxa" w:w="1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0.01</w:t>
            </w:r>
          </w:p>
        </w:tc>
        <w:tc>
          <w:tcPr>
            <w:tcW w:type="dxa" w:w="23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lowest at Opus, highest at gpt-5.4</w:t>
            </w:r>
          </w:p>
        </w:tc>
      </w:tr>
    </w:tbl>
    <w:p>
      <w:pPr>
        <w:spacing w:after="80" w:before="80"/>
      </w:pPr>
      <w:r>
        <w:t xml:space="preserve"/>
      </w:r>
    </w:p>
    <w:p>
      <w:pPr>
        <w:spacing w:after="100" w:before="60" w:line="300"/>
        <w:jc w:val="both"/>
      </w:pPr>
      <w:r>
        <w:t xml:space="preserve">Two effect sizes stand out. The title-line rate has Cramér's V of 0.84, near-deterministic separation: knowing whether a response has a title line gives you very strong information about which model wrote it. Single-block rate at V = 0.62 is the next strongest. Meta-preamble at V = 0.57 is the third — but recall from §3.2 that nearly all of that effect is one model in three of nine prompt cells; the family contrast on preambles is essentially Sonnet vs. everyone.</w:t>
      </w:r>
    </w:p>
    <w:p>
      <w:pPr>
        <w:pStyle w:val="Heading1"/>
        <w:spacing w:after="160" w:before="320"/>
      </w:pPr>
      <w:r>
        <w:t xml:space="preserve">8. A prompt-blocked classifier check</w:t>
      </w:r>
    </w:p>
    <w:p>
      <w:pPr>
        <w:spacing w:after="100" w:before="60" w:line="300"/>
        <w:jc w:val="both"/>
      </w:pPr>
      <w:r>
        <w:t xml:space="preserve">To test whether the stylistic signatures survive prompt variation, two simple classifiers were trained on surface-style features only — excluding model labels, family labels, prompt labels, and the cap-hit flag. Validation was leave-one-prompt-id-out: train on eight of the nine prompt conditions, test on the ninth, repeat across all nine folds.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2000"/>
        <w:gridCol w:w="1800"/>
      </w:tblGrid>
      <w:tr>
        <w:trPr>
          <w:tblHeader/>
        </w:trPr>
        <w:tc>
          <w:tcPr>
            <w:tcW w:type="dxa" w:w="30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Classifier</w:t>
            </w:r>
          </w:p>
        </w:tc>
        <w:tc>
          <w:tcPr>
            <w:tcW w:type="dxa" w:w="30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Validation</w:t>
            </w:r>
          </w:p>
        </w:tc>
        <w:tc>
          <w:tcPr>
            <w:tcW w:type="dxa" w:w="20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6-way accuracy</w:t>
            </w:r>
          </w:p>
        </w:tc>
        <w:tc>
          <w:tcPr>
            <w:tcW w:type="dxa" w:w="18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Chance</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Logistic regression</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leave-one-prompt-id-out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42.6%</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16.7%</w:t>
            </w:r>
          </w:p>
        </w:tc>
      </w:tr>
      <w:tr>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Random forest</w:t>
            </w:r>
          </w:p>
        </w:tc>
        <w:tc>
          <w:tcPr>
            <w:tcW w:type="dxa" w:w="3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leave-one-prompt-id-out</w:t>
            </w:r>
          </w:p>
        </w:tc>
        <w:tc>
          <w:tcPr>
            <w:tcW w:type="dxa" w:w="20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49.8%</w:t>
            </w:r>
          </w:p>
        </w:tc>
        <w:tc>
          <w:tcPr>
            <w:tcW w:type="dxa" w:w="1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16.7%</w:t>
            </w:r>
          </w:p>
        </w:tc>
      </w:tr>
    </w:tbl>
    <w:p>
      <w:pPr>
        <w:spacing w:after="80" w:before="80"/>
      </w:pPr>
      <w:r>
        <w:t xml:space="preserve"/>
      </w:r>
    </w:p>
    <w:p>
      <w:pPr>
        <w:spacing w:after="100" w:before="60" w:line="300"/>
        <w:jc w:val="both"/>
      </w:pPr>
      <w:r>
        <w:t xml:space="preserve">Both classifiers ran far above chance. This is not offered as a serious model-attribution system — that would need cross-prompt-set, cross-temperature, and cross-snapshot validation. It is a sanity check on the rest of the paper. If a small bag of surface features can identify the model on prompts the classifier has never seen, then the stylistic signal survives prompt variation, which is the central claim.</w:t>
      </w:r>
    </w:p>
    <w:p>
      <w:pPr>
        <w:spacing w:after="100" w:before="60" w:line="300"/>
        <w:jc w:val="both"/>
      </w:pPr>
      <w:r>
        <w:t xml:space="preserve">Two caveats are worth naming. First, no confusion matrix is reported in the underlying analysis; without one, we do not know whether the 49.8% is being driven by the easy cases (Sonnet and Haiku at 99–100% title rate are close to one-shot identifiable) or whether the harder pairs (the three GPTs vs. each other) are also being separated. The honest version of the headline is “49.8% overall, with unknown distribution across the six confusion classes.” Second, leave-one-prompt-out is a stronger validation than leave-one-row-out but a weaker one than leave-one-snapshot-out; a model snapshot updated next month might wipe out the signature entirely.</w:t>
      </w:r>
    </w:p>
    <w:p>
      <w:pPr>
        <w:pStyle w:val="Heading1"/>
        <w:spacing w:after="160" w:before="320"/>
      </w:pPr>
      <w:r>
        <w:t xml:space="preserve">9. Why semantic features were quieter</w:t>
      </w:r>
    </w:p>
    <w:p>
      <w:pPr>
        <w:spacing w:after="100" w:before="60" w:line="300"/>
        <w:jc w:val="both"/>
      </w:pPr>
      <w:r>
        <w:t xml:space="preserve">The semantic coder produced smaller and less diagnostic separations than the structural coder. Across all six models, the modal dominant mood was </w:t>
      </w:r>
      <w:r>
        <w:rPr>
          <w:i/>
          <w:iCs/>
        </w:rPr>
        <w:t xml:space="preserve">serene</w:t>
      </w:r>
      <w:r>
        <w:t xml:space="preserve"> (47–63% of outputs per model), the modal dominant setting was </w:t>
      </w:r>
      <w:r>
        <w:rPr>
          <w:i/>
          <w:iCs/>
        </w:rPr>
        <w:t xml:space="preserve">natural</w:t>
      </w:r>
      <w:r>
        <w:t xml:space="preserve"> (54–82%), the modal tense was </w:t>
      </w:r>
      <w:r>
        <w:rPr>
          <w:i/>
          <w:iCs/>
        </w:rPr>
        <w:t xml:space="preserve">present</w:t>
      </w:r>
      <w:r>
        <w:t xml:space="preserve"> (66.5% overall), and the modal person was </w:t>
      </w:r>
      <w:r>
        <w:rPr>
          <w:i/>
          <w:iCs/>
        </w:rPr>
        <w:t xml:space="preserve">third</w:t>
      </w:r>
      <w:r>
        <w:t xml:space="preserve"> (73.9% overall). Plot arc, imagery, and ending valence varied more, but with effect sizes well below the structural features.</w:t>
      </w:r>
    </w:p>
    <w:p>
      <w:pPr>
        <w:spacing w:after="100" w:before="60" w:line="300"/>
        <w:jc w:val="both"/>
      </w:pPr>
      <w:r>
        <w:t xml:space="preserve">There are at least three plausible reasons for this asymmetry, and the data cannot adjudicate among them. First, the prompts may simply have elicited semantically similar content across models — “write a short story” under cold conditions might land at a serene-natural-third-person default for almost any frontier model. Second, the semantic coder's lexicon-based bins may be too coarse to register the differences that exist; metaphor texture, cliché handling, and tonal control move under categories like mood:serene without changing the label. Third, the cap of 400 tokens leaves little room for semantic differences in plot tempo, subtext, or thematic development to emerge.</w:t>
      </w:r>
    </w:p>
    <w:p>
      <w:pPr>
        <w:spacing w:after="100" w:before="60" w:line="300"/>
        <w:jc w:val="both"/>
      </w:pPr>
      <w:r>
        <w:t xml:space="preserve">The honest version of the structural-vs-semantic asymmetry is therefore not “models differ in form, not in meaning.” It is: “in 540 short cold-prompt outputs coded with coarse semantic bins, structural features discriminated more strongly than semantic features.” That is a narrower claim, and a defensible one.</w:t>
      </w:r>
    </w:p>
    <w:p>
      <w:pPr>
        <w:spacing w:after="100" w:before="60" w:line="300"/>
        <w:jc w:val="both"/>
      </w:pPr>
      <w:r>
        <w:t xml:space="preserve">One semantic feature did show a real effect: formulaicness. claude-opus-4-7 had the lowest mean formulaicness score (0.94) and gpt-5.4 had the highest (1.69). This is descriptively suggestive but the model-level test was weak (p = 0.068), and the structural coder was authored by claude-opus-4-7, so a result that flatters Opus on a feature designed by Opus's author is exactly the kind of result this paper's conflict-of-interest section warns about. Treat with caution.</w:t>
      </w:r>
    </w:p>
    <w:p>
      <w:pPr>
        <w:pStyle w:val="Heading1"/>
        <w:spacing w:after="160" w:before="320"/>
      </w:pPr>
      <w:r>
        <w:t xml:space="preserve">10. Discussion</w:t>
      </w:r>
    </w:p>
    <w:p>
      <w:pPr>
        <w:spacing w:after="100" w:before="60" w:line="300"/>
        <w:jc w:val="both"/>
      </w:pPr>
      <w:r>
        <w:t xml:space="preserve">The cleanest summary of this dataset is also the most modest. Six frontier models, asked to improvise short pieces of creative writing without context, exhibit large and easily measured differences in surface form. Two folk-stereotypes about which family does what — em-dashes as Claude, “Sure, here is…” as GPT — fail on this prompt set. A third pattern, opening-word concentration, is the cleanest family-level signal and the only one that crosses tier within each family. A 2-2-2 split in format-rigidity is suggestive but more vulnerable to analyst bias than the headline findings. The classifier check confirms that the signals survive prompt variation.</w:t>
      </w:r>
    </w:p>
    <w:p>
      <w:pPr>
        <w:spacing w:after="100" w:before="60" w:line="300"/>
        <w:jc w:val="both"/>
      </w:pPr>
      <w:r>
        <w:t xml:space="preserve">Three things are worth saying about what this study is and is not.</w:t>
      </w:r>
    </w:p>
    <w:p>
      <w:pPr>
        <w:spacing w:after="100" w:before="60" w:line="300"/>
        <w:jc w:val="both"/>
      </w:pPr>
      <w:r>
        <w:rPr>
          <w:b/>
          <w:bCs/>
        </w:rPr>
        <w:t xml:space="preserve">It is descriptive, not normative. </w:t>
      </w:r>
      <w:r>
        <w:t xml:space="preserve">None of these features are quality judgments. A model that writes single-block prose is not better or worse than one that writes titled artifacts. A preamble is not a flaw; it is a habit. Cold-prompt defaults are interesting because they are unprompted, not because they reflect best behavior.</w:t>
      </w:r>
    </w:p>
    <w:p>
      <w:pPr>
        <w:spacing w:after="100" w:before="60" w:line="300"/>
        <w:jc w:val="both"/>
      </w:pPr>
      <w:r>
        <w:rPr>
          <w:b/>
          <w:bCs/>
        </w:rPr>
        <w:t xml:space="preserve">It is about defaults, not about use. </w:t>
      </w:r>
      <w:r>
        <w:t xml:space="preserve">These prompts have no system message, no conversation, no domain context. Almost any production deployment changes that. The Sonnet preamble in particular is the kind of behavior that may disappear entirely under a minimal system prompt; this experiment cannot tell. The findings describe a vacuum-chamber regime that is informative about what gets baked in but not directly about what users see.</w:t>
      </w:r>
    </w:p>
    <w:p>
      <w:pPr>
        <w:spacing w:after="100" w:before="60" w:line="300"/>
        <w:jc w:val="both"/>
      </w:pPr>
      <w:r>
        <w:rPr>
          <w:b/>
          <w:bCs/>
        </w:rPr>
        <w:t xml:space="preserve">It is dated. </w:t>
      </w:r>
      <w:r>
        <w:t xml:space="preserve">Only one of the six model identifiers (claude-haiku-4-5-20251001) is pinned to a snapshot. The other five may resolve to mutable deployments, and any of these labs could change a default in a Tuesday post-training update. The findings describe these models on May 7, 2026; replication on later snapshots is needed to know which signatures persist.</w:t>
      </w:r>
    </w:p>
    <w:p>
      <w:pPr>
        <w:spacing w:after="100" w:before="60" w:line="300"/>
        <w:jc w:val="both"/>
      </w:pPr>
      <w:r>
        <w:t xml:space="preserve">The most useful follow-up is probably also the simplest: re-run with max_tokens raised to 1000 or 2000 (eliminating the open-prompt clipping confound), add a minimal system prompt as a third arm (so the cold-vs-warm difference can be seen directly), and ship a confusion matrix with the classifier so the per-pair separability is visible. The current design is small enough to replicate cheaply; the value of replication is high.</w:t>
      </w:r>
    </w:p>
    <w:p>
      <w:pPr>
        <w:pStyle w:val="Heading1"/>
        <w:spacing w:after="160" w:before="320"/>
      </w:pPr>
      <w:r>
        <w:t xml:space="preserve">11. Limitations</w:t>
      </w:r>
    </w:p>
    <w:p>
      <w:pPr>
        <w:pStyle w:val="ListParagraph"/>
        <w:numPr>
          <w:ilvl w:val="0"/>
          <w:numId w:val="2"/>
        </w:numPr>
        <w:spacing w:after="30" w:before="30" w:line="300"/>
      </w:pPr>
      <w:r>
        <w:t xml:space="preserve">n = 10 per cell at temperature 1.0 is small. Effects this large are visible at this n, but replication is needed before any of these signatures should be treated as stable model properties.</w:t>
      </w:r>
    </w:p>
    <w:p>
      <w:pPr>
        <w:pStyle w:val="ListParagraph"/>
        <w:numPr>
          <w:ilvl w:val="0"/>
          <w:numId w:val="2"/>
        </w:numPr>
        <w:spacing w:after="30" w:before="30" w:line="300"/>
      </w:pPr>
      <w:r>
        <w:t xml:space="preserve">Cold contextless prompts measure defaults, not behavior in normal use. Findings here describe an unusual operating regime.</w:t>
      </w:r>
    </w:p>
    <w:p>
      <w:pPr>
        <w:pStyle w:val="ListParagraph"/>
        <w:numPr>
          <w:ilvl w:val="0"/>
          <w:numId w:val="2"/>
        </w:numPr>
        <w:spacing w:after="30" w:before="30" w:line="300"/>
      </w:pPr>
      <w:r>
        <w:t xml:space="preserve">Statistical p-values are screening tests, not confirmatory inference. Rows are not independent because every model answered the same nine-prompt grid. Effect sizes are the more trustworthy column in §7's tables.</w:t>
      </w:r>
    </w:p>
    <w:p>
      <w:pPr>
        <w:pStyle w:val="ListParagraph"/>
        <w:numPr>
          <w:ilvl w:val="0"/>
          <w:numId w:val="2"/>
        </w:numPr>
        <w:spacing w:after="30" w:before="30" w:line="300"/>
      </w:pPr>
      <w:r>
        <w:t xml:space="preserve">Output-cap hits are censored observations and concentrate in three of six models on open-length prompts. Lexical-diversity and ending-quality analyses on open-prompt cells should report this confound.</w:t>
      </w:r>
    </w:p>
    <w:p>
      <w:pPr>
        <w:pStyle w:val="ListParagraph"/>
        <w:numPr>
          <w:ilvl w:val="0"/>
          <w:numId w:val="2"/>
        </w:numPr>
        <w:spacing w:after="30" w:before="30" w:line="300"/>
      </w:pPr>
      <w:r>
        <w:t xml:space="preserve">Both heuristic coders were authored by models under study. Deterministic lexical matching bounds the conflict but does not erase it; the choice of which features to count encodes priors.</w:t>
      </w:r>
    </w:p>
    <w:p>
      <w:pPr>
        <w:pStyle w:val="ListParagraph"/>
        <w:numPr>
          <w:ilvl w:val="0"/>
          <w:numId w:val="2"/>
        </w:numPr>
        <w:spacing w:after="30" w:before="30" w:line="300"/>
      </w:pPr>
      <w:r>
        <w:t xml:space="preserve">The classifier accuracy is reported without a confusion matrix. Per-pair separability is unknown and the 49.8% figure may be driven disproportionately by Sonnet and Haiku.</w:t>
      </w:r>
    </w:p>
    <w:p>
      <w:pPr>
        <w:pStyle w:val="ListParagraph"/>
        <w:numPr>
          <w:ilvl w:val="0"/>
          <w:numId w:val="2"/>
        </w:numPr>
        <w:spacing w:after="30" w:before="30" w:line="300"/>
      </w:pPr>
      <w:r>
        <w:t xml:space="preserve">Sentence-count heuristics disagree on 19.4% of rows, concentrated in open-prompt stories and animal descriptions. Compliance findings are robust except at the 4-vs-5 boundary in story_lt5, where three Haiku rows depend on which splitter is chosen.</w:t>
      </w:r>
    </w:p>
    <w:p>
      <w:pPr>
        <w:pStyle w:val="ListParagraph"/>
        <w:numPr>
          <w:ilvl w:val="0"/>
          <w:numId w:val="2"/>
        </w:numPr>
        <w:spacing w:after="30" w:before="30" w:line="300"/>
      </w:pPr>
      <w:r>
        <w:t xml:space="preserve">Five of six model identifiers are not pinned to dated snapshots. Reproducibility on later dates is not guaranteed.</w:t>
      </w:r>
    </w:p>
    <w:p>
      <w:pPr>
        <w:pStyle w:val="ListParagraph"/>
        <w:numPr>
          <w:ilvl w:val="0"/>
          <w:numId w:val="2"/>
        </w:numPr>
        <w:spacing w:after="30" w:before="30" w:line="300"/>
      </w:pPr>
      <w:r>
        <w:t xml:space="preserve">One prompt has a typo (“fewer then 5 lines” in poem_lt5). The typo is identical across all 540 calls, so it does not differ across models, but it is an instruction-following hazard.</w:t>
      </w:r>
    </w:p>
    <w:p>
      <w:pPr>
        <w:pStyle w:val="ListParagraph"/>
        <w:numPr>
          <w:ilvl w:val="0"/>
          <w:numId w:val="2"/>
        </w:numPr>
        <w:spacing w:after="30" w:before="30" w:line="300"/>
      </w:pPr>
      <w:r>
        <w:t xml:space="preserve">Stylistic signatures are not quality judgments and do not generalize to non-creative tasks: coding, reasoning, retrieval, summarization, dialogue, or tool use.</w:t>
      </w:r>
    </w:p>
    <w:p>
      <w:pPr>
        <w:pStyle w:val="Heading1"/>
        <w:spacing w:after="160" w:before="320"/>
      </w:pPr>
      <w:r>
        <w:t xml:space="preserve">12. Summary table of findings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2800"/>
      </w:tblGrid>
      <w:tr>
        <w:trPr>
          <w:tblHeader/>
        </w:trPr>
        <w:tc>
          <w:tcPr>
            <w:tcW w:type="dxa" w:w="45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Finding</w:t>
            </w:r>
          </w:p>
        </w:tc>
        <w:tc>
          <w:tcPr>
            <w:tcW w:type="dxa" w:w="17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Strength</w:t>
            </w:r>
          </w:p>
        </w:tc>
        <w:tc>
          <w:tcPr>
            <w:tcW w:type="dxa" w:w="2800"/>
            <w:tcBorders>
              <w:top w:val="single" w:color="B0B0B0" w:sz="4"/>
              <w:left w:val="single" w:color="B0B0B0" w:sz="4"/>
              <w:bottom w:val="single" w:color="B0B0B0" w:sz="4"/>
              <w:right w:val="single" w:color="B0B0B0" w:sz="4"/>
            </w:tcBorders>
            <w:shd w:fill="E8EEF4" w:color="auto" w:val="clear"/>
            <w:tcMar>
              <w:top w:type="dxa" w:w="80"/>
              <w:left w:type="dxa" w:w="120"/>
              <w:bottom w:type="dxa" w:w="80"/>
              <w:right w:type="dxa" w:w="120"/>
            </w:tcMar>
          </w:tcPr>
          <w:p>
            <w:pPr>
              <w:spacing w:after="0" w:before="0"/>
            </w:pPr>
            <w:r>
              <w:rPr>
                <w:b/>
                <w:bCs/>
                <w:sz w:val="20"/>
                <w:szCs w:val="20"/>
              </w:rPr>
              <w:t xml:space="preserve">Survives unblinding?</w:t>
            </w:r>
          </w:p>
        </w:tc>
      </w:tr>
      <w:tr>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Em-dashes are not a Claude tell here; they live at gpt-5.4-nano (mean 1.62)</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High</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Yes — Opus's prior was wrong</w:t>
            </w:r>
          </w:p>
        </w:tc>
      </w:tr>
      <w:tr>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“Here is…” preamble is not a GPT tell here; lives at claude-sonnet-4-6, conditional on length-constrained poems and stories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High</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Yes — Opus's prior was wrong</w:t>
            </w:r>
          </w:p>
        </w:tc>
      </w:tr>
      <w:tr>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Opening-word entropy: Claude ~1.2–1.5 bits, GPT ~2.9–3.0; cleanest family signal</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High</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Yes</w:t>
            </w:r>
          </w:p>
        </w:tc>
      </w:tr>
      <w:tr>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Title and single-block rates near-deterministic for Sonnet, Haiku, and gpt-5.4 at the extremes (Cramér V = 0.84 and 0.62)</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High</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Yes</w:t>
            </w:r>
          </w:p>
        </w:tc>
      </w:tr>
      <w:tr>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Cap hits concentrated on open prompts; Opus 67% open-prompt cap rate; Sonnet 0%</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High</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Yes</w:t>
            </w:r>
          </w:p>
        </w:tc>
      </w:tr>
      <w:tr>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2-2-2 format-rigidity split (rigid / adaptive / minimal); does not track family or scale</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Medium</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Yes descriptively; framing biased</w:t>
            </w:r>
          </w:p>
        </w:tc>
      </w:tr>
      <w:tr>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Compliance failures are all Claude; concentrate in Haiku story_lt5 at the 4-vs-5 boundary</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Medium</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Yes</w:t>
            </w:r>
          </w:p>
        </w:tc>
      </w:tr>
      <w:tr>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Classifier reaches 49.8% six-way accuracy (chance 16.7%) on held-out prompts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Medium</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Yes; confusion matrix missing</w:t>
            </w:r>
          </w:p>
        </w:tc>
      </w:tr>
      <w:tr>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Formulaicness lowest at Opus (semantic coder, GPT-authored)</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Low</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Suggestive only</w:t>
            </w:r>
          </w:p>
        </w:tc>
      </w:tr>
      <w:tr>
        <w:tc>
          <w:tcPr>
            <w:tcW w:type="dxa" w:w="45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Within-model embedding-distance / lexical-diversity comparisons</w:t>
            </w:r>
          </w:p>
        </w:tc>
        <w:tc>
          <w:tcPr>
            <w:tcW w:type="dxa" w:w="17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Pending</w:t>
            </w:r>
          </w:p>
        </w:tc>
        <w:tc>
          <w:tcPr>
            <w:tcW w:type="dxa" w:w="2800"/>
            <w:tcBorders>
              <w:top w:val="single" w:color="B0B0B0" w:sz="4"/>
              <w:left w:val="single" w:color="B0B0B0" w:sz="4"/>
              <w:bottom w:val="single" w:color="B0B0B0" w:sz="4"/>
              <w:right w:val="single" w:color="B0B0B0" w:sz="4"/>
            </w:tcBorders>
            <w:tcMar>
              <w:top w:type="dxa" w:w="80"/>
              <w:left w:type="dxa" w:w="120"/>
              <w:bottom w:type="dxa" w:w="80"/>
              <w:right w:type="dxa" w:w="120"/>
            </w:tcMar>
          </w:tcPr>
          <w:p>
            <w:pPr>
              <w:spacing w:after="0" w:before="0"/>
            </w:pPr>
            <w:r>
              <w:rPr>
                <w:sz w:val="20"/>
                <w:szCs w:val="20"/>
              </w:rPr>
              <w:t xml:space="preserve">Not yet computed</w:t>
            </w:r>
          </w:p>
        </w:tc>
      </w:tr>
    </w:tbl>
    <w:p>
      <w:pPr>
        <w:pStyle w:val="Heading1"/>
        <w:spacing w:after="160" w:before="320"/>
      </w:pPr>
      <w:r>
        <w:t xml:space="preserve">13. Conclusion</w:t>
      </w:r>
    </w:p>
    <w:p>
      <w:pPr>
        <w:spacing w:after="100" w:before="60" w:line="300"/>
        <w:jc w:val="both"/>
      </w:pPr>
      <w:r>
        <w:t xml:space="preserve">The strongest result of this study is one the analyst did not predict and would not have written before unblinding. Two folk-stereotypes about how the model families differ — em-dashes as Claude, assistant-y preambles as GPT — fail on this dataset, and the failures are sharp enough at n = 90 per model that the reversal cannot be explained as noise. A third finding, opening-word entropy, gives a cleaner family-level signal than any of the formatting features and is the only feature that holds across all three models within each family.</w:t>
      </w:r>
    </w:p>
    <w:p>
      <w:pPr>
        <w:spacing w:after="100" w:before="60" w:line="300"/>
        <w:jc w:val="both"/>
      </w:pPr>
      <w:r>
        <w:t xml:space="preserve">The other findings — title and block formatting differences, the format-rigidity split, the cap-hit concentration in Opus open-prompt completions, the Haiku compliance boundary — are real and large but more familiar. They are also more vulnerable to a single design choice (a system prompt would change everything; a different max_tokens would change open-prompt analysis). The headline findings are robust to those changes; the secondary findings may not be.</w:t>
      </w:r>
    </w:p>
    <w:p>
      <w:pPr>
        <w:spacing w:after="100" w:before="60" w:line="300"/>
        <w:jc w:val="both"/>
      </w:pPr>
      <w:r>
        <w:t xml:space="preserve">The methodological point worth keeping is that the protocol — preregister, blind, commit guesses to the labeled record, unblind once — caught the analyst's two largest errors before the paper was written. That is what the protocol is for. Both wrong guesses (“em-dashes will be Claude” and “preambles will be GPT”) are now in the paper as findings against the analyst's prior, which is the strongest version of these results that could be reported. A version of this study without the blinding gate, written by the same analyst on the same data, would have produced a much less interesting and considerably less correct paper.</w:t>
      </w:r>
    </w:p>
    <w:p>
      <w:pPr>
        <w:pStyle w:val="Heading1"/>
        <w:spacing w:after="160" w:before="320"/>
      </w:pPr>
      <w:r>
        <w:t xml:space="preserve">Appendix A. What changed from v1.1</w:t>
      </w:r>
    </w:p>
    <w:p>
      <w:pPr>
        <w:spacing w:after="100" w:before="60" w:line="300"/>
        <w:jc w:val="both"/>
      </w:pPr>
      <w:r>
        <w:t xml:space="preserve">This rewrite differs from v1.1 in a few specific ways.</w:t>
      </w:r>
    </w:p>
    <w:p>
      <w:pPr>
        <w:pStyle w:val="ListParagraph"/>
        <w:numPr>
          <w:ilvl w:val="0"/>
          <w:numId w:val="2"/>
        </w:numPr>
        <w:spacing w:after="30" w:before="30" w:line="300"/>
      </w:pPr>
      <w:r>
        <w:t xml:space="preserve">The headline is moved to the falsified folk-stereotypes (em-dash at gpt-5.4-nano; preamble at claude-sonnet-4-6 conditional on length-constrained poems and stories) and the opening-word entropy gap. v1.1 mentioned em-dashes and preambles only at the level of statistical tables, without identifying which model carried the signal or noting that the analyst's prior was wrong.</w:t>
      </w:r>
    </w:p>
    <w:p>
      <w:pPr>
        <w:pStyle w:val="ListParagraph"/>
        <w:numPr>
          <w:ilvl w:val="0"/>
          <w:numId w:val="2"/>
        </w:numPr>
        <w:spacing w:after="30" w:before="30" w:line="300"/>
      </w:pPr>
      <w:r>
        <w:t xml:space="preserve">The reflexive framing — “machines also measure differently; both coders are themselves machines” — is moved from the abstract and thesis to a §0 conflict-of-interest disclosure. The disclosure remains; the thesis-level framing is dropped because the data do not actually demonstrate that the structural and semantic coders are biased toward their authors' models, and the v1.1 framing raised an analytical expectation it did not deliver on.</w:t>
      </w:r>
    </w:p>
    <w:p>
      <w:pPr>
        <w:pStyle w:val="ListParagraph"/>
        <w:numPr>
          <w:ilvl w:val="0"/>
          <w:numId w:val="2"/>
        </w:numPr>
        <w:spacing w:after="30" w:before="30" w:line="300"/>
      </w:pPr>
      <w:r>
        <w:t xml:space="preserve">The Frankfurt-adjacent “bullshit” framing is dropped from the title and most of the prose. “Bullshit” in Frankfurt's sense is about indifference to truth value, which is not what creative-writing improvisation under cold prompts is. “Defaults” and “habits” are the more accurate words; they are used throughout.</w:t>
      </w:r>
    </w:p>
    <w:p>
      <w:pPr>
        <w:pStyle w:val="ListParagraph"/>
        <w:numPr>
          <w:ilvl w:val="0"/>
          <w:numId w:val="2"/>
        </w:numPr>
        <w:spacing w:after="30" w:before="30" w:line="300"/>
      </w:pPr>
      <w:r>
        <w:t xml:space="preserve">The format-rigidity split is presented as suggestive rather than as a primary finding, because it is the part of the data most vulnerable to the analyst's bias. The labels “rigid/adaptive/minimal” are kept but flagged.</w:t>
      </w:r>
    </w:p>
    <w:p>
      <w:pPr>
        <w:pStyle w:val="ListParagraph"/>
        <w:numPr>
          <w:ilvl w:val="0"/>
          <w:numId w:val="2"/>
        </w:numPr>
        <w:spacing w:after="30" w:before="30" w:line="300"/>
      </w:pPr>
      <w:r>
        <w:t xml:space="preserve">A confusion matrix is acknowledged as missing from the classifier section. v1.1 reported the 49.8% headline without flagging that per-pair separability is unknown.</w:t>
      </w:r>
    </w:p>
    <w:p>
      <w:pPr>
        <w:pStyle w:val="ListParagraph"/>
        <w:numPr>
          <w:ilvl w:val="0"/>
          <w:numId w:val="2"/>
        </w:numPr>
        <w:spacing w:after="30" w:before="30" w:line="300"/>
      </w:pPr>
      <w:r>
        <w:t xml:space="preserve">The cap-hit numbers are corrected against the source data (the v1 paper had a tabulation error in §4.4; v1.1 fixed it; this paper matches v1.1).</w:t>
      </w:r>
    </w:p>
    <w:p>
      <w:pPr>
        <w:pStyle w:val="ListParagraph"/>
        <w:numPr>
          <w:ilvl w:val="0"/>
          <w:numId w:val="2"/>
        </w:numPr>
        <w:spacing w:after="30" w:before="30" w:line="300"/>
      </w:pPr>
      <w:r>
        <w:t xml:space="preserve">The summary table tracks finding strength against whether the finding survives unblinding, which is the relevant axis for a study with a self-interested analyst.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What Models Do When Nobody's Watching  —  v2  —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2026-05-07T21:23:37.944Z</dcterms:created>
  <dcterms:modified xsi:type="dcterms:W3CDTF">2026-05-07T21:23:37.945Z</dcterms:modified>
</cp:coreProperties>
</file>

<file path=docProps/custom.xml><?xml version="1.0" encoding="utf-8"?>
<Properties xmlns="http://schemas.openxmlformats.org/officeDocument/2006/custom-properties" xmlns:vt="http://schemas.openxmlformats.org/officeDocument/2006/docPropsVTypes"/>
</file>