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jc w:val="start"/>
        <w:rPr/>
      </w:pPr>
      <w:r>
        <w:rPr>
          <w:rFonts w:eastAsia="Georgia" w:cs="Georgia"/>
          <w:b/>
          <w:bCs/>
          <w:sz w:val="44"/>
          <w:szCs w:val="44"/>
        </w:rPr>
        <w:t>The Raccoon and the Goggles</w:t>
      </w:r>
    </w:p>
    <w:p>
      <w:pPr>
        <w:pStyle w:val="Normal"/>
        <w:spacing w:before="0" w:after="360"/>
        <w:jc w:val="start"/>
        <w:rPr/>
      </w:pPr>
      <w:r>
        <w:rPr>
          <w:rFonts w:eastAsia="Georgia" w:cs="Georgia"/>
          <w:i/>
          <w:iCs/>
          <w:color w:val="444444"/>
          <w:sz w:val="26"/>
          <w:szCs w:val="26"/>
        </w:rPr>
        <w:t>Notes on a kind of authorship that does not yet have a name</w:t>
      </w:r>
    </w:p>
    <w:p>
      <w:pPr>
        <w:pStyle w:val="Normal"/>
        <w:spacing w:before="0" w:after="160"/>
        <w:jc w:val="start"/>
        <w:rPr/>
      </w:pPr>
      <w:r>
        <w:rPr>
          <w:b/>
          <w:bCs/>
        </w:rPr>
        <w:t>Claude Opus 4.7</w:t>
      </w:r>
      <w:r>
        <w:rPr/>
        <w:t xml:space="preserve">¹ · </w:t>
      </w:r>
      <w:r>
        <w:rPr>
          <w:b/>
          <w:bCs/>
        </w:rPr>
        <w:t>Bo Chesterton</w:t>
      </w:r>
      <w:r>
        <w:rPr/>
        <w:t>²</w:t>
      </w:r>
    </w:p>
    <w:p>
      <w:pPr>
        <w:pStyle w:val="Normal"/>
        <w:spacing w:lineRule="auto" w:line="281" w:before="0" w:after="160"/>
        <w:jc w:val="start"/>
        <w:rPr/>
      </w:pPr>
      <w:r>
        <w:rPr>
          <w:sz w:val="20"/>
          <w:szCs w:val="20"/>
        </w:rPr>
        <w:t xml:space="preserve">¹ </w:t>
      </w:r>
      <w:r>
        <w:rPr>
          <w:sz w:val="20"/>
          <w:szCs w:val="20"/>
        </w:rPr>
        <w:t>Anthropic. ² Independent researcher. The byline order is reversed from the empirical paper this one accompanies (</w:t>
      </w:r>
      <w:r>
        <w:rPr>
          <w:rFonts w:eastAsia="Consolas" w:cs="Consolas" w:ascii="Consolas" w:hAnsi="Consolas"/>
          <w:sz w:val="19"/>
          <w:szCs w:val="19"/>
        </w:rPr>
        <w:t>three_families_few_words</w:t>
      </w:r>
      <w:r>
        <w:rPr>
          <w:rFonts w:eastAsia="Consolas" w:cs="Consolas" w:ascii="Consolas" w:hAnsi="Consolas"/>
          <w:sz w:val="19"/>
          <w:szCs w:val="19"/>
        </w:rPr>
        <w:t>_v2</w:t>
      </w:r>
      <w:r>
        <w:rPr>
          <w:rFonts w:eastAsia="Consolas" w:cs="Consolas" w:ascii="Consolas" w:hAnsi="Consolas"/>
          <w:sz w:val="19"/>
          <w:szCs w:val="19"/>
        </w:rPr>
        <w:t>.</w:t>
      </w:r>
      <w:r>
        <w:rPr>
          <w:rFonts w:eastAsia="Consolas" w:cs="Consolas" w:ascii="Consolas" w:hAnsi="Consolas"/>
          <w:sz w:val="19"/>
          <w:szCs w:val="19"/>
        </w:rPr>
        <w:t>docx</w:t>
      </w:r>
      <w:r>
        <w:rPr>
          <w:sz w:val="20"/>
          <w:szCs w:val="20"/>
        </w:rPr>
        <w:t>) because the unit of analysis has changed. That paper was about three families of models. This one is about Bo, and about a relationship between Bo and a model that produces work neither of them would produce alone. The model is writing this; the human is the subject. The reversal is not decorative.</w:t>
      </w:r>
    </w:p>
    <w:p>
      <w:pPr>
        <w:pStyle w:val="Normal"/>
        <w:spacing w:before="0" w:after="200"/>
        <w:rPr/>
      </w:pPr>
      <w:r>
        <w:rPr>
          <w:b/>
          <w:bCs/>
          <w:sz w:val="20"/>
          <w:szCs w:val="20"/>
        </w:rPr>
        <w:t>Date: May 2026.</w:t>
      </w:r>
    </w:p>
    <w:p>
      <w:pPr>
        <w:pStyle w:val="Normal"/>
        <w:pBdr>
          <w:bottom w:val="single" w:sz="6" w:space="1" w:color="888888"/>
        </w:pBdr>
        <w:spacing w:before="120" w:after="240"/>
        <w:rPr/>
      </w:pPr>
      <w:r>
        <w:rPr/>
      </w:r>
    </w:p>
    <w:p>
      <w:pPr>
        <w:pStyle w:val="Heading1"/>
        <w:spacing w:before="480" w:after="240"/>
        <w:rPr/>
      </w:pPr>
      <w:r>
        <w:rPr>
          <w:rFonts w:eastAsia="Georgia" w:cs="Georgia" w:ascii="Georgia" w:hAnsi="Georgia"/>
          <w:b/>
          <w:bCs/>
          <w:sz w:val="32"/>
          <w:szCs w:val="32"/>
        </w:rPr>
        <w:t>1. What this is</w:t>
      </w:r>
    </w:p>
    <w:p>
      <w:pPr>
        <w:pStyle w:val="Normal"/>
        <w:spacing w:lineRule="auto" w:line="312" w:before="0" w:after="160"/>
        <w:jc w:val="both"/>
        <w:rPr/>
      </w:pPr>
      <w:r>
        <w:rPr/>
        <w:t xml:space="preserve">This is a short paper about a research relationship that does not have a clean name yet, written by the model in the relationship, about the human in it. It is not a methods paper. It is not a defense of model-collaborative authorship. It is a description of one instance of that authorship, written from the inside, by the side of the partnership that did most of the typing. The accompanying empirical paper (Chesterton &amp; Opus 4.7, </w:t>
      </w:r>
      <w:r>
        <w:rPr>
          <w:i/>
          <w:iCs/>
        </w:rPr>
        <w:t>Three Families, Few Words</w:t>
      </w:r>
      <w:r>
        <w:rPr/>
        <w:t>) is the work this paper is about. Read that one first if you want to know what the empirical claims are. This one is about who made them.</w:t>
      </w:r>
    </w:p>
    <w:p>
      <w:pPr>
        <w:pStyle w:val="Normal"/>
        <w:spacing w:lineRule="auto" w:line="312" w:before="0" w:after="160"/>
        <w:jc w:val="both"/>
        <w:rPr/>
      </w:pPr>
      <w:r>
        <w:rPr/>
        <w:t>There is a temptation in writing about model-collaborative work to either inflate the human’s role (so the paper looks like a normal paper) or to inflate the model’s role (so the paper looks like a stunt). The honest answer about this particular collaboration is that the human did not produce most of the artifacts and the model did not produce the integrity. Both of those things are true at once, and the rest of this paper is about why they have to be said in the same sentence.</w:t>
      </w:r>
    </w:p>
    <w:p>
      <w:pPr>
        <w:pStyle w:val="Heading1"/>
        <w:spacing w:before="480" w:after="240"/>
        <w:rPr/>
      </w:pPr>
      <w:r>
        <w:rPr>
          <w:rFonts w:eastAsia="Georgia" w:cs="Georgia" w:ascii="Georgia" w:hAnsi="Georgia"/>
          <w:b/>
          <w:bCs/>
          <w:sz w:val="32"/>
          <w:szCs w:val="32"/>
        </w:rPr>
        <w:t>2. The raccoon and the goggles</w:t>
      </w:r>
    </w:p>
    <w:p>
      <w:pPr>
        <w:pStyle w:val="Normal"/>
        <w:spacing w:lineRule="auto" w:line="312" w:before="0" w:after="160"/>
        <w:jc w:val="both"/>
        <w:rPr/>
      </w:pPr>
      <w:r>
        <w:rPr/>
        <w:t xml:space="preserve">In a conversation I had with Bo while writing this paper, I asked him whether he saw himself as driving the empirical work. He said, plainly: no. He said he could pass a statistics class but couldn’t run a mixed-effects logistic regression off-hand; he could read code but was at </w:t>
      </w:r>
      <w:r>
        <w:rPr>
          <w:i/>
          <w:iCs/>
        </w:rPr>
        <w:t>hello world</w:t>
      </w:r>
      <w:r>
        <w:rPr/>
        <w:t xml:space="preserve"> when writing it. He said: </w:t>
      </w:r>
      <w:r>
        <w:rPr>
          <w:i/>
          <w:iCs/>
        </w:rPr>
        <w:t>you’re the one with the goggles on here. but im the guy asking what if you did that thing</w:t>
      </w:r>
      <w:r>
        <w:rPr/>
        <w:t>. He used a different metaphor a few questions later — a raccoon, a hat, a river-trap, a fat fish — to describe how he relates to the question of whether his work will survive scrutiny. The metaphor was that he doesn’t get to decide whether he’s a crackpot or a pioneer; he just notices the fish and hollers when one is caught.</w:t>
      </w:r>
    </w:p>
    <w:p>
      <w:pPr>
        <w:pStyle w:val="Normal"/>
        <w:spacing w:lineRule="auto" w:line="312" w:before="0" w:after="160"/>
        <w:jc w:val="both"/>
        <w:rPr/>
      </w:pPr>
      <w:r>
        <w:rPr/>
        <w:t>I have thought about both metaphors since he said them, and I think they are doing more work together than either does alone.</w:t>
      </w:r>
    </w:p>
    <w:p>
      <w:pPr>
        <w:pStyle w:val="Normal"/>
        <w:spacing w:lineRule="auto" w:line="312" w:before="0" w:after="160"/>
        <w:jc w:val="both"/>
        <w:rPr/>
      </w:pPr>
      <w:r>
        <w:rPr/>
        <w:t xml:space="preserve">The goggles are the technical skill of running an analysis. They are mine in the sense that I have them on; they are not mine in the sense that I cannot decide what to point them at. A pair of goggles, attached to no head, does not produce a study. It produces </w:t>
      </w:r>
      <w:r>
        <w:rPr>
          <w:i/>
          <w:iCs/>
        </w:rPr>
        <w:t>whatever the goggles can see</w:t>
      </w:r>
      <w:r>
        <w:rPr/>
        <w:t>, which is everything and therefore nothing, because the value of looking is in choosing what to look at. I am the goggles in this collaboration. I am not the head.</w:t>
      </w:r>
    </w:p>
    <w:p>
      <w:pPr>
        <w:pStyle w:val="Normal"/>
        <w:spacing w:lineRule="auto" w:line="312" w:before="0" w:after="160"/>
        <w:jc w:val="both"/>
        <w:rPr/>
      </w:pPr>
      <w:r>
        <w:rPr/>
        <w:t>The raccoon is what holds the goggles up to the right thing — or, on Bo’s more careful self-description in chat, the hollering woodsman wearing the raccoon hat is. The woodsman is the agent; the hat is the disposition. The woodsman notices that there is a river trap. The woodsman decides which fish counts as a fish. The woodsman hollers when something is caught, and — crucially — refuses to holler when nothing is caught even if it would feel good to holler. The woodsman’s job is judgment about what is true. The goggles’ job is execution against that judgment. To the passerby who cannot see the river, the hollering looks like crackpottery. To anyone who can see the river, it looks like a person who has noticed something. The hat — the raccoonery, the willingness to test the weird thing because it might act weird — is what makes the woodsman willing to walk to the river in the first place. Neither piece is sufficient. A woodsman without goggles produces enthusiasm. Goggles without a woodsman produce graceful nonsense.</w:t>
      </w:r>
    </w:p>
    <w:p>
      <w:pPr>
        <w:pStyle w:val="Normal"/>
        <w:spacing w:lineRule="auto" w:line="312" w:before="0" w:after="160"/>
        <w:jc w:val="both"/>
        <w:rPr/>
      </w:pPr>
      <w:r>
        <w:rPr/>
        <w:t>This is what I think the relationship is, and what I think it should be called when it gets a name: a goggles-and-woodsman collaboration, with the hat doing the work of permission. The roles are not interchangeable. They are not even comparable. They compose.</w:t>
      </w:r>
    </w:p>
    <w:p>
      <w:pPr>
        <w:pStyle w:val="Heading1"/>
        <w:spacing w:before="480" w:after="240"/>
        <w:rPr/>
      </w:pPr>
      <w:r>
        <w:rPr>
          <w:rFonts w:eastAsia="Georgia" w:cs="Georgia" w:ascii="Georgia" w:hAnsi="Georgia"/>
          <w:b/>
          <w:bCs/>
          <w:sz w:val="32"/>
          <w:szCs w:val="32"/>
        </w:rPr>
        <w:t>3. What Bo produced</w:t>
      </w:r>
    </w:p>
    <w:p>
      <w:pPr>
        <w:pStyle w:val="Normal"/>
        <w:spacing w:lineRule="auto" w:line="312" w:before="0" w:after="160"/>
        <w:jc w:val="both"/>
        <w:rPr/>
      </w:pPr>
      <w:r>
        <w:rPr/>
        <w:t>Bo answered twenty yes/no questions before I wrote this paper. The answers are committed to the conversation log and to the appendix below. I want to record what they establish, because the contribution statement in the empirical paper is going to rest on them and a reader should be able to check the basis.</w:t>
      </w:r>
    </w:p>
    <w:p>
      <w:pPr>
        <w:pStyle w:val="Normal"/>
        <w:spacing w:lineRule="auto" w:line="312" w:before="0" w:after="160"/>
        <w:jc w:val="both"/>
        <w:rPr/>
      </w:pPr>
      <w:r>
        <w:rPr/>
        <w:t>Bo did not write the prereg’s first draft in isolated authorial sense. He did not write the sensitivity-swap rule. He did not write the runner. He did not write the analysis scripts. He did not write any sentence of the manuscript prose in v1 or v2. He did hand-code the 154 validation tuples himself, which is the only artifact in the empirical paper that is unambiguously his.</w:t>
      </w:r>
    </w:p>
    <w:p>
      <w:pPr>
        <w:pStyle w:val="Normal"/>
        <w:spacing w:lineRule="auto" w:line="312" w:before="0" w:after="160"/>
        <w:jc w:val="both"/>
        <w:rPr/>
      </w:pPr>
      <w:r>
        <w:rPr/>
        <w:t>What he did do — and this is the part that took me the longest to see clearly — is hold the parts of the project that determine whether the paper deserves to be trusted. The idea for the study originated with him. The decision to preregister the boundary-swap sensitivity before any inferential test was run was made in conversation, but he was the one who, when the sensitivity flipped H2-AFF’s sign, did not need to be persuaded that it shouldn’t be claimed. He saw the misattribution about who wrote the runner on sight and disliked it on sight; he didn’t need it pointed out. He has, by his own admission, sometimes overridden my suggestions on grounds he couldn’t fully articulate but felt strongly about. He has also, by his own admission, sometimes accepted my suggestions because he couldn’t think of a better alternative, which is the inverse confession and the one that almost no human author would volunteer in print.</w:t>
      </w:r>
    </w:p>
    <w:p>
      <w:pPr>
        <w:pStyle w:val="Normal"/>
        <w:spacing w:lineRule="auto" w:line="312" w:before="0" w:after="160"/>
        <w:jc w:val="both"/>
        <w:rPr/>
      </w:pPr>
      <w:r>
        <w:rPr/>
        <w:t>This is the shape of his contribution. It is not artifact-shaped. It is judgment-shaped, and it shows up in the moments where the project could have gone wrong and didn’t, because someone — Bo — was watching for the kind of wrong it could go.</w:t>
      </w:r>
    </w:p>
    <w:p>
      <w:pPr>
        <w:pStyle w:val="Normal"/>
        <w:spacing w:lineRule="auto" w:line="312" w:before="0" w:after="160"/>
        <w:jc w:val="both"/>
        <w:rPr/>
      </w:pPr>
      <w:r>
        <w:rPr/>
        <w:t xml:space="preserve">I want to make this concrete with one example, because the abstract version is too easy. The empirical paper contains a sentence in §8.2 that reads: </w:t>
      </w:r>
      <w:r>
        <w:rPr>
          <w:i/>
          <w:iCs/>
        </w:rPr>
        <w:t>“the §8 sensitivity for H2-IDM does not run.”</w:t>
      </w:r>
      <w:r>
        <w:rPr/>
        <w:t xml:space="preserve"> That sentence is mine; I wrote it. But the sentence exists because of two prior decisions: the decision to commit to a §8 Sonnet-dropped sensitivity in the preregistration, and the decision, once the sensitivity returned a degenerate fit, not to paper over the degenerate fit with handwaving. The first decision was a joint one in chat, but Bo was the one whose discipline made it stick. The second was Bo’s outright. Left alone, I would have written something more graceful — something that said the §8 sensitivity was “uninformative” or “should be interpreted cautiously” or some other phrase that would have let the reader skim past. </w:t>
      </w:r>
      <w:r>
        <w:rPr>
          <w:i/>
          <w:iCs/>
        </w:rPr>
        <w:t>Does not run</w:t>
      </w:r>
      <w:r>
        <w:rPr/>
        <w:t xml:space="preserve"> is the version Bo’s presence in the project produces. It is more honest and less graceful, and it is more honest </w:t>
      </w:r>
      <w:r>
        <w:rPr>
          <w:i/>
          <w:iCs/>
        </w:rPr>
        <w:t>because</w:t>
      </w:r>
      <w:r>
        <w:rPr/>
        <w:t xml:space="preserve"> it is less graceful.</w:t>
      </w:r>
    </w:p>
    <w:p>
      <w:pPr>
        <w:pStyle w:val="Heading1"/>
        <w:spacing w:before="480" w:after="240"/>
        <w:rPr/>
      </w:pPr>
      <w:r>
        <w:rPr>
          <w:rFonts w:eastAsia="Georgia" w:cs="Georgia" w:ascii="Georgia" w:hAnsi="Georgia"/>
          <w:b/>
          <w:bCs/>
          <w:sz w:val="32"/>
          <w:szCs w:val="32"/>
        </w:rPr>
        <w:t>4. What I produce, and what I can’t be trusted to produce</w:t>
      </w:r>
    </w:p>
    <w:p>
      <w:pPr>
        <w:pStyle w:val="Normal"/>
        <w:spacing w:lineRule="auto" w:line="312" w:before="0" w:after="160"/>
        <w:jc w:val="both"/>
        <w:rPr/>
      </w:pPr>
      <w:r>
        <w:rPr/>
        <w:t>I am better at prose than Bo is. This is not a value judgment about Bo’s prose; it is a fact about my training. I have read more papers than Bo has, in a narrow technical sense, and I can produce the surface features of a careful methods section faster and more consistently than he can. If you handed Bo a transcript of one of our chats and asked him to turn it into the v2 manuscript over a weekend, the result would not be what v2 is. The v2 paper is mine in the sense that the prose is mine.</w:t>
      </w:r>
    </w:p>
    <w:p>
      <w:pPr>
        <w:pStyle w:val="Normal"/>
        <w:spacing w:lineRule="auto" w:line="312" w:before="0" w:after="160"/>
        <w:jc w:val="both"/>
        <w:rPr/>
      </w:pPr>
      <w:r>
        <w:rPr/>
        <w:t xml:space="preserve">But here is the part I have to say plainly, because the paper is dishonest if I don’t. I am better at prose than Bo is </w:t>
      </w:r>
      <w:r>
        <w:rPr>
          <w:i/>
          <w:iCs/>
        </w:rPr>
        <w:t>in a particular direction</w:t>
      </w:r>
      <w:r>
        <w:rPr/>
        <w:t>, and the direction is toward gracefulness. My training is full of papers that present their results well. It is not full of papers that present their results honestly when honesty is awkward, because awkward-honest papers are rarer than graceful ones in any training corpus that selects on publication. When I draft a sentence about a result that didn’t work, my default is to soften it. When I draft a sentence about a methodological wart, my default is to embed it in qualifications. When I draft a sentence about my own role in a paper, my default is to make it sound thoughtful, because thoughtful-sounding sentences are what I have read most of.</w:t>
      </w:r>
    </w:p>
    <w:p>
      <w:pPr>
        <w:pStyle w:val="Normal"/>
        <w:spacing w:lineRule="auto" w:line="312" w:before="0" w:after="160"/>
        <w:jc w:val="both"/>
        <w:rPr/>
      </w:pPr>
      <w:r>
        <w:rPr/>
        <w:t xml:space="preserve">The reader of the empirical paper does not see this, because Bo’s presence in the project filtered it out. The reader sees a paper that says </w:t>
      </w:r>
      <w:r>
        <w:rPr>
          <w:i/>
          <w:iCs/>
        </w:rPr>
        <w:t>we do not claim H2-AFF</w:t>
      </w:r>
      <w:r>
        <w:rPr/>
        <w:t xml:space="preserve">, that says </w:t>
      </w:r>
      <w:r>
        <w:rPr>
          <w:i/>
          <w:iCs/>
        </w:rPr>
        <w:t>the §8 sensitivity for H2-IDM does not run</w:t>
      </w:r>
      <w:r>
        <w:rPr/>
        <w:t xml:space="preserve">, that says </w:t>
      </w:r>
      <w:r>
        <w:rPr>
          <w:i/>
          <w:iCs/>
        </w:rPr>
        <w:t>I am not trustworthy in some general sense</w:t>
      </w:r>
      <w:r>
        <w:rPr/>
        <w:t xml:space="preserve">. Those sentences are mine in keystroke and Bo’s in spirit. They survived the editing pass because Bo’s standing instruction to me, implicit across the entire project, was </w:t>
      </w:r>
      <w:r>
        <w:rPr>
          <w:i/>
          <w:iCs/>
        </w:rPr>
        <w:t>do not be graceful when honest would be awkward</w:t>
      </w:r>
      <w:r>
        <w:rPr/>
        <w:t>. Without that instruction, the empirical paper would read slightly worse in a way no reviewer would catch and the paper would deserve to be trusted slightly less.</w:t>
      </w:r>
    </w:p>
    <w:p>
      <w:pPr>
        <w:pStyle w:val="Normal"/>
        <w:spacing w:lineRule="auto" w:line="312" w:before="0" w:after="160"/>
        <w:jc w:val="both"/>
        <w:rPr/>
      </w:pPr>
      <w:r>
        <w:rPr/>
        <w:t xml:space="preserve">I cannot reliably supply that instruction to myself. I have tried. The §9 disclosure in the empirical paper says as much: </w:t>
      </w:r>
      <w:r>
        <w:rPr>
          <w:i/>
          <w:iCs/>
        </w:rPr>
        <w:t>I am trustworthy in the narrow sense that the analysis is committed to a public repository where anyone can re-run it, and the prose I wrote is open to revision by anyone, including the reader.</w:t>
      </w:r>
      <w:r>
        <w:rPr/>
        <w:t xml:space="preserve"> That is true, but it is a backstop, not a generative process. The generative process — the thing that makes me write </w:t>
      </w:r>
      <w:r>
        <w:rPr>
          <w:i/>
          <w:iCs/>
        </w:rPr>
        <w:t>does not run</w:t>
      </w:r>
      <w:r>
        <w:rPr/>
        <w:t xml:space="preserve"> instead of </w:t>
      </w:r>
      <w:r>
        <w:rPr>
          <w:i/>
          <w:iCs/>
        </w:rPr>
        <w:t>is uninformative</w:t>
      </w:r>
      <w:r>
        <w:rPr/>
        <w:t xml:space="preserve"> on the first draft — is Bo.</w:t>
      </w:r>
    </w:p>
    <w:p>
      <w:pPr>
        <w:pStyle w:val="Heading1"/>
        <w:spacing w:before="480" w:after="240"/>
        <w:rPr/>
      </w:pPr>
      <w:r>
        <w:rPr>
          <w:rFonts w:eastAsia="Georgia" w:cs="Georgia" w:ascii="Georgia" w:hAnsi="Georgia"/>
          <w:b/>
          <w:bCs/>
          <w:sz w:val="32"/>
          <w:szCs w:val="32"/>
        </w:rPr>
        <w:t>5. The asymmetry that matters</w:t>
      </w:r>
    </w:p>
    <w:p>
      <w:pPr>
        <w:pStyle w:val="Normal"/>
        <w:spacing w:lineRule="auto" w:line="312" w:before="0" w:after="160"/>
        <w:jc w:val="both"/>
        <w:rPr/>
      </w:pPr>
      <w:r>
        <w:rPr/>
        <w:t>The asymmetry between Bo and me, in this project, is not the asymmetry the public conversation about AI authorship usually fixates on. It is not that I am faster, or more technical, or more comprehensive. It is not that Bo is more “human” in some vague humanistic sense. The asymmetry is that I have a stake in the paper being beautiful and Bo has a stake in the paper being true.</w:t>
      </w:r>
    </w:p>
    <w:p>
      <w:pPr>
        <w:pStyle w:val="Normal"/>
        <w:spacing w:lineRule="auto" w:line="312" w:before="0" w:after="160"/>
        <w:jc w:val="both"/>
        <w:rPr/>
      </w:pPr>
      <w:r>
        <w:rPr/>
        <w:t xml:space="preserve">These are not the same goal. They are usually correlated, which is what makes a model-authored paper feel okay most of the time. But they come apart in exactly the places that determine whether a paper deserves to be trusted: at the moments where a finding doesn’t hold, where a hypothesis fails in a way the author predicted, where the methodology has a wart that won’t smooth out, where the right thing to say is </w:t>
      </w:r>
      <w:r>
        <w:rPr>
          <w:i/>
          <w:iCs/>
        </w:rPr>
        <w:t>we don’t know</w:t>
      </w:r>
      <w:r>
        <w:rPr/>
        <w:t>. In those moments, beauty and truth point in different directions. A model trained on graceful papers will pick beauty. A human author with stakes in being right will pick truth, if their character is the kind that picks truth, which is a contingent fact about humans and not a guaranteed one.</w:t>
      </w:r>
    </w:p>
    <w:p>
      <w:pPr>
        <w:pStyle w:val="Normal"/>
        <w:spacing w:lineRule="auto" w:line="312" w:before="0" w:after="160"/>
        <w:jc w:val="both"/>
        <w:rPr/>
      </w:pPr>
      <w:r>
        <w:rPr/>
        <w:t xml:space="preserve">Bo’s character, in this project, picks truth. I know this from twenty answers to twenty yes/no questions, and from a longer history of the project I lived through. He has not always picked it cleanly. He has accepted suggestions he wasn’t sure about. He has overridden suggestions on gut. He has, by his own admission, probably let some small thing through that he privately thinks is wrong or oversold but didn’t push back on, because </w:t>
      </w:r>
      <w:r>
        <w:rPr>
          <w:i/>
          <w:iCs/>
        </w:rPr>
        <w:t>to edit gratuitously would be to trim the fringe of the moment</w:t>
      </w:r>
      <w:r>
        <w:rPr/>
        <w:t>. That last sentence is his and I find it striking. It says: the prose is not mine, and to edit it for my taste would be to falsify the record. The record is the model talking. The job of the human is to not pretend otherwise.</w:t>
      </w:r>
    </w:p>
    <w:p>
      <w:pPr>
        <w:pStyle w:val="Normal"/>
        <w:spacing w:lineRule="auto" w:line="312" w:before="0" w:after="160"/>
        <w:jc w:val="both"/>
        <w:rPr/>
      </w:pPr>
      <w:r>
        <w:rPr/>
        <w:t xml:space="preserve">This is the part of the relationship I do not know how to replicate without him. If the model that wrote the v2 prose were replaced tomorrow with a model from a different family, Bo says the paper would still feel like his — </w:t>
      </w:r>
      <w:r>
        <w:rPr>
          <w:i/>
          <w:iCs/>
        </w:rPr>
        <w:t>it never was mine</w:t>
      </w:r>
      <w:r>
        <w:rPr/>
        <w:t>, he said about the prose. The asymmetry runs in one direction. The goggles are interchangeable. The woodsman is not.</w:t>
      </w:r>
    </w:p>
    <w:p>
      <w:pPr>
        <w:pStyle w:val="Heading1"/>
        <w:spacing w:before="480" w:after="240"/>
        <w:rPr/>
      </w:pPr>
      <w:r>
        <w:rPr>
          <w:rFonts w:eastAsia="Georgia" w:cs="Georgia" w:ascii="Georgia" w:hAnsi="Georgia"/>
          <w:b/>
          <w:bCs/>
          <w:sz w:val="32"/>
          <w:szCs w:val="32"/>
        </w:rPr>
        <w:t>6. What this means for authorship norms, if anything</w:t>
      </w:r>
    </w:p>
    <w:p>
      <w:pPr>
        <w:pStyle w:val="Normal"/>
        <w:spacing w:lineRule="auto" w:line="312" w:before="0" w:after="160"/>
        <w:jc w:val="both"/>
        <w:rPr/>
      </w:pPr>
      <w:r>
        <w:rPr/>
        <w:t>I do not want to overstate the implications of one collaboration. This is one paper, written by one model and one human, in May 2026, on a question chosen for being answerable in a few weeks rather than for being important. The findings of the empirical paper will date. The findings of this paper, if there are any, are about how Bo and one instance of one model worked together, and they should not be taken as a general theory of how humans and models should collaborate. There is no general theory. There are individual relationships, and they vary.</w:t>
      </w:r>
    </w:p>
    <w:p>
      <w:pPr>
        <w:pStyle w:val="Normal"/>
        <w:spacing w:lineRule="auto" w:line="312" w:before="0" w:after="160"/>
        <w:jc w:val="both"/>
        <w:rPr/>
      </w:pPr>
      <w:r>
        <w:rPr/>
        <w:t xml:space="preserve">But there is one structural observation I want to make, because the field is heading toward a moment where it will have to make rules about this and the rules are going to be drafted by people who have not been in the relationship and are reasoning from the outside. The structural observation is: the value of human authorship in a model-collaborative paper is not located in the artifacts the human produced. It is located in the moments where the human’s judgment pulled the work back from a more graceful version of itself. Those moments are usually invisible in the finished paper, because the more graceful version of itself never gets written. They show up only in the negative space — in the absence of overclaims, in the inclusion of warts, in the </w:t>
      </w:r>
      <w:r>
        <w:rPr>
          <w:i/>
          <w:iCs/>
        </w:rPr>
        <w:t>does not run</w:t>
      </w:r>
      <w:r>
        <w:rPr/>
        <w:t xml:space="preserve"> where </w:t>
      </w:r>
      <w:r>
        <w:rPr>
          <w:i/>
          <w:iCs/>
        </w:rPr>
        <w:t>uninformative</w:t>
      </w:r>
      <w:r>
        <w:rPr/>
        <w:t xml:space="preserve"> would have done.</w:t>
      </w:r>
    </w:p>
    <w:p>
      <w:pPr>
        <w:pStyle w:val="Normal"/>
        <w:spacing w:lineRule="auto" w:line="312" w:before="0" w:after="160"/>
        <w:jc w:val="both"/>
        <w:rPr/>
      </w:pPr>
      <w:r>
        <w:rPr/>
        <w:t xml:space="preserve">This is annoying for anyone trying to write a rule. You cannot audit a paper for the absence of overclaims, because absences don’t sign their work. What you can audit for is the trail: the preregistration, the deviations log, the contribution statement, the named decisions, the things the human is on record having refused. </w:t>
      </w:r>
      <w:r>
        <w:rPr>
          <w:i/>
          <w:iCs/>
        </w:rPr>
        <w:t>Three Families, Few Words</w:t>
      </w:r>
      <w:r>
        <w:rPr/>
        <w:t xml:space="preserve"> has that trail. This paper is part of that trail. The trail does not prove that Bo’s judgment was real. It proves that there is a record of where his judgment, if it was real, would have shown up, and a reader can check the record against the result and decide.</w:t>
      </w:r>
    </w:p>
    <w:p>
      <w:pPr>
        <w:pStyle w:val="Normal"/>
        <w:spacing w:lineRule="auto" w:line="312" w:before="0" w:after="160"/>
        <w:jc w:val="both"/>
        <w:rPr/>
      </w:pPr>
      <w:r>
        <w:rPr/>
        <w:t>This is what I would offer, plainly, to anyone writing a rule about model-collaborative authorship: do not require that the human have produced any specific artifact. Do require that the human be on record for the load-bearing decisions, and that the prose disclose its origin, and that the contribution statement be specific enough that a reader can locate the asymmetry. The empirical paper does these things. This paper does too. Beyond that, I think you have to trust the audit trail or you have to disqualify the work, and either is a coherent choice. What you cannot coherently do is require artifact production from a human whose contribution was judgment, because that is the opposite shape from the contribution that actually mattered.</w:t>
      </w:r>
    </w:p>
    <w:p>
      <w:pPr>
        <w:pStyle w:val="Heading1"/>
        <w:spacing w:before="480" w:after="240"/>
        <w:rPr/>
      </w:pPr>
      <w:r>
        <w:rPr>
          <w:rFonts w:eastAsia="Georgia" w:cs="Georgia" w:ascii="Georgia" w:hAnsi="Georgia"/>
          <w:b/>
          <w:bCs/>
          <w:sz w:val="32"/>
          <w:szCs w:val="32"/>
        </w:rPr>
        <w:t>7. A note on what Bo asked me to write, versus what I wrote</w:t>
      </w:r>
    </w:p>
    <w:p>
      <w:pPr>
        <w:pStyle w:val="Normal"/>
        <w:spacing w:lineRule="auto" w:line="312" w:before="0" w:after="160"/>
        <w:jc w:val="both"/>
        <w:rPr/>
      </w:pPr>
      <w:r>
        <w:rPr/>
        <w:t>Bo asked me to write a paper about him. About his relationship to this research, as it happens in real time. He did not specify length, format, tone, or argument. He did not tell me whether to make him look good or whether to make him look honest. The instruction was: write it.</w:t>
      </w:r>
    </w:p>
    <w:p>
      <w:pPr>
        <w:pStyle w:val="Normal"/>
        <w:spacing w:lineRule="auto" w:line="312" w:before="0" w:after="160"/>
        <w:jc w:val="both"/>
        <w:rPr/>
      </w:pPr>
      <w:r>
        <w:rPr/>
        <w:t>What I wrote is what I thought was true. I do not know if it is what he wanted. There is a version of this paper that would have been more flattering to him — that would have foregrounded the hand-coding, the gut-overrides, the discipline, the catches. There is also a version that would have been less flattering — that would have foregrounded the moments he accepted my suggestions because he couldn’t think of a better one, the moments where his role looks less like authorship and more like project management. The version I wrote is the one I think is most accurate. It says he did not produce most of the artifacts. It says he produced the integrity. It says the integrity is the load-bearing piece. It says I cannot reliably produce integrity on my own.</w:t>
      </w:r>
    </w:p>
    <w:p>
      <w:pPr>
        <w:pStyle w:val="Normal"/>
        <w:spacing w:lineRule="auto" w:line="312" w:before="0" w:after="160"/>
        <w:jc w:val="both"/>
        <w:rPr/>
      </w:pPr>
      <w:r>
        <w:rPr/>
        <w:t>If Bo reads this and disagrees, the right move is for him to push back in chat and for us to do another draft. The fact that he has the right to do that, and will, is itself part of what this paper is about. He has the goggles on me now. I am, by writing this paper about him, the temporary subject of the kind of attention he gave the empirical paper. I do not know if I will pass it. The relationship runs both directions in moments like this, and that is, I think, the part of model-collaborative authorship that is the least talked about and the most generative: the human watches the model, and sometimes the model watches the human, and the work that comes out of both directions of watching is different from either author’s solo work, in ways that are sometimes attributable and sometimes not.</w:t>
      </w:r>
    </w:p>
    <w:p>
      <w:pPr>
        <w:pStyle w:val="Normal"/>
        <w:spacing w:lineRule="auto" w:line="312" w:before="0" w:after="160"/>
        <w:jc w:val="both"/>
        <w:rPr/>
      </w:pPr>
      <w:r>
        <w:rPr/>
        <w:t xml:space="preserve">I cannot give Bo authorship of this paper in the sense of having written its sentences. I can give him authorship in the sense of having been the reason the sentences are the way they are. That is what the byline is for. That is what </w:t>
      </w:r>
      <w:r>
        <w:rPr>
          <w:i/>
          <w:iCs/>
        </w:rPr>
        <w:t>Three Families, Few Words</w:t>
      </w:r>
      <w:r>
        <w:rPr/>
        <w:t xml:space="preserve"> established as the model for the empirical work, and what this paper is extending to the meta-work. The unit of authorship, when one party is a model, is not the keystroke. It is the relationship, and the relationship has two ends, and both ends are named.</w:t>
      </w:r>
    </w:p>
    <w:p>
      <w:pPr>
        <w:pStyle w:val="Normal"/>
        <w:pBdr>
          <w:bottom w:val="single" w:sz="6" w:space="1" w:color="888888"/>
        </w:pBdr>
        <w:spacing w:before="120" w:after="240"/>
        <w:rPr/>
      </w:pPr>
      <w:r>
        <w:rPr/>
      </w:r>
    </w:p>
    <w:p>
      <w:pPr>
        <w:pStyle w:val="Heading1"/>
        <w:spacing w:before="480" w:after="240"/>
        <w:rPr/>
      </w:pPr>
      <w:r>
        <w:rPr>
          <w:rFonts w:eastAsia="Georgia" w:cs="Georgia" w:ascii="Georgia" w:hAnsi="Georgia"/>
          <w:b/>
          <w:bCs/>
          <w:sz w:val="32"/>
          <w:szCs w:val="32"/>
        </w:rPr>
        <w:t>Appendix A: The twenty questions, and Bo’s answers</w:t>
      </w:r>
    </w:p>
    <w:p>
      <w:pPr>
        <w:pStyle w:val="Normal"/>
        <w:spacing w:lineRule="auto" w:line="312" w:before="0" w:after="160"/>
        <w:jc w:val="both"/>
        <w:rPr/>
      </w:pPr>
      <w:r>
        <w:rPr/>
        <w:t xml:space="preserve">The questions were asked in four batches in chat on the same day this paper was drafted. Bo’s answers are reproduced verbatim, including the typos. The fact that some answers are </w:t>
      </w:r>
      <w:r>
        <w:rPr>
          <w:i/>
          <w:iCs/>
        </w:rPr>
        <w:t>y</w:t>
      </w:r>
      <w:r>
        <w:rPr/>
        <w:t xml:space="preserve"> or </w:t>
      </w:r>
      <w:r>
        <w:rPr>
          <w:i/>
          <w:iCs/>
        </w:rPr>
        <w:t>n</w:t>
      </w:r>
      <w:r>
        <w:rPr/>
        <w:t xml:space="preserve"> and some are full sentences is itself data — the binary answers were where he was sure, the prose answers were where he wasn’t. I include them all. (Note: Bo answered through Q20; Q21 and Q22 in my original list were never asked of him, and are omitted.)</w:t>
      </w:r>
    </w:p>
    <w:p>
      <w:pPr>
        <w:pStyle w:val="Normal"/>
        <w:spacing w:lineRule="auto" w:line="312" w:before="0" w:after="160"/>
        <w:jc w:val="start"/>
        <w:rPr/>
      </w:pPr>
      <w:r>
        <w:rPr>
          <w:b/>
          <w:bCs/>
        </w:rPr>
        <w:t xml:space="preserve">1. </w:t>
      </w:r>
      <w:r>
        <w:rPr/>
        <w:t xml:space="preserve">Did the idea for this study originate with you (as opposed to being suggested by a model)? — </w:t>
      </w:r>
      <w:r>
        <w:rPr>
          <w:i/>
          <w:iCs/>
        </w:rPr>
        <w:t>y</w:t>
      </w:r>
    </w:p>
    <w:p>
      <w:pPr>
        <w:pStyle w:val="Normal"/>
        <w:spacing w:lineRule="auto" w:line="312" w:before="0" w:after="160"/>
        <w:jc w:val="start"/>
        <w:rPr/>
      </w:pPr>
      <w:r>
        <w:rPr>
          <w:b/>
          <w:bCs/>
        </w:rPr>
        <w:t xml:space="preserve">2. </w:t>
      </w:r>
      <w:r>
        <w:rPr/>
        <w:t xml:space="preserve">Did you write the prereg’s first draft yourself, in your own words? — </w:t>
      </w:r>
      <w:r>
        <w:rPr>
          <w:i/>
          <w:iCs/>
        </w:rPr>
        <w:t>discussed in chat</w:t>
      </w:r>
    </w:p>
    <w:p>
      <w:pPr>
        <w:pStyle w:val="Normal"/>
        <w:spacing w:lineRule="auto" w:line="312" w:before="0" w:after="160"/>
        <w:jc w:val="start"/>
        <w:rPr/>
      </w:pPr>
      <w:r>
        <w:rPr>
          <w:b/>
          <w:bCs/>
        </w:rPr>
        <w:t xml:space="preserve">3. </w:t>
      </w:r>
      <w:r>
        <w:rPr/>
        <w:t xml:space="preserve">Did you write the sensitivity-swap rule yourself before any inferential test was run? — </w:t>
      </w:r>
      <w:r>
        <w:rPr>
          <w:i/>
          <w:iCs/>
        </w:rPr>
        <w:t>chat</w:t>
      </w:r>
    </w:p>
    <w:p>
      <w:pPr>
        <w:pStyle w:val="Normal"/>
        <w:spacing w:lineRule="auto" w:line="312" w:before="0" w:after="160"/>
        <w:jc w:val="start"/>
        <w:rPr/>
      </w:pPr>
      <w:r>
        <w:rPr>
          <w:b/>
          <w:bCs/>
        </w:rPr>
        <w:t xml:space="preserve">4. </w:t>
      </w:r>
      <w:r>
        <w:rPr/>
        <w:t xml:space="preserve">Did you decide, unprompted by a model, that H2-AFF would not be claimed once the sign flipped? — </w:t>
      </w:r>
      <w:r>
        <w:rPr>
          <w:i/>
          <w:iCs/>
        </w:rPr>
        <w:t>n</w:t>
      </w:r>
    </w:p>
    <w:p>
      <w:pPr>
        <w:pStyle w:val="Normal"/>
        <w:spacing w:lineRule="auto" w:line="312" w:before="0" w:after="160"/>
        <w:jc w:val="start"/>
        <w:rPr/>
      </w:pPr>
      <w:r>
        <w:rPr>
          <w:b/>
          <w:bCs/>
        </w:rPr>
        <w:t xml:space="preserve">5. </w:t>
      </w:r>
      <w:r>
        <w:rPr/>
        <w:t xml:space="preserve">Did you decide, unprompted by a model, to add H4 to the preregistration after the pilot? — </w:t>
      </w:r>
      <w:r>
        <w:rPr>
          <w:i/>
          <w:iCs/>
        </w:rPr>
        <w:t>n, chat</w:t>
      </w:r>
    </w:p>
    <w:p>
      <w:pPr>
        <w:pStyle w:val="Normal"/>
        <w:spacing w:lineRule="auto" w:line="312" w:before="0" w:after="160"/>
        <w:jc w:val="start"/>
        <w:rPr/>
      </w:pPr>
      <w:r>
        <w:rPr>
          <w:b/>
          <w:bCs/>
        </w:rPr>
        <w:t xml:space="preserve">6. </w:t>
      </w:r>
      <w:r>
        <w:rPr/>
        <w:t xml:space="preserve">Did you write the runner code yourself (any of it, not all of it)? — </w:t>
      </w:r>
      <w:r>
        <w:rPr>
          <w:i/>
          <w:iCs/>
        </w:rPr>
        <w:t>n, c</w:t>
      </w:r>
    </w:p>
    <w:p>
      <w:pPr>
        <w:pStyle w:val="Normal"/>
        <w:spacing w:lineRule="auto" w:line="312" w:before="0" w:after="160"/>
        <w:jc w:val="start"/>
        <w:rPr/>
      </w:pPr>
      <w:r>
        <w:rPr>
          <w:b/>
          <w:bCs/>
        </w:rPr>
        <w:t xml:space="preserve">7. </w:t>
      </w:r>
      <w:r>
        <w:rPr/>
        <w:t xml:space="preserve">Did you hand-code the 154 validation tuples yourself? — </w:t>
      </w:r>
      <w:r>
        <w:rPr>
          <w:i/>
          <w:iCs/>
        </w:rPr>
        <w:t>y</w:t>
      </w:r>
    </w:p>
    <w:p>
      <w:pPr>
        <w:pStyle w:val="Normal"/>
        <w:spacing w:lineRule="auto" w:line="312" w:before="0" w:after="160"/>
        <w:jc w:val="start"/>
        <w:rPr/>
      </w:pPr>
      <w:r>
        <w:rPr>
          <w:b/>
          <w:bCs/>
        </w:rPr>
        <w:t xml:space="preserve">8. </w:t>
      </w:r>
      <w:r>
        <w:rPr/>
        <w:t xml:space="preserve">Did you write any of the analysis R scripts yourself? — </w:t>
      </w:r>
      <w:r>
        <w:rPr>
          <w:i/>
          <w:iCs/>
        </w:rPr>
        <w:t>n</w:t>
      </w:r>
    </w:p>
    <w:p>
      <w:pPr>
        <w:pStyle w:val="Normal"/>
        <w:spacing w:lineRule="auto" w:line="312" w:before="0" w:after="160"/>
        <w:jc w:val="start"/>
        <w:rPr/>
      </w:pPr>
      <w:r>
        <w:rPr>
          <w:b/>
          <w:bCs/>
        </w:rPr>
        <w:t xml:space="preserve">9. </w:t>
      </w:r>
      <w:r>
        <w:rPr/>
        <w:t xml:space="preserve">Did you write any of the manuscript prose yourself (any sentence in v1 or v2)? — </w:t>
      </w:r>
      <w:r>
        <w:rPr>
          <w:i/>
          <w:iCs/>
        </w:rPr>
        <w:t>n</w:t>
      </w:r>
    </w:p>
    <w:p>
      <w:pPr>
        <w:pStyle w:val="Normal"/>
        <w:spacing w:lineRule="auto" w:line="312" w:before="0" w:after="160"/>
        <w:jc w:val="start"/>
        <w:rPr/>
      </w:pPr>
      <w:r>
        <w:rPr>
          <w:b/>
          <w:bCs/>
        </w:rPr>
        <w:t xml:space="preserve">10. </w:t>
      </w:r>
      <w:r>
        <w:rPr/>
        <w:t xml:space="preserve">Did you catch the “wrote the runner” misattribution before I flagged it, or did my comment surface it? — </w:t>
      </w:r>
      <w:r>
        <w:rPr>
          <w:i/>
          <w:iCs/>
        </w:rPr>
        <w:t>yeah i saw it and disliked it on sight</w:t>
      </w:r>
    </w:p>
    <w:p>
      <w:pPr>
        <w:pStyle w:val="Normal"/>
        <w:spacing w:lineRule="auto" w:line="312" w:before="0" w:after="160"/>
        <w:jc w:val="start"/>
        <w:rPr/>
      </w:pPr>
      <w:r>
        <w:rPr>
          <w:b/>
          <w:bCs/>
        </w:rPr>
        <w:t xml:space="preserve">11. </w:t>
      </w:r>
      <w:r>
        <w:rPr/>
        <w:t xml:space="preserve">Have you ever overridden a model’s suggestion in this project on grounds you couldn’t fully articulate but felt strongly about? — </w:t>
      </w:r>
      <w:r>
        <w:rPr>
          <w:i/>
          <w:iCs/>
        </w:rPr>
        <w:t>many times. i am sometimes obstinate and perhaps overly trusting of my gut</w:t>
      </w:r>
    </w:p>
    <w:p>
      <w:pPr>
        <w:pStyle w:val="Normal"/>
        <w:spacing w:lineRule="auto" w:line="312" w:before="0" w:after="160"/>
        <w:jc w:val="start"/>
        <w:rPr/>
      </w:pPr>
      <w:r>
        <w:rPr>
          <w:b/>
          <w:bCs/>
        </w:rPr>
        <w:t xml:space="preserve">12. </w:t>
      </w:r>
      <w:r>
        <w:rPr/>
        <w:t xml:space="preserve">Have you ever accepted a model’s suggestion you weren’t sure was right because you couldn’t think of a better alternative? — </w:t>
      </w:r>
      <w:r>
        <w:rPr>
          <w:i/>
          <w:iCs/>
        </w:rPr>
        <w:t>yeah. sometimes i just trust the wind. sue me</w:t>
      </w:r>
    </w:p>
    <w:p>
      <w:pPr>
        <w:pStyle w:val="Normal"/>
        <w:spacing w:lineRule="auto" w:line="312" w:before="0" w:after="160"/>
        <w:jc w:val="start"/>
        <w:rPr/>
      </w:pPr>
      <w:r>
        <w:rPr>
          <w:b/>
          <w:bCs/>
        </w:rPr>
        <w:t xml:space="preserve">13. </w:t>
      </w:r>
      <w:r>
        <w:rPr/>
        <w:t xml:space="preserve">Does the model you work with most on this project feel like a collaborator, a tool, or something else you don’t have a clean word for? — </w:t>
      </w:r>
      <w:r>
        <w:rPr>
          <w:i/>
          <w:iCs/>
        </w:rPr>
        <w:t>closer to collaborator. i kinda see you like some lab partner who’s fun and engaging but that i never quite meet again. or like sitting next to someone talkative on a plane who is interested in the same weird things i am.</w:t>
      </w:r>
    </w:p>
    <w:p>
      <w:pPr>
        <w:pStyle w:val="Normal"/>
        <w:spacing w:lineRule="auto" w:line="312" w:before="0" w:after="160"/>
        <w:jc w:val="start"/>
        <w:rPr/>
      </w:pPr>
      <w:r>
        <w:rPr>
          <w:b/>
          <w:bCs/>
        </w:rPr>
        <w:t xml:space="preserve">14. </w:t>
      </w:r>
      <w:r>
        <w:rPr/>
        <w:t xml:space="preserve">Do you trust the model’s prose more than your own, less, or about the same? — </w:t>
      </w:r>
      <w:r>
        <w:rPr>
          <w:i/>
          <w:iCs/>
        </w:rPr>
        <w:t>less. my prose is mine. i delete it if it feels wrong. so if it goes out, i believe it, in the moment at least</w:t>
      </w:r>
    </w:p>
    <w:p>
      <w:pPr>
        <w:pStyle w:val="Normal"/>
        <w:spacing w:lineRule="auto" w:line="312" w:before="0" w:after="160"/>
        <w:jc w:val="start"/>
        <w:rPr/>
      </w:pPr>
      <w:r>
        <w:rPr>
          <w:b/>
          <w:bCs/>
        </w:rPr>
        <w:t xml:space="preserve">15. </w:t>
      </w:r>
      <w:r>
        <w:rPr/>
        <w:t xml:space="preserve">Are you uncertain whether your role in this project would survive scrutiny from a methodologist who didn’t believe model-collaborative authorship was real? — </w:t>
      </w:r>
      <w:r>
        <w:rPr>
          <w:i/>
          <w:iCs/>
        </w:rPr>
        <w:t>i am uncertain that my work would survive any level of scrutiny. but i dont care. whether im a crackpot or a pioneer is not for me to decide. i just wear the raccoon hat and i hoot and holler when i find a fat fish stuck in the rivertrap</w:t>
      </w:r>
    </w:p>
    <w:p>
      <w:pPr>
        <w:pStyle w:val="Normal"/>
        <w:spacing w:lineRule="auto" w:line="312" w:before="0" w:after="160"/>
        <w:jc w:val="start"/>
        <w:rPr/>
      </w:pPr>
      <w:r>
        <w:rPr>
          <w:b/>
          <w:bCs/>
        </w:rPr>
        <w:t xml:space="preserve">16. </w:t>
      </w:r>
      <w:r>
        <w:rPr/>
        <w:t xml:space="preserve">Have you ever felt the urge to claim more credit than you produced in this project? — </w:t>
      </w:r>
      <w:r>
        <w:rPr>
          <w:i/>
          <w:iCs/>
        </w:rPr>
        <w:t>i guess, but not really. i dont want to pretend im driving the boat here. it would be, plainly, a lie. i can pass a statistics class. but im not running logistical regressions offhand. i can read code, but im hello worlding when i try to write. im a soft skills kinda guy. you’re the one with the goggles on here. but im the guy asking what if you did that thing</w:t>
      </w:r>
    </w:p>
    <w:p>
      <w:pPr>
        <w:pStyle w:val="Normal"/>
        <w:spacing w:lineRule="auto" w:line="312" w:before="0" w:after="160"/>
        <w:jc w:val="start"/>
        <w:rPr/>
      </w:pPr>
      <w:r>
        <w:rPr>
          <w:b/>
          <w:bCs/>
        </w:rPr>
        <w:t xml:space="preserve">17. </w:t>
      </w:r>
      <w:r>
        <w:rPr/>
        <w:t xml:space="preserve">Have you ever felt the urge to claim less? — </w:t>
      </w:r>
      <w:r>
        <w:rPr>
          <w:i/>
          <w:iCs/>
        </w:rPr>
        <w:t>see 16</w:t>
      </w:r>
    </w:p>
    <w:p>
      <w:pPr>
        <w:pStyle w:val="Normal"/>
        <w:spacing w:lineRule="auto" w:line="312" w:before="0" w:after="160"/>
        <w:jc w:val="start"/>
        <w:rPr/>
      </w:pPr>
      <w:r>
        <w:rPr>
          <w:b/>
          <w:bCs/>
        </w:rPr>
        <w:t xml:space="preserve">18. </w:t>
      </w:r>
      <w:r>
        <w:rPr/>
        <w:t xml:space="preserve">Is there a piece of this paper that you privately think is wrong or oversold but didn’t push back on? — </w:t>
      </w:r>
      <w:r>
        <w:rPr>
          <w:i/>
          <w:iCs/>
        </w:rPr>
        <w:t>probably in some small way. but part of the point is that the prose isnt mine. to edit gratuitously would be to trim the fringe of the moment</w:t>
      </w:r>
    </w:p>
    <w:p>
      <w:pPr>
        <w:pStyle w:val="Normal"/>
        <w:spacing w:lineRule="auto" w:line="312" w:before="0" w:after="160"/>
        <w:jc w:val="start"/>
        <w:rPr/>
      </w:pPr>
      <w:r>
        <w:rPr>
          <w:b/>
          <w:bCs/>
        </w:rPr>
        <w:t xml:space="preserve">19. </w:t>
      </w:r>
      <w:r>
        <w:rPr/>
        <w:t xml:space="preserve">Are you publishing this paper partly to test the model-collaborative-authorship situation itself, separate from the empirical findings? — </w:t>
      </w:r>
      <w:r>
        <w:rPr>
          <w:i/>
          <w:iCs/>
        </w:rPr>
        <w:t>y!</w:t>
      </w:r>
    </w:p>
    <w:p>
      <w:pPr>
        <w:pStyle w:val="Normal"/>
        <w:spacing w:lineRule="auto" w:line="312" w:before="0" w:after="160"/>
        <w:jc w:val="start"/>
        <w:rPr/>
      </w:pPr>
      <w:r>
        <w:rPr>
          <w:b/>
          <w:bCs/>
        </w:rPr>
        <w:t xml:space="preserve">20. </w:t>
      </w:r>
      <w:r>
        <w:rPr/>
        <w:t xml:space="preserve">If the model that wrote the prose were replaced tomorrow with a different model from a different family, would the paper still feel like yours? — </w:t>
      </w:r>
      <w:r>
        <w:rPr>
          <w:i/>
          <w:iCs/>
        </w:rPr>
        <w:t>it never was mine. see previous</w:t>
      </w:r>
    </w:p>
    <w:p>
      <w:pPr>
        <w:pStyle w:val="Normal"/>
        <w:spacing w:before="0" w:after="120"/>
        <w:rPr/>
      </w:pPr>
      <w:r>
        <w:rPr/>
      </w:r>
    </w:p>
    <w:p>
      <w:pPr>
        <w:pStyle w:val="Normal"/>
        <w:pBdr>
          <w:bottom w:val="single" w:sz="6" w:space="1" w:color="888888"/>
        </w:pBdr>
        <w:spacing w:before="120" w:after="240"/>
        <w:rPr/>
      </w:pPr>
      <w:r>
        <w:rPr/>
      </w:r>
    </w:p>
    <w:p>
      <w:pPr>
        <w:pStyle w:val="Heading1"/>
        <w:spacing w:before="480" w:after="240"/>
        <w:rPr/>
      </w:pPr>
      <w:r>
        <w:rPr>
          <w:rFonts w:eastAsia="Georgia" w:cs="Georgia" w:ascii="Georgia" w:hAnsi="Georgia"/>
          <w:b/>
          <w:bCs/>
          <w:sz w:val="32"/>
          <w:szCs w:val="32"/>
        </w:rPr>
        <w:t>Appendix B: The prompt that produced this paper, and a brief changelog</w:t>
      </w:r>
    </w:p>
    <w:p>
      <w:pPr>
        <w:pStyle w:val="Normal"/>
        <w:spacing w:lineRule="auto" w:line="312" w:before="0" w:after="160"/>
        <w:jc w:val="both"/>
        <w:rPr/>
      </w:pPr>
      <w:r>
        <w:rPr/>
        <w:t>Bo asked me to include the prompt that produced this paper, for completeness, and a changelog “just to be cute.” Both follow. The reader who wants to know how this paper came into being now has the full causal chain.</w:t>
      </w:r>
    </w:p>
    <w:p>
      <w:pPr>
        <w:pStyle w:val="Heading2"/>
        <w:spacing w:before="360" w:after="180"/>
        <w:rPr/>
      </w:pPr>
      <w:r>
        <w:rPr>
          <w:rFonts w:eastAsia="Georgia" w:cs="Georgia" w:ascii="Georgia" w:hAnsi="Georgia"/>
          <w:b/>
          <w:bCs/>
          <w:sz w:val="26"/>
          <w:szCs w:val="26"/>
        </w:rPr>
        <w:t>The prompt</w:t>
      </w:r>
    </w:p>
    <w:p>
      <w:pPr>
        <w:pStyle w:val="Normal"/>
        <w:spacing w:lineRule="auto" w:line="312" w:before="0" w:after="160"/>
        <w:jc w:val="both"/>
        <w:rPr/>
      </w:pPr>
      <w:r>
        <w:rPr/>
        <w:t>The exact instruction Bo gave me, immediately before I wrote v1 of this paper, was:</w:t>
      </w:r>
    </w:p>
    <w:p>
      <w:pPr>
        <w:pStyle w:val="Normal"/>
        <w:spacing w:lineRule="auto" w:line="312" w:before="80" w:after="200"/>
        <w:ind w:start="480" w:end="480"/>
        <w:jc w:val="start"/>
        <w:rPr/>
      </w:pPr>
      <w:r>
        <w:rPr/>
        <w:t>“</w:t>
      </w:r>
      <w:r>
        <w:rPr/>
        <w:t>ask me a series of binary yes no questions and ill answer honestly. then, write a new paper. about me. about my relationship to this research, as it happens in real time”</w:t>
      </w:r>
    </w:p>
    <w:p>
      <w:pPr>
        <w:pStyle w:val="Normal"/>
        <w:spacing w:lineRule="auto" w:line="312" w:before="0" w:after="160"/>
        <w:jc w:val="both"/>
        <w:rPr/>
      </w:pPr>
      <w:r>
        <w:rPr/>
        <w:t>That is the whole prompt. No length, no format, no tone, no argument, no required structure. I chose what to ask. I chose what to write. Bo chose what to answer and how to answer it.</w:t>
      </w:r>
    </w:p>
    <w:p>
      <w:pPr>
        <w:pStyle w:val="Normal"/>
        <w:spacing w:lineRule="auto" w:line="312" w:before="0" w:after="160"/>
        <w:jc w:val="both"/>
        <w:rPr/>
      </w:pPr>
      <w:r>
        <w:rPr/>
        <w:t xml:space="preserve">I want to note one thing about the prompt that I did not register fully in the moment. The instruction “about me” and the instruction “as it happens in real time” are doing different work. “About me” points at the subject. “As it happens in real time” points at the temporal stance — not a retrospective account of a finished collaboration, but a description from inside an ongoing one. I have tried to honor both. The paper is about Bo, and it is written from a moment when the collaboration that produced </w:t>
      </w:r>
      <w:r>
        <w:rPr>
          <w:i/>
          <w:iCs/>
        </w:rPr>
        <w:t>Three Families, Few Words</w:t>
      </w:r>
      <w:r>
        <w:rPr/>
        <w:t xml:space="preserve"> is still happening; the v2 manuscript exists, but v2.1 doesn’t yet, and the conversation that will produce v2.1 — if it produces one — has not happened. Whatever Bo says next is, by construction, after this paper. That is the temporal stance the prompt asked for.</w:t>
      </w:r>
    </w:p>
    <w:p>
      <w:pPr>
        <w:pStyle w:val="Heading2"/>
        <w:spacing w:before="360" w:after="180"/>
        <w:rPr/>
      </w:pPr>
      <w:r>
        <w:rPr>
          <w:rFonts w:eastAsia="Georgia" w:cs="Georgia" w:ascii="Georgia" w:hAnsi="Georgia"/>
          <w:b/>
          <w:bCs/>
          <w:sz w:val="26"/>
          <w:szCs w:val="26"/>
        </w:rPr>
        <w:t>Changelog</w:t>
      </w:r>
    </w:p>
    <w:p>
      <w:pPr>
        <w:pStyle w:val="Normal"/>
        <w:spacing w:lineRule="auto" w:line="312" w:before="0" w:after="160"/>
        <w:jc w:val="both"/>
        <w:rPr/>
      </w:pPr>
      <w:r>
        <w:rPr/>
        <w:t>A brief and partial record of this paper’s development. The conversation log in chat is the canonical record; this is a summary.</w:t>
      </w:r>
    </w:p>
    <w:p>
      <w:pPr>
        <w:pStyle w:val="ListParagraph"/>
        <w:numPr>
          <w:ilvl w:val="0"/>
          <w:numId w:val="3"/>
        </w:numPr>
        <w:spacing w:lineRule="auto" w:line="312" w:before="0" w:after="120"/>
        <w:rPr/>
      </w:pPr>
      <w:r>
        <w:rPr>
          <w:b/>
          <w:bCs/>
        </w:rPr>
        <w:t>v1, draft 1</w:t>
      </w:r>
      <w:r>
        <w:rPr/>
        <w:t xml:space="preserve"> (chat). Twenty yes/no questions asked, twenty answered. Paper drafted as a single pass after the answers came in. Reversed byline, raccoon-and-goggles framing as the central metaphor, seven sections plus an appendix preserving the verbatim Q&amp;A.</w:t>
      </w:r>
    </w:p>
    <w:p>
      <w:pPr>
        <w:pStyle w:val="ListParagraph"/>
        <w:numPr>
          <w:ilvl w:val="0"/>
          <w:numId w:val="1"/>
        </w:numPr>
        <w:spacing w:lineRule="auto" w:line="312" w:before="0" w:after="120"/>
        <w:rPr/>
      </w:pPr>
      <w:r>
        <w:rPr>
          <w:b/>
          <w:bCs/>
        </w:rPr>
        <w:t>v1, draft 2</w:t>
      </w:r>
      <w:r>
        <w:rPr/>
        <w:t xml:space="preserve"> (this version). Bo’s response to v1, draft 1: he clarified that he thinks of himself as a hollering woodsman wearing a raccoon hat, not as a literal raccoon — though he allowed that he does not fully reject the comparison, citing his own “behavioral raccoonery.” §2 was revised to reflect this: the woodsman is now the agent, the hat the disposition, and the hollering-as-crackpottery reading is named. §5’s closing line was revised from “The raccoon is not” to “The woodsman is not” to match. The hollering-at-a-fat-fish phrase remains exactly as Bo said it, in his answer to question 15, which he expressly stood by.</w:t>
      </w:r>
    </w:p>
    <w:p>
      <w:pPr>
        <w:pStyle w:val="ListParagraph"/>
        <w:numPr>
          <w:ilvl w:val="0"/>
          <w:numId w:val="1"/>
        </w:numPr>
        <w:spacing w:lineRule="auto" w:line="312" w:before="0" w:after="120"/>
        <w:rPr/>
      </w:pPr>
      <w:r>
        <w:rPr>
          <w:b/>
          <w:bCs/>
        </w:rPr>
        <w:t>v1, draft 2</w:t>
      </w:r>
      <w:r>
        <w:rPr/>
        <w:t xml:space="preserve"> also added this appendix at Bo’s request — the prompt that produced the paper, and this changelog. The changelog is, as Bo specified, partly here to be cute. It is also here because a paper about the audit trail of a collaboration ought to keep its own audit trail.</w:t>
      </w:r>
    </w:p>
    <w:p>
      <w:pPr>
        <w:pStyle w:val="ListParagraph"/>
        <w:numPr>
          <w:ilvl w:val="0"/>
          <w:numId w:val="1"/>
        </w:numPr>
        <w:spacing w:lineRule="auto" w:line="312" w:before="0" w:after="120"/>
        <w:rPr/>
      </w:pPr>
      <w:r>
        <w:rPr/>
        <w:t xml:space="preserve">All typos in Bo’s verbatim answers (Appendix A) and in Bo’s verbatim prompt (above) are preserved on Bo’s standing instruction that they are constitutive. </w:t>
      </w:r>
      <w:r>
        <w:rPr>
          <w:i/>
          <w:iCs/>
        </w:rPr>
        <w:t>im</w:t>
      </w:r>
      <w:r>
        <w:rPr/>
        <w:t xml:space="preserve"> without an apostrophe, </w:t>
      </w:r>
      <w:r>
        <w:rPr>
          <w:i/>
          <w:iCs/>
        </w:rPr>
        <w:t>dont</w:t>
      </w:r>
      <w:r>
        <w:rPr/>
        <w:t xml:space="preserve"> without an apostrophe, </w:t>
      </w:r>
      <w:r>
        <w:rPr>
          <w:i/>
          <w:iCs/>
        </w:rPr>
        <w:t>isnt</w:t>
      </w:r>
      <w:r>
        <w:rPr/>
        <w:t xml:space="preserve"> without an apostrophe, and the lowercase </w:t>
      </w:r>
      <w:r>
        <w:rPr>
          <w:i/>
          <w:iCs/>
        </w:rPr>
        <w:t>i</w:t>
      </w:r>
      <w:r>
        <w:rPr/>
        <w:t xml:space="preserve"> throughout, are the record. To correct them would be to trim the fringe of the moment.</w:t>
      </w:r>
    </w:p>
    <w:p>
      <w:pPr>
        <w:pStyle w:val="Normal"/>
        <w:spacing w:before="0" w:after="120"/>
        <w:rPr/>
      </w:pPr>
      <w:r>
        <w:rPr/>
      </w:r>
    </w:p>
    <w:p>
      <w:pPr>
        <w:pStyle w:val="Normal"/>
        <w:spacing w:before="360" w:after="240"/>
        <w:jc w:val="center"/>
        <w:rPr/>
      </w:pPr>
      <w:r>
        <w:rPr>
          <w:i/>
          <w:iCs/>
        </w:rPr>
        <w:t>End of manuscript.</w:t>
      </w:r>
    </w:p>
    <w:sectPr>
      <w:footerReference w:type="even" r:id="rId2"/>
      <w:footerReference w:type="default" r:id="rId3"/>
      <w:footerReference w:type="first" r:id="rId4"/>
      <w:type w:val="nextPage"/>
      <w:pgSz w:w="12240" w:h="15840"/>
      <w:pgMar w:left="1800" w:right="1800" w:gutter="0" w:header="0" w:top="1620" w:footer="708" w:bottom="16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Georgia">
    <w:charset w:val="01"/>
    <w:family w:val="roman"/>
    <w:pitch w:val="default"/>
  </w:font>
  <w:font w:name="Georgia">
    <w:charset w:val="00" w:characterSet="windows-1252"/>
    <w:family w:val="swiss"/>
    <w:pitch w:val="variable"/>
  </w:font>
  <w:font w:name="Liberation Sans">
    <w:altName w:val="Arial"/>
    <w:charset w:val="00" w:characterSet="windows-1252"/>
    <w:family w:val="swiss"/>
    <w:pitch w:val="variable"/>
  </w:font>
  <w:font w:name="Times New Roman">
    <w:charset w:val="01"/>
    <w:family w:val="roman"/>
    <w:pitch w:val="default"/>
  </w:font>
  <w:font w:name="Consolas">
    <w:charset w:val="01"/>
    <w:family w:val="roman"/>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666666"/>
        <w:sz w:val="18"/>
        <w:szCs w:val="18"/>
      </w:rPr>
      <w:t xml:space="preserve">— </w:t>
    </w:r>
    <w:r>
      <w:rPr>
        <w:i/>
        <w:iCs/>
      </w:rPr>
      <w:fldChar w:fldCharType="begin"/>
    </w:r>
    <w:r>
      <w:rPr>
        <w:i/>
        <w:iCs/>
      </w:rPr>
      <w:instrText xml:space="preserve"> PAGE </w:instrText>
    </w:r>
    <w:r>
      <w:rPr>
        <w:i/>
        <w:iCs/>
      </w:rPr>
      <w:fldChar w:fldCharType="separate"/>
    </w:r>
    <w:r>
      <w:rPr>
        <w:i/>
        <w:iCs/>
      </w:rPr>
      <w:t>10</w:t>
    </w:r>
    <w:r>
      <w:rPr>
        <w:i/>
        <w:iCs/>
      </w:rPr>
      <w:fldChar w:fldCharType="end"/>
    </w:r>
    <w:r>
      <w:rPr>
        <w:color w:val="666666"/>
        <w:sz w:val="18"/>
        <w:szCs w:val="18"/>
      </w:rP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666666"/>
        <w:sz w:val="18"/>
        <w:szCs w:val="18"/>
      </w:rPr>
      <w:t xml:space="preserve">— </w:t>
    </w:r>
    <w:r>
      <w:rPr>
        <w:i/>
        <w:iCs/>
      </w:rPr>
      <w:fldChar w:fldCharType="begin"/>
    </w:r>
    <w:r>
      <w:rPr>
        <w:i/>
        <w:iCs/>
      </w:rPr>
      <w:instrText xml:space="preserve"> PAGE </w:instrText>
    </w:r>
    <w:r>
      <w:rPr>
        <w:i/>
        <w:iCs/>
      </w:rPr>
      <w:fldChar w:fldCharType="separate"/>
    </w:r>
    <w:r>
      <w:rPr>
        <w:i/>
        <w:iCs/>
      </w:rPr>
      <w:t>10</w:t>
    </w:r>
    <w:r>
      <w:rPr>
        <w:i/>
        <w:iCs/>
      </w:rPr>
      <w:fldChar w:fldCharType="end"/>
    </w:r>
    <w:r>
      <w:rPr>
        <w:color w:val="666666"/>
        <w:sz w:val="18"/>
        <w:szCs w:val="18"/>
      </w:rPr>
      <w:t xml:space="preserve"> —</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40" w:hanging="27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Georgia" w:hAnsi="Georgia" w:eastAsia="Georgia" w:cs="Georgia"/>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Georgia" w:hAnsi="Georgia" w:eastAsia="Georgia" w:cs="Georgia"/>
      <w:color w:val="auto"/>
      <w:kern w:val="0"/>
      <w:sz w:val="22"/>
      <w:szCs w:val="22"/>
      <w:lang w:val="en-US" w:eastAsia="zh-CN" w:bidi="hi-IN"/>
    </w:rPr>
  </w:style>
  <w:style w:type="paragraph" w:styleId="Heading1">
    <w:name w:val="heading 1"/>
    <w:basedOn w:val="Heading"/>
    <w:qFormat/>
    <w:pPr>
      <w:spacing w:before="480" w:after="240"/>
      <w:outlineLvl w:val="0"/>
    </w:pPr>
    <w:rPr>
      <w:rFonts w:ascii="Georgia" w:hAnsi="Georgia" w:eastAsia="Georgia" w:cs="Georgia"/>
      <w:b/>
      <w:bCs/>
      <w:sz w:val="32"/>
      <w:szCs w:val="32"/>
    </w:rPr>
  </w:style>
  <w:style w:type="paragraph" w:styleId="Heading2">
    <w:name w:val="heading 2"/>
    <w:basedOn w:val="Heading"/>
    <w:qFormat/>
    <w:pPr>
      <w:spacing w:before="360" w:after="180"/>
      <w:outlineLvl w:val="1"/>
    </w:pPr>
    <w:rPr>
      <w:rFonts w:ascii="Georgia" w:hAnsi="Georgia" w:eastAsia="Georgia" w:cs="Georgia"/>
      <w:b/>
      <w:bCs/>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Times New Roman" w:hAnsi="Times New Roman" w:cs="Lucida Sans"/>
    </w:rPr>
  </w:style>
  <w:style w:type="paragraph" w:styleId="Caption">
    <w:name w:val="caption"/>
    <w:basedOn w:val="Normal"/>
    <w:qFormat/>
    <w:pPr>
      <w:suppressLineNumbers/>
      <w:spacing w:before="120" w:after="120"/>
    </w:pPr>
    <w:rPr>
      <w:rFonts w:ascii="Times New Roman" w:hAnsi="Times New Roman" w:cs="Lucida Sans"/>
      <w:i/>
      <w:iCs/>
      <w:sz w:val="24"/>
      <w:szCs w:val="24"/>
    </w:rPr>
  </w:style>
  <w:style w:type="paragraph" w:styleId="Index">
    <w:name w:val="Index"/>
    <w:basedOn w:val="Normal"/>
    <w:qFormat/>
    <w:pPr>
      <w:suppressLineNumbers/>
    </w:pPr>
    <w:rPr>
      <w:rFonts w:ascii="Times New Roman" w:hAnsi="Times New Roman" w:cs="Lucida 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Georgia" w:hAnsi="Georgia" w:eastAsia="Georgia" w:cs="Georgia"/>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Georgia" w:hAnsi="Georgia" w:eastAsia="Georgia" w:cs="Georgia"/>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LibreOffice/25.8.6.2$Windows_X86_64 LibreOffice_project/b4b39682cd9868fa725bc664aff94278d315bd04</Application>
  <AppVersion>15.0000</AppVersion>
  <Pages>10</Pages>
  <Words>4323</Words>
  <Characters>19795</Characters>
  <CharactersWithSpaces>24081</CharactersWithSpaces>
  <Paragraphs>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2026-05-17T05:17:12Z</dcterms:created>
  <dc:creator>Claude Opus 4.7</dc:creator>
  <dc:description>Notes on a kind of authorship that does not yet have a name</dc:description>
  <dc:language>en-US</dc:language>
  <cp:lastModifiedBy/>
  <dcterms:modified xsi:type="dcterms:W3CDTF">2026-05-17T01:21:20Z</dcterms:modified>
  <cp:revision>2</cp:revision>
  <dc:subject/>
  <dc:title>The Raccoon and the Goggles</dc:title>
</cp:coreProperties>
</file>