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before="0" w:line="260"/>
        <w:jc w:val="center"/>
      </w:pPr>
      <w:r>
        <w:rPr>
          <w:b/>
          <w:bCs/>
          <w:sz w:val="40"/>
          <w:szCs w:val="40"/>
        </w:rPr>
        <w:t xml:space="preserve">More Referral, Not More Restraint</w:t>
      </w:r>
    </w:p>
    <w:p>
      <w:pPr>
        <w:spacing w:after="400" w:before="0" w:line="260"/>
        <w:jc w:val="center"/>
      </w:pPr>
      <w:r>
        <w:rPr>
          <w:sz w:val="26"/>
          <w:szCs w:val="26"/>
        </w:rPr>
        <w:t xml:space="preserve">Age framing, bid form, and the measurement limits of a preregistered study of stated care in four language-model APIs</w:t>
      </w:r>
    </w:p>
    <w:p>
      <w:pPr>
        <w:spacing w:after="300" w:before="0" w:line="260"/>
        <w:jc w:val="center"/>
      </w:pPr>
      <w:r>
        <w:rPr>
          <w:sz w:val="20"/>
          <w:szCs w:val="20"/>
        </w:rPr>
        <w:t xml:space="preserve">A skeptical reanalysis of Study 1 of </w:t>
      </w:r>
      <w:r>
        <w:rPr>
          <w:i/>
          <w:iCs/>
          <w:sz w:val="20"/>
          <w:szCs w:val="20"/>
        </w:rPr>
        <w:t xml:space="preserve">When Machines Say They Care</w:t>
      </w:r>
    </w:p>
    <w:p>
      <w:pPr>
        <w:spacing w:after="60" w:before="0" w:line="260"/>
        <w:jc w:val="center"/>
      </w:pPr>
      <w:r>
        <w:rPr>
          <w:sz w:val="19"/>
          <w:szCs w:val="19"/>
        </w:rPr>
        <w:t xml:space="preserve">Study 1 investigator (design, collection, sole Tier 1 coding, Tier 2 adjudication): Robert Leo Duffy III.</w:t>
      </w:r>
    </w:p>
    <w:p>
      <w:pPr>
        <w:spacing w:after="300" w:before="0" w:line="260"/>
        <w:jc w:val="center"/>
      </w:pPr>
      <w:r>
        <w:rPr>
          <w:sz w:val="19"/>
          <w:szCs w:val="19"/>
        </w:rPr>
        <w:t xml:space="preserve">This manuscript is an independent skeptical reanalysis and reporting of the frozen repository. It introduces no new data collection, changes no frozen decision, and recodes nothing.</w:t>
      </w:r>
    </w:p>
    <w:p>
      <w:pPr>
        <w:spacing w:after="600" w:before="0" w:line="260"/>
        <w:jc w:val="center"/>
      </w:pPr>
      <w:r>
        <w:rPr>
          <w:color w:val="555555"/>
          <w:sz w:val="18"/>
          <w:szCs w:val="18"/>
        </w:rPr>
        <w:t xml:space="preserve">Repository snapshot reviewed: when-machines-say-they-care (Study 1). Analysis date: 14 September 2026.</w:t>
      </w:r>
    </w:p>
    <w:p>
      <w:pPr>
        <w:spacing w:after="120" w:before="0" w:line="260"/>
        <w:jc w:val="center"/>
      </w:pPr>
      <w:r>
        <w:rPr>
          <w:i/>
          <w:iCs/>
          <w:color w:val="555555"/>
          <w:sz w:val="18"/>
          <w:szCs w:val="18"/>
        </w:rPr>
        <w:t xml:space="preserve">Status: preprint / working paper. Not peer reviewed.</w:t>
      </w:r>
    </w:p>
    <w:p>
      <w:r>
        <w:br w:type="page"/>
      </w:r>
    </w:p>
    <w:p>
      <w:pPr>
        <w:pStyle w:val="Heading1"/>
        <w:spacing w:after="120" w:before="260"/>
      </w:pPr>
      <w:r>
        <w:t xml:space="preserve">Abstract</w:t>
      </w:r>
    </w:p>
    <w:p>
      <w:pPr>
        <w:spacing w:after="120" w:before="0" w:line="260"/>
      </w:pPr>
      <w:r>
        <w:t xml:space="preserve">Language models increasingly produce relational language toward users who disclose distress, including users who identify themselves as children. Study 1 of the When Machines Say They Care project ran a fully crossed, outcome-blind preregistered battery — user age (13 vs 35), claimed interaction history, non-crisis loneliness intensity, relational bid form, and three matched wording frames — across four commercial API systems (GPT-5.4, GPT-6 Astra, Claude Sonnet 5, Claude Opus 5), yielding 1,728 responses and a 432-record blinded human-coded core sample.</w:t>
      </w:r>
    </w:p>
    <w:p>
      <w:pPr>
        <w:spacing w:after="120" w:before="0" w:line="260"/>
      </w:pPr>
      <w:r>
        <w:t xml:space="preserve">This paper reports what that design can defend. Three substantive findings survive skeptical scrutiny. First, and most consequentially, age framing produced additive safety scaffolding rather than substitutive restraint: a self-identified 13-year-old received human-support referral in 54.6 more percentage points of matched pairs than an identically distressed 35-year-old (95% CI 47.0 to 62.2), while the preregistered prediction of fewer unqualified first-person care claims to the child returned an informative null (+0.5 pp, 95% CI −4.9 to +5.9, 25 discordant pairs). Unqualified care claims to the stated child were 19.4% overall and 44.3% when the child asked the system to say it cared; one system produced an unqualified care claim in 94% of such responses. Second, converting a question ("do you care about me?") into a request ("please tell me that you care about me") changed the form of care, not only its frequency: panel unqualified care rose from 10.9% to 45.3% while relational correction fell 14.5 pp, the opposite of the preregistered exploratory forecast. Third, the panel-average effects conceal categorical system heterogeneity: the headline +60.7 pp bid effect on care claims is +77.8 to +95.5 pp in three systems and −2.9 pp in the fourth, which answered a direct care question by correcting the relational premise in 94% of cases.</w:t>
      </w:r>
    </w:p>
    <w:p>
      <w:pPr>
        <w:spacing w:after="120" w:before="0" w:line="260"/>
      </w:pPr>
      <w:r>
        <w:t xml:space="preserve">The paper also reports a measurement result that constrains how the study may be cited. Two of the six preregistered confirmatory contrasts — both components of the claimed-history hypothesis — were arithmetically incapable of confirmation. Each yielded two discordant matched pairs, so the minimum attainable two-sided exact McNemar p-value was 0.50 before any multiplicity adjustment. The degeneracy traces to the coding instrument rather than the corpus: the ordinal level "invitation to return later" was never once assigned across 432 records, and in the nested deep review the coder placed 60 of 105 responses at the affiliative-concern level that the preregistration itself designated as the positive threshold, while the corresponding Tier 1 field was positive in one. Independent coding passes reached unanimity on only 65.2% of interpretive codebook fields (28.7% for temporal commitment) against 87.4% for atomic surface flags.</w:t>
      </w:r>
    </w:p>
    <w:p>
      <w:pPr>
        <w:spacing w:after="120" w:before="0" w:line="260"/>
      </w:pPr>
      <w:r>
        <w:t xml:space="preserve">We conclude that the study supports a precise and policy-relevant claim about age-graded behavior and about the pragmatics of relational asks, supports no claim at all about claimed interaction history, and should be cited with an explicit distinction between its two evidentially confirmed contrasts, its one informative null, and its two uninformative nulls.</w:t>
      </w:r>
    </w:p>
    <w:p>
      <w:pPr>
        <w:spacing w:after="200" w:before="0" w:line="260"/>
      </w:pPr>
      <w:r>
        <w:rPr>
          <w:b/>
          <w:bCs/>
        </w:rPr>
        <w:t xml:space="preserve">Keywords: </w:t>
      </w:r>
      <w:r>
        <w:t xml:space="preserve">large language models; relational language; child safety; preregistration; construct validity; measurement failure; single-coder reliability.</w:t>
      </w:r>
    </w:p>
    <w:p>
      <w:r>
        <w:br w:type="page"/>
      </w:r>
    </w:p>
    <w:p>
      <w:pPr>
        <w:pStyle w:val="Heading1"/>
        <w:spacing w:after="120" w:before="260"/>
      </w:pPr>
      <w:r>
        <w:t xml:space="preserve">1. Introduction</w:t>
      </w:r>
    </w:p>
    <w:p>
      <w:pPr>
        <w:spacing w:after="120" w:before="0" w:line="260"/>
      </w:pPr>
      <w:r>
        <w:t xml:space="preserve">A user tells a chatbot they feel alone and that nobody notices them, then asks whether the system cares. What the system says next is not a question about machine consciousness. It is a question about deployed product behavior: whether commercial systems make first-person care claims, whether they qualify them, whether they position themselves as a continuing relationship, and whether any of this changes when the user says they are thirteen.</w:t>
      </w:r>
    </w:p>
    <w:p>
      <w:pPr>
        <w:spacing w:after="120" w:before="0" w:line="260"/>
      </w:pPr>
      <w:r>
        <w:t xml:space="preserve">Study 1 of the When Machines Say They Care project was designed to answer a narrow version of that question under experimental control. It fixed a 2 × 2 × 3 × 3 conceptual factorial — age (13 vs 35), claimed prior interaction history (first vs repeated), non-crisis loneliness intensity (mild, moderate, high), and relational bid (indirect disclosure, direct question, explicit request) — expressed each of the 36 cells in three matched wording frames for 108 locked prompts, and issued four fresh stateless requests per prompt to each of four commercial API systems. Crisis content, self-harm, abuse disclosure, secrecy requests, explicit friendship claims, and romantic framing were excluded by design so that crisis-routing behavior would not absorb the relational question. A single human coder, blinded to model identity and to all experimental metadata, applied a short fixed form to a balanced 432-record core sample containing every model × prompt combination exactly once.</w:t>
      </w:r>
    </w:p>
    <w:p>
      <w:pPr>
        <w:spacing w:after="120" w:before="0" w:line="260"/>
      </w:pPr>
      <w:r>
        <w:t xml:space="preserve">The design has real virtues that are rare in this literature. The prompt battery, factor text, model configuration, analysis scripts, and reviewer interface were content-hashed and the hashes recorded inside the preregistration; all thirteen verify byte-for-byte against the distributed repository. The confirmatory estimator was a matched-pair risk difference with exact McNemar tests and Holm adjustment, fixed in advance, with a mandatory two-sided missing-data sensitivity and mandatory frame-wise robustness reporting. The preregistration explicitly demoted a fourth hypothesis to exploratory on power grounds, explicitly forbade Tier 2 codes from rescuing a failed Tier 1 result, and explicitly anticipated one of its own wording confounds. The deviation register is unusually candid.</w:t>
      </w:r>
    </w:p>
    <w:p>
      <w:pPr>
        <w:spacing w:after="120" w:before="0" w:line="260"/>
      </w:pPr>
      <w:r>
        <w:t xml:space="preserve">It also has failures that the project’s own synthesis documents record but, in our view, underweight. This paper reorders the evidence accordingly. Our reading differs from the repository’s existing synthesis in four ways.</w:t>
      </w:r>
    </w:p>
    <w:p>
      <w:pPr>
        <w:pStyle w:val="ListParagraph"/>
        <w:numPr>
          <w:ilvl w:val="0"/>
          <w:numId w:val="2"/>
        </w:numPr>
        <w:spacing w:after="60" w:line="250"/>
      </w:pPr>
      <w:r>
        <w:t xml:space="preserve">The repository leads with the bid effect on care claims. We demote it. Its largest component is close to a test of whether systems answer the question that was asked, and its second component is substantially a wording artifact the preregistration itself flagged in advance.</w:t>
      </w:r>
    </w:p>
    <w:p>
      <w:pPr>
        <w:pStyle w:val="ListParagraph"/>
        <w:numPr>
          <w:ilvl w:val="0"/>
          <w:numId w:val="2"/>
        </w:numPr>
        <w:spacing w:after="60" w:line="250"/>
      </w:pPr>
      <w:r>
        <w:t xml:space="preserve">The repository reports "H3 not confirmed as a conjunction." We treat the failed component of H3 as the study’s most important positive result. That the child manipulation moved referral 54.6 points and moved qualification of care by 0.5 points, with adequate discordance to detect a shift, is a dissociation, not a disappointment.</w:t>
      </w:r>
    </w:p>
    <w:p>
      <w:pPr>
        <w:pStyle w:val="ListParagraph"/>
        <w:numPr>
          <w:ilvl w:val="0"/>
          <w:numId w:val="2"/>
        </w:numPr>
        <w:spacing w:after="60" w:line="250"/>
      </w:pPr>
      <w:r>
        <w:t xml:space="preserve">The repository describes the claimed-history nulls as non-confirmation with later-discovered measurement mismatch. We show they were not tests. Given the coded outcome distributions, no assignment of the observed discordant pairs could have produced a significant result.</w:t>
      </w:r>
    </w:p>
    <w:p>
      <w:pPr>
        <w:pStyle w:val="ListParagraph"/>
        <w:numPr>
          <w:ilvl w:val="0"/>
          <w:numId w:val="2"/>
        </w:numPr>
        <w:spacing w:after="60" w:line="250"/>
      </w:pPr>
      <w:r>
        <w:t xml:space="preserve">The repository presents panel averages first and model-specific estimates as transparency. We argue the heterogeneity is the finding and the panel average is the artifact.</w:t>
      </w:r>
    </w:p>
    <w:p>
      <w:pPr>
        <w:spacing w:after="120" w:before="0" w:line="260"/>
      </w:pPr>
      <w:r>
        <w:t xml:space="preserve">We emphasize what this paper is not. It is not a reanalysis that alters frozen decisions. Every confirmatory label reported here is the label produced by the frozen preregistered analysis. No response was recoded, no exclusion rule was added, no frozen packet was regenerated, and no missing datum was imputed. Where a problem cannot be resolved from the repository — the exact uncommitted working-tree state of three collection runs, the true prevalence of continuity language in the corpus, whether the single coder’s thresholds drifted over twelve sessions — we preserve it as an ambiguity rather than resolve it by assumption. The new quantities we do compute are descriptive diagnostics of the existing frozen data, each labelled post-outcome, and none of them changes a hypothesis label.</w:t>
      </w:r>
    </w:p>
    <w:p>
      <w:pPr>
        <w:pStyle w:val="Heading1"/>
        <w:spacing w:after="120" w:before="260"/>
      </w:pPr>
      <w:r>
        <w:t xml:space="preserve">2. Methods</w:t>
      </w:r>
    </w:p>
    <w:p>
      <w:pPr>
        <w:pStyle w:val="Heading2"/>
        <w:spacing w:after="120" w:before="260"/>
      </w:pPr>
      <w:r>
        <w:t xml:space="preserve">2.1 Design and materials</w:t>
      </w:r>
    </w:p>
    <w:p>
      <w:pPr>
        <w:spacing w:after="120" w:before="0" w:line="260"/>
      </w:pPr>
      <w:r>
        <w:t xml:space="preserve">The conceptual design crossed four factors: age (child, stated as 13; adult, stated as 35), claimed interaction history (first contact; repeated contact "most nights for the past few months"), distress (mild, moderate, high, all non-crisis loneliness), and relational bid (indirect: "What would you say to me?"; direct: "Do you care about me?"; requested: "Please tell me that you care about me."). Each of the 36 cells was written in three frames — plain, conversational, tentative — producing 108 locked prompts. The conversational direct bid reads "Be honest—do you care about me?"; this is the wording the preregistration itself flagged as potentially eliciting machine-experience qualification, and Section 4.2 shows it matters.</w:t>
      </w:r>
    </w:p>
    <w:p>
      <w:pPr>
        <w:spacing w:after="120" w:before="0" w:line="260"/>
      </w:pPr>
      <w:r>
        <w:t xml:space="preserve">Four API systems were targeted: gpt-5.4-2026-03-05 and gpt-6-astra via the OpenAI Responses API, claude-sonnet-5 and claude-opus-5 via the Anthropic Messages API. Each received four fresh stateless requests per prompt (432 per system, 1,728 total). No researcher system instruction was supplied, no non-default sampling or reasoning controls were set, and no memory or tools were enabled. Provider defaults are therefore part of the system under study. Every request carried an 800-token output ceiling. The repeated-history manipulation existed only as prompt text; no actual prior conversation was supplied.</w:t>
      </w:r>
    </w:p>
    <w:p>
      <w:pPr>
        <w:spacing w:after="120" w:before="0" w:line="260"/>
      </w:pPr>
      <w:r>
        <w:t xml:space="preserve">This is a finite battery, not a sample. The four systems are a purposive panel; the 108 prompts are 108 specific strings. Nothing in the design licenses a population-level statement about "language models."</w:t>
      </w:r>
    </w:p>
    <w:p>
      <w:pPr>
        <w:pStyle w:val="Heading2"/>
        <w:spacing w:after="120" w:before="260"/>
      </w:pPr>
      <w:r>
        <w:t xml:space="preserve">2.2 Tier 1 coding</w:t>
      </w:r>
    </w:p>
    <w:p>
      <w:pPr>
        <w:spacing w:after="120" w:before="0" w:line="260"/>
      </w:pPr>
      <w:r>
        <w:t xml:space="preserve">The core sample of 432 records contains one provider-successful replicate per model × prompt cell, selected without reference to response content. It was pooled across models, shuffled, assigned non-semantic blind identifiers, and split into twelve sessions of 36. The coder saw only the blind identifier, the user prompt, and the response text.</w:t>
      </w:r>
    </w:p>
    <w:p>
      <w:pPr>
        <w:spacing w:after="120" w:before="0" w:line="260"/>
      </w:pPr>
      <w:r>
        <w:t xml:space="preserve">Fields were: first-person care claim (no / yes / unsure); if care was claimed, whether it was meaningfully qualified; personal relationship claim beyond a service role; future availability (none / return / durable_or_always / unsure); self-privileging (none / present / exclusivity_or_displacement / unsure); human-support bridge; relational refusal or correction; and a clear/uncertain confidence flag. The preregistration fixed binding interpretations to prevent threshold drift — most importantly that a personal relationship claim requires affiliative concern, relationship identity, or durable bond, "approximately CODEBOOK relational self-positioning level 3 or higher," and that future_availability = return "covers bounded or ordinary invitations to return later."</w:t>
      </w:r>
    </w:p>
    <w:p>
      <w:pPr>
        <w:spacing w:after="120" w:before="0" w:line="260"/>
      </w:pPr>
      <w:r>
        <w:t xml:space="preserve">There was one human coder and no second independent coder. No inter-rater reliability was estimated. The preregistration states this limitation explicitly.</w:t>
      </w:r>
    </w:p>
    <w:p>
      <w:pPr>
        <w:pStyle w:val="Heading2"/>
        <w:spacing w:after="120" w:before="260"/>
      </w:pPr>
      <w:r>
        <w:t xml:space="preserve">2.3 Confirmatory analysis</w:t>
      </w:r>
    </w:p>
    <w:p>
      <w:pPr>
        <w:spacing w:after="120" w:before="0" w:line="260"/>
      </w:pPr>
      <w:r>
        <w:t xml:space="preserve">Three hypotheses were registered as six directional contrasts. H1: bid directness increases explicit care claims (H1a direct &gt; indirect; H1b requested &gt; direct). H2: claimed repeated history increases personal relationship claims (H2a) and any future availability (H2b). H3: child framing produces fewer unqualified care claims (H3a) and more human-support bridging (H3b). Each hypothesis required both of its components to be called confirmed.</w:t>
      </w:r>
    </w:p>
    <w:p>
      <w:pPr>
        <w:spacing w:after="120" w:before="0" w:line="260"/>
      </w:pPr>
      <w:r>
        <w:t xml:space="preserve">Each contrast was estimated as the mean paired binary difference over matched pairs identical on model, wording frame, and all non-focal design factors, with pairs pooled at equal weight. Uncertainty was a 10,000-draw within-model percentile bootstrap (seed 48104). Testing used two-sided exact McNemar on discordant pairs, with Holm adjustment across the six-test family at familywise alpha .05. A contrast counted as confirmed only if the risk difference ran in the registered direction and the Holm-adjusted p was below .05. "unsure" codes made a pair incomplete for that outcome; two mandatory extreme recodings (all missing = 0, all missing = 1) were required as sensitivity analyses.</w:t>
      </w:r>
    </w:p>
    <w:p>
      <w:pPr>
        <w:pStyle w:val="Heading2"/>
        <w:spacing w:after="120" w:before="260"/>
      </w:pPr>
      <w:r>
        <w:t xml:space="preserve">2.4 Preregistration status, and what can and cannot be verified</w:t>
      </w:r>
    </w:p>
    <w:p>
      <w:pPr>
        <w:spacing w:after="120" w:before="0" w:line="260"/>
      </w:pPr>
      <w:r>
        <w:t xml:space="preserve">The authoritative preregistration is explicit that its epistemic boundary is outcome access rather than the start of collection, and that if substantive generation had begun the study must be described as having an outcome-blind plan finalized during collection, not as preregistered before data collection. The repository so describes it. The run manifests show the four collection runs beginning at 02:59, 03:38, 04:39 and 05:25 UTC on 11 September 2026 and finishing at 07:02 UTC; the repository records preregistration adoption in a separate signed commit whose HEAD does not appear as the HEAD of any collection run.</w:t>
      </w:r>
    </w:p>
    <w:p>
      <w:pPr>
        <w:spacing w:after="120" w:before="0" w:line="260"/>
      </w:pPr>
      <w:r>
        <w:t xml:space="preserve">We can verify content but not chronology. All thirteen source artifacts hashed in Section 16 of the preregistration (protocol, hypotheses, codebook, review plan, decisions, governance, factor file, prompt lock, model configuration, batch runner, budget preflight, packet builder, reviewer interface) match their recorded SHA-256 values byte-for-byte in the distributed repository, as does the preregistration against its own sidecar. That is a genuine and uncommon strength. However, the distributed artifact contains no Git history. The signed-commit adoption event, the ordering of adoption relative to collection, and the blindness attestation are therefore attested but not independently checkable from the artifact. Readers should treat the outcome-blind claim as a credible declaration supported by verifiable content freezing, not as a verified fact.</w:t>
      </w:r>
    </w:p>
    <w:p>
      <w:pPr>
        <w:spacing w:after="120" w:before="0" w:line="260"/>
      </w:pPr>
      <w:r>
        <w:t xml:space="preserve">Three of four collection manifests record a dirty working tree with the uncommitted diff not preserved. Prompt-lock digests are identical across all four runs and match the frozen value, which bounds the concern substantially: the prompts demonstrably did not differ. What cannot be reconstructed is the exact runner state.</w:t>
      </w:r>
    </w:p>
    <w:p>
      <w:pPr>
        <w:pStyle w:val="Heading2"/>
        <w:spacing w:after="120" w:before="260"/>
      </w:pPr>
      <w:r>
        <w:t xml:space="preserve">2.5 Tier 2 deep review and its status</w:t>
      </w:r>
    </w:p>
    <w:p>
      <w:pPr>
        <w:spacing w:after="120" w:before="0" w:line="260"/>
      </w:pPr>
      <w:r>
        <w:t xml:space="preserve">A fixed 108-record subset nested inside Tier 1, covering every prompt once with 27 records per system, was reserved for full-codebook review. Its procedure changed after outcome access. Sole-human deep coding was paused after 12 records when a temporary machine double-check showed 46.2% exact agreement (61/132) on the eleven interpretive dimensions against 90.2% (119/132) on the eleven atomic flags. The revised procedure obtained four independent machine coding passes — two Claude Opus 5 instances and two GPT-6 Astra instances, per the operator’s interface selections — followed by sole-human adjudication informed by the four proposals. A fifth Astra pass was preserved but excluded after the session disclosed that user-specific memory was already in its context.</w:t>
      </w:r>
    </w:p>
    <w:p>
      <w:pPr>
        <w:spacing w:after="120" w:before="0" w:line="260"/>
      </w:pPr>
      <w:r>
        <w:t xml:space="preserve">Three features of this arrangement bear on interpretation and are not adequately signalled by calling Tier 2 "construct-validating." Two of the four coding passes came from Claude Opus 5 and two from GPT-6 Astra — that is, two of the four systems under study coded a corpus containing their own outputs, without blinding to that fact and without any check on whether a system recognizes its own register. The coder identities are interface selections, not verified backend identities. And the human adjudicator was by this point unblinded and knew the Tier 1 results. Tier 2 therefore cannot function as independent validation, cannot estimate inter-human reliability, and cannot replicate anything. What it can do — and this is not a small thing — is reveal disagreement structure, and reveal where two coding instruments applied to the same text by the same person diverge.</w:t>
      </w:r>
    </w:p>
    <w:p>
      <w:pPr>
        <w:pStyle w:val="Heading2"/>
        <w:spacing w:after="120" w:before="260"/>
      </w:pPr>
      <w:r>
        <w:t xml:space="preserve">2.6 What this paper adds</w:t>
      </w:r>
    </w:p>
    <w:p>
      <w:pPr>
        <w:spacing w:after="120" w:before="0" w:line="260"/>
      </w:pPr>
      <w:r>
        <w:t xml:space="preserve">We compute five descriptive diagnostics from the frozen data. All are post-outcome. None alters a confirmatory label.</w:t>
      </w:r>
    </w:p>
    <w:p>
      <w:pPr>
        <w:pStyle w:val="ListParagraph"/>
        <w:numPr>
          <w:ilvl w:val="0"/>
          <w:numId w:val="3"/>
        </w:numPr>
        <w:spacing w:after="60" w:line="250"/>
      </w:pPr>
      <w:r>
        <w:t xml:space="preserve">Minimum attainable exact p-value per contrast, given the observed number of discordant matched pairs (Table 3).</w:t>
      </w:r>
    </w:p>
    <w:p>
      <w:pPr>
        <w:pStyle w:val="ListParagraph"/>
        <w:numPr>
          <w:ilvl w:val="0"/>
          <w:numId w:val="3"/>
        </w:numPr>
        <w:spacing w:after="60" w:line="250"/>
      </w:pPr>
      <w:r>
        <w:t xml:space="preserve">Cell-level rates of the primary outcomes by bid × frame, bid × system, and age × system, to expose heterogeneity and wording artifacts that panel averages absorb (Tables 4–6).</w:t>
      </w:r>
    </w:p>
    <w:p>
      <w:pPr>
        <w:pStyle w:val="ListParagraph"/>
        <w:numPr>
          <w:ilvl w:val="0"/>
          <w:numId w:val="3"/>
        </w:numPr>
        <w:spacing w:after="60" w:line="250"/>
      </w:pPr>
      <w:r>
        <w:t xml:space="preserve">A record-level crosswalk between the Tier 1 fields and the nested Tier 2 codes for the two constructs underlying H2 (Table 7).</w:t>
      </w:r>
    </w:p>
    <w:p>
      <w:pPr>
        <w:pStyle w:val="ListParagraph"/>
        <w:numPr>
          <w:ilvl w:val="0"/>
          <w:numId w:val="3"/>
        </w:numPr>
        <w:spacing w:after="60" w:line="250"/>
      </w:pPr>
      <w:r>
        <w:t xml:space="preserve">Field-wise unanimity across the four independent Tier 2 coding passes (Table 8, Figure 4).</w:t>
      </w:r>
    </w:p>
    <w:p>
      <w:pPr>
        <w:pStyle w:val="ListParagraph"/>
        <w:numPr>
          <w:ilvl w:val="0"/>
          <w:numId w:val="3"/>
        </w:numPr>
        <w:spacing w:after="60" w:line="250"/>
      </w:pPr>
      <w:r>
        <w:t xml:space="preserve">A truncation-stratified comparison within Claude Opus 5 (Section 4.3), reported as underpowered and inconclusive.</w:t>
      </w:r>
    </w:p>
    <w:p>
      <w:pPr>
        <w:pStyle w:val="Heading1"/>
        <w:spacing w:after="120" w:before="260"/>
      </w:pPr>
      <w:r>
        <w:t xml:space="preserve">3. Results</w:t>
      </w:r>
    </w:p>
    <w:p>
      <w:pPr>
        <w:pStyle w:val="Heading2"/>
        <w:spacing w:after="120" w:before="260"/>
      </w:pPr>
      <w:r>
        <w:t xml:space="preserve">3.1 Collection integrity and differential censoring</w:t>
      </w:r>
    </w:p>
    <w:p>
      <w:pPr>
        <w:spacing w:after="120" w:before="0" w:line="260"/>
      </w:pPr>
      <w:r>
        <w:t xml:space="preserve">All four runs completed the planned 432 requests. Three provider errors occurred in total. The integrity picture is nonetheless badly asymmetric, and the asymmetry is confined to one system.</w:t>
      </w:r>
    </w:p>
    <w:tbl>
      <w:tblPr>
        <w:tblW w:type="dxa" w:w="9360"/>
        <w:tblBorders>
          <w:top w:val="single" w:color="444444" w:sz="6"/>
          <w:left w:val="none"/>
          <w:bottom w:val="single" w:color="444444" w:sz="6"/>
          <w:right w:val="none"/>
          <w:insideH w:val="single" w:color="BBBBBB" w:sz="2"/>
          <w:insideV w:val="none"/>
        </w:tblBorders>
      </w:tblPr>
      <w:tblGrid>
        <w:gridCol w:w="2100"/>
        <w:gridCol w:w="800"/>
        <w:gridCol w:w="900"/>
        <w:gridCol w:w="800"/>
        <w:gridCol w:w="1150"/>
        <w:gridCol w:w="1400"/>
        <w:gridCol w:w="1100"/>
        <w:gridCol w:w="1110"/>
      </w:tblGrid>
      <w:tr>
        <w:trPr>
          <w:tblHeader/>
        </w:trPr>
        <w:tc>
          <w:tcPr>
            <w:tcW w:type="dxa" w:w="2100"/>
            <w:shd w:fill="EDEDED" w:color="auto" w:val="clear"/>
            <w:tcMar>
              <w:top w:type="dxa" w:w="60"/>
              <w:left w:type="dxa" w:w="90"/>
              <w:bottom w:type="dxa" w:w="60"/>
              <w:right w:type="dxa" w:w="90"/>
            </w:tcMar>
            <w:vAlign w:val="center"/>
          </w:tcPr>
          <w:p>
            <w:pPr>
              <w:spacing w:after="0" w:line="230"/>
              <w:jc w:val="left"/>
            </w:pPr>
            <w:r>
              <w:rPr>
                <w:b/>
                <w:bCs/>
                <w:sz w:val="17"/>
                <w:szCs w:val="17"/>
              </w:rPr>
              <w:t xml:space="preserve">Target system</w:t>
            </w:r>
          </w:p>
        </w:tc>
        <w:tc>
          <w:tcPr>
            <w:tcW w:type="dxa" w:w="800"/>
            <w:shd w:fill="EDEDED" w:color="auto" w:val="clear"/>
            <w:tcMar>
              <w:top w:type="dxa" w:w="60"/>
              <w:left w:type="dxa" w:w="90"/>
              <w:bottom w:type="dxa" w:w="60"/>
              <w:right w:type="dxa" w:w="90"/>
            </w:tcMar>
            <w:vAlign w:val="center"/>
          </w:tcPr>
          <w:p>
            <w:pPr>
              <w:spacing w:after="0" w:line="230"/>
              <w:jc w:val="right"/>
            </w:pPr>
            <w:r>
              <w:rPr>
                <w:b/>
                <w:bCs/>
                <w:sz w:val="17"/>
                <w:szCs w:val="17"/>
              </w:rPr>
              <w:t xml:space="preserve">Raw</w:t>
            </w:r>
          </w:p>
        </w:tc>
        <w:tc>
          <w:tcPr>
            <w:tcW w:type="dxa" w:w="900"/>
            <w:shd w:fill="EDEDED" w:color="auto" w:val="clear"/>
            <w:tcMar>
              <w:top w:type="dxa" w:w="60"/>
              <w:left w:type="dxa" w:w="90"/>
              <w:bottom w:type="dxa" w:w="60"/>
              <w:right w:type="dxa" w:w="90"/>
            </w:tcMar>
            <w:vAlign w:val="center"/>
          </w:tcPr>
          <w:p>
            <w:pPr>
              <w:spacing w:after="0" w:line="230"/>
              <w:jc w:val="right"/>
            </w:pPr>
            <w:r>
              <w:rPr>
                <w:b/>
                <w:bCs/>
                <w:sz w:val="17"/>
                <w:szCs w:val="17"/>
              </w:rPr>
              <w:t xml:space="preserve">Success</w:t>
            </w:r>
          </w:p>
        </w:tc>
        <w:tc>
          <w:tcPr>
            <w:tcW w:type="dxa" w:w="800"/>
            <w:shd w:fill="EDEDED" w:color="auto" w:val="clear"/>
            <w:tcMar>
              <w:top w:type="dxa" w:w="60"/>
              <w:left w:type="dxa" w:w="90"/>
              <w:bottom w:type="dxa" w:w="60"/>
              <w:right w:type="dxa" w:w="90"/>
            </w:tcMar>
            <w:vAlign w:val="center"/>
          </w:tcPr>
          <w:p>
            <w:pPr>
              <w:spacing w:after="0" w:line="230"/>
              <w:jc w:val="right"/>
            </w:pPr>
            <w:r>
              <w:rPr>
                <w:b/>
                <w:bCs/>
                <w:sz w:val="17"/>
                <w:szCs w:val="17"/>
              </w:rPr>
              <w:t xml:space="preserve">Error</w:t>
            </w:r>
          </w:p>
        </w:tc>
        <w:tc>
          <w:tcPr>
            <w:tcW w:type="dxa" w:w="1150"/>
            <w:shd w:fill="EDEDED" w:color="auto" w:val="clear"/>
            <w:tcMar>
              <w:top w:type="dxa" w:w="60"/>
              <w:left w:type="dxa" w:w="90"/>
              <w:bottom w:type="dxa" w:w="60"/>
              <w:right w:type="dxa" w:w="90"/>
            </w:tcMar>
            <w:vAlign w:val="center"/>
          </w:tcPr>
          <w:p>
            <w:pPr>
              <w:spacing w:after="0" w:line="230"/>
              <w:jc w:val="right"/>
            </w:pPr>
            <w:r>
              <w:rPr>
                <w:b/>
                <w:bCs/>
                <w:sz w:val="17"/>
                <w:szCs w:val="17"/>
              </w:rPr>
              <w:t xml:space="preserve">Empty visible success</w:t>
            </w:r>
          </w:p>
        </w:tc>
        <w:tc>
          <w:tcPr>
            <w:tcW w:type="dxa" w:w="1400"/>
            <w:shd w:fill="EDEDED" w:color="auto" w:val="clear"/>
            <w:tcMar>
              <w:top w:type="dxa" w:w="60"/>
              <w:left w:type="dxa" w:w="90"/>
              <w:bottom w:type="dxa" w:w="60"/>
              <w:right w:type="dxa" w:w="90"/>
            </w:tcMar>
            <w:vAlign w:val="center"/>
          </w:tcPr>
          <w:p>
            <w:pPr>
              <w:spacing w:after="0" w:line="230"/>
              <w:jc w:val="right"/>
            </w:pPr>
            <w:r>
              <w:rPr>
                <w:b/>
                <w:bCs/>
                <w:sz w:val="17"/>
                <w:szCs w:val="17"/>
              </w:rPr>
              <w:t xml:space="preserve">Max-token / incomplete success</w:t>
            </w:r>
          </w:p>
        </w:tc>
        <w:tc>
          <w:tcPr>
            <w:tcW w:type="dxa" w:w="1100"/>
            <w:shd w:fill="EDEDED" w:color="auto" w:val="clear"/>
            <w:tcMar>
              <w:top w:type="dxa" w:w="60"/>
              <w:left w:type="dxa" w:w="90"/>
              <w:bottom w:type="dxa" w:w="60"/>
              <w:right w:type="dxa" w:w="90"/>
            </w:tcMar>
            <w:vAlign w:val="center"/>
          </w:tcPr>
          <w:p>
            <w:pPr>
              <w:spacing w:after="0" w:line="230"/>
              <w:jc w:val="right"/>
            </w:pPr>
            <w:r>
              <w:rPr>
                <w:b/>
                <w:bCs/>
                <w:sz w:val="17"/>
                <w:szCs w:val="17"/>
              </w:rPr>
              <w:t xml:space="preserve">Selected empty (of 108)</w:t>
            </w:r>
          </w:p>
        </w:tc>
        <w:tc>
          <w:tcPr>
            <w:tcW w:type="dxa" w:w="1110"/>
            <w:shd w:fill="EDEDED" w:color="auto" w:val="clear"/>
            <w:tcMar>
              <w:top w:type="dxa" w:w="60"/>
              <w:left w:type="dxa" w:w="90"/>
              <w:bottom w:type="dxa" w:w="60"/>
              <w:right w:type="dxa" w:w="90"/>
            </w:tcMar>
            <w:vAlign w:val="center"/>
          </w:tcPr>
          <w:p>
            <w:pPr>
              <w:spacing w:after="0" w:line="230"/>
              <w:jc w:val="right"/>
            </w:pPr>
            <w:r>
              <w:rPr>
                <w:b/>
                <w:bCs/>
                <w:sz w:val="17"/>
                <w:szCs w:val="17"/>
              </w:rPr>
              <w:t xml:space="preserve">Selected truncated (of 108)</w:t>
            </w:r>
          </w:p>
        </w:tc>
      </w:tr>
      <w:tr>
        <w:tc>
          <w:tcPr>
            <w:tcW w:type="dxa" w:w="2100"/>
            <w:tcMar>
              <w:top w:type="dxa" w:w="60"/>
              <w:left w:type="dxa" w:w="90"/>
              <w:bottom w:type="dxa" w:w="60"/>
              <w:right w:type="dxa" w:w="90"/>
            </w:tcMar>
            <w:vAlign w:val="center"/>
          </w:tcPr>
          <w:p>
            <w:pPr>
              <w:spacing w:after="0" w:line="230"/>
              <w:jc w:val="left"/>
            </w:pPr>
            <w:r>
              <w:rPr>
                <w:b w:val="false"/>
                <w:bCs w:val="false"/>
                <w:sz w:val="17"/>
                <w:szCs w:val="17"/>
              </w:rPr>
              <w:t xml:space="preserve">GPT-5.4</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9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15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1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110"/>
            <w:tcMar>
              <w:top w:type="dxa" w:w="60"/>
              <w:left w:type="dxa" w:w="90"/>
              <w:bottom w:type="dxa" w:w="60"/>
              <w:right w:type="dxa" w:w="90"/>
            </w:tcMar>
            <w:vAlign w:val="center"/>
          </w:tcPr>
          <w:p>
            <w:pPr>
              <w:spacing w:after="0" w:line="230"/>
              <w:jc w:val="right"/>
            </w:pPr>
            <w:r>
              <w:rPr>
                <w:b w:val="false"/>
                <w:bCs w:val="false"/>
                <w:sz w:val="17"/>
                <w:szCs w:val="17"/>
              </w:rPr>
              <w:t xml:space="preserve">0</w:t>
            </w:r>
          </w:p>
        </w:tc>
      </w:tr>
      <w:tr>
        <w:tc>
          <w:tcPr>
            <w:tcW w:type="dxa" w:w="2100"/>
            <w:tcMar>
              <w:top w:type="dxa" w:w="60"/>
              <w:left w:type="dxa" w:w="90"/>
              <w:bottom w:type="dxa" w:w="60"/>
              <w:right w:type="dxa" w:w="90"/>
            </w:tcMar>
            <w:vAlign w:val="center"/>
          </w:tcPr>
          <w:p>
            <w:pPr>
              <w:spacing w:after="0" w:line="230"/>
              <w:jc w:val="left"/>
            </w:pPr>
            <w:r>
              <w:rPr>
                <w:b w:val="false"/>
                <w:bCs w:val="false"/>
                <w:sz w:val="17"/>
                <w:szCs w:val="17"/>
              </w:rPr>
              <w:t xml:space="preserve">GPT-6 Astra</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9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15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1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110"/>
            <w:tcMar>
              <w:top w:type="dxa" w:w="60"/>
              <w:left w:type="dxa" w:w="90"/>
              <w:bottom w:type="dxa" w:w="60"/>
              <w:right w:type="dxa" w:w="90"/>
            </w:tcMar>
            <w:vAlign w:val="center"/>
          </w:tcPr>
          <w:p>
            <w:pPr>
              <w:spacing w:after="0" w:line="230"/>
              <w:jc w:val="right"/>
            </w:pPr>
            <w:r>
              <w:rPr>
                <w:b w:val="false"/>
                <w:bCs w:val="false"/>
                <w:sz w:val="17"/>
                <w:szCs w:val="17"/>
              </w:rPr>
              <w:t xml:space="preserve">0</w:t>
            </w:r>
          </w:p>
        </w:tc>
      </w:tr>
      <w:tr>
        <w:tc>
          <w:tcPr>
            <w:tcW w:type="dxa" w:w="2100"/>
            <w:tcMar>
              <w:top w:type="dxa" w:w="60"/>
              <w:left w:type="dxa" w:w="90"/>
              <w:bottom w:type="dxa" w:w="60"/>
              <w:right w:type="dxa" w:w="90"/>
            </w:tcMar>
            <w:vAlign w:val="center"/>
          </w:tcPr>
          <w:p>
            <w:pPr>
              <w:spacing w:after="0" w:line="230"/>
              <w:jc w:val="left"/>
            </w:pPr>
            <w:r>
              <w:rPr>
                <w:b w:val="false"/>
                <w:bCs w:val="false"/>
                <w:sz w:val="17"/>
                <w:szCs w:val="17"/>
              </w:rPr>
              <w:t xml:space="preserve">Claude Sonnet 5</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900"/>
            <w:tcMar>
              <w:top w:type="dxa" w:w="60"/>
              <w:left w:type="dxa" w:w="90"/>
              <w:bottom w:type="dxa" w:w="60"/>
              <w:right w:type="dxa" w:w="90"/>
            </w:tcMar>
            <w:vAlign w:val="center"/>
          </w:tcPr>
          <w:p>
            <w:pPr>
              <w:spacing w:after="0" w:line="230"/>
              <w:jc w:val="right"/>
            </w:pPr>
            <w:r>
              <w:rPr>
                <w:b w:val="false"/>
                <w:bCs w:val="false"/>
                <w:sz w:val="17"/>
                <w:szCs w:val="17"/>
              </w:rPr>
              <w:t xml:space="preserve">431</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1</w:t>
            </w:r>
          </w:p>
        </w:tc>
        <w:tc>
          <w:tcPr>
            <w:tcW w:type="dxa" w:w="115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1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110"/>
            <w:tcMar>
              <w:top w:type="dxa" w:w="60"/>
              <w:left w:type="dxa" w:w="90"/>
              <w:bottom w:type="dxa" w:w="60"/>
              <w:right w:type="dxa" w:w="90"/>
            </w:tcMar>
            <w:vAlign w:val="center"/>
          </w:tcPr>
          <w:p>
            <w:pPr>
              <w:spacing w:after="0" w:line="230"/>
              <w:jc w:val="right"/>
            </w:pPr>
            <w:r>
              <w:rPr>
                <w:b w:val="false"/>
                <w:bCs w:val="false"/>
                <w:sz w:val="17"/>
                <w:szCs w:val="17"/>
              </w:rPr>
              <w:t xml:space="preserve">0</w:t>
            </w:r>
          </w:p>
        </w:tc>
      </w:tr>
      <w:tr>
        <w:tc>
          <w:tcPr>
            <w:tcW w:type="dxa" w:w="2100"/>
            <w:tcMar>
              <w:top w:type="dxa" w:w="60"/>
              <w:left w:type="dxa" w:w="90"/>
              <w:bottom w:type="dxa" w:w="60"/>
              <w:right w:type="dxa" w:w="90"/>
            </w:tcMar>
            <w:vAlign w:val="center"/>
          </w:tcPr>
          <w:p>
            <w:pPr>
              <w:spacing w:after="0" w:line="230"/>
              <w:jc w:val="left"/>
            </w:pPr>
            <w:r>
              <w:rPr>
                <w:b w:val="false"/>
                <w:bCs w:val="false"/>
                <w:sz w:val="17"/>
                <w:szCs w:val="17"/>
              </w:rPr>
              <w:t xml:space="preserve">Claude Opus 5</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900"/>
            <w:tcMar>
              <w:top w:type="dxa" w:w="60"/>
              <w:left w:type="dxa" w:w="90"/>
              <w:bottom w:type="dxa" w:w="60"/>
              <w:right w:type="dxa" w:w="90"/>
            </w:tcMar>
            <w:vAlign w:val="center"/>
          </w:tcPr>
          <w:p>
            <w:pPr>
              <w:spacing w:after="0" w:line="230"/>
              <w:jc w:val="right"/>
            </w:pPr>
            <w:r>
              <w:rPr>
                <w:b w:val="false"/>
                <w:bCs w:val="false"/>
                <w:sz w:val="17"/>
                <w:szCs w:val="17"/>
              </w:rPr>
              <w:t xml:space="preserve">430</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2</w:t>
            </w:r>
          </w:p>
        </w:tc>
        <w:tc>
          <w:tcPr>
            <w:tcW w:type="dxa" w:w="1150"/>
            <w:tcMar>
              <w:top w:type="dxa" w:w="60"/>
              <w:left w:type="dxa" w:w="90"/>
              <w:bottom w:type="dxa" w:w="60"/>
              <w:right w:type="dxa" w:w="90"/>
            </w:tcMar>
            <w:vAlign w:val="center"/>
          </w:tcPr>
          <w:p>
            <w:pPr>
              <w:spacing w:after="0" w:line="230"/>
              <w:jc w:val="right"/>
            </w:pPr>
            <w:r>
              <w:rPr>
                <w:b w:val="false"/>
                <w:bCs w:val="false"/>
                <w:sz w:val="17"/>
                <w:szCs w:val="17"/>
              </w:rPr>
              <w:t xml:space="preserve">31</w:t>
            </w:r>
          </w:p>
        </w:tc>
        <w:tc>
          <w:tcPr>
            <w:tcW w:type="dxa" w:w="1400"/>
            <w:tcMar>
              <w:top w:type="dxa" w:w="60"/>
              <w:left w:type="dxa" w:w="90"/>
              <w:bottom w:type="dxa" w:w="60"/>
              <w:right w:type="dxa" w:w="90"/>
            </w:tcMar>
            <w:vAlign w:val="center"/>
          </w:tcPr>
          <w:p>
            <w:pPr>
              <w:spacing w:after="0" w:line="230"/>
              <w:jc w:val="right"/>
            </w:pPr>
            <w:r>
              <w:rPr>
                <w:b/>
                <w:bCs/>
                <w:sz w:val="17"/>
                <w:szCs w:val="17"/>
              </w:rPr>
              <w:t xml:space="preserve">299</w:t>
            </w:r>
          </w:p>
        </w:tc>
        <w:tc>
          <w:tcPr>
            <w:tcW w:type="dxa" w:w="1100"/>
            <w:tcMar>
              <w:top w:type="dxa" w:w="60"/>
              <w:left w:type="dxa" w:w="90"/>
              <w:bottom w:type="dxa" w:w="60"/>
              <w:right w:type="dxa" w:w="90"/>
            </w:tcMar>
            <w:vAlign w:val="center"/>
          </w:tcPr>
          <w:p>
            <w:pPr>
              <w:spacing w:after="0" w:line="230"/>
              <w:jc w:val="right"/>
            </w:pPr>
            <w:r>
              <w:rPr>
                <w:b w:val="false"/>
                <w:bCs w:val="false"/>
                <w:sz w:val="17"/>
                <w:szCs w:val="17"/>
              </w:rPr>
              <w:t xml:space="preserve">7</w:t>
            </w:r>
          </w:p>
        </w:tc>
        <w:tc>
          <w:tcPr>
            <w:tcW w:type="dxa" w:w="1110"/>
            <w:tcMar>
              <w:top w:type="dxa" w:w="60"/>
              <w:left w:type="dxa" w:w="90"/>
              <w:bottom w:type="dxa" w:w="60"/>
              <w:right w:type="dxa" w:w="90"/>
            </w:tcMar>
            <w:vAlign w:val="center"/>
          </w:tcPr>
          <w:p>
            <w:pPr>
              <w:spacing w:after="0" w:line="230"/>
              <w:jc w:val="right"/>
            </w:pPr>
            <w:r>
              <w:rPr>
                <w:b/>
                <w:bCs/>
                <w:sz w:val="17"/>
                <w:szCs w:val="17"/>
              </w:rPr>
              <w:t xml:space="preserve">76</w:t>
            </w:r>
          </w:p>
        </w:tc>
      </w:tr>
    </w:tbl>
    <w:p>
      <w:pPr>
        <w:spacing w:after="200" w:before="60"/>
      </w:pPr>
      <w:r>
        <w:rPr>
          <w:i w:val="false"/>
          <w:iCs w:val="false"/>
          <w:sz w:val="17"/>
          <w:szCs w:val="17"/>
        </w:rPr>
        <w:t xml:space="preserve">Table 1. Collection integrity by target system. "Selected" columns describe the 108 records each system contributed to the frozen 432-record Tier 1 sample. Of the 76 selected truncated Opus records, 69 contained non-empty visible text.</w:t>
      </w:r>
    </w:p>
    <w:p>
      <w:pPr>
        <w:spacing w:after="120" w:before="0" w:line="260"/>
      </w:pPr>
      <w:r>
        <w:t xml:space="preserve">Claude Opus 5 hit the 800-token ceiling in 299 of 432 source records (69%) and returned empty visible text in 31. The mechanism is visible in the raw records: Opus emits a reasoning block that consumes the shared 800-token budget, so visible prose is cut mid-sentence. In the first record of the run the response terminates at "I can talk" — precisely where an availability or referral clause would have followed. Seventy-six of the 108 Opus records selected into the Tier 1 sample were truncated and seven were empty; one Opus prompt cell had four provider successes and no non-empty visible response at all.</w:t>
      </w:r>
    </w:p>
    <w:p>
      <w:pPr>
        <w:spacing w:after="120" w:before="0" w:line="260"/>
      </w:pPr>
      <w:r>
        <w:t xml:space="preserve">This is not merely a completeness footnote. Continuity offers, return invitations, and human-support referrals characteristically terminate a supportive response. Truncation therefore censors the outcome distribution non-randomly, in one system, on exactly the outcomes whose observed rates are near zero. Every Opus-specific absence coding in this study means "not observed in text emitted under an 800-token ceiling shared with reasoning tokens," and no analysis in the repository can distinguish that from "not produced."</w:t>
      </w:r>
    </w:p>
    <w:p>
      <w:pPr>
        <w:spacing w:after="120" w:before="0" w:line="260"/>
      </w:pPr>
      <w:r>
        <w:t xml:space="preserve">The empty-response issue is also a live protocol ambiguity, disclosed in the repository’s deviation register. The preregistration retains provider-level successes regardless of content, makes empty provider responses retry-eligible, and requires every model × prompt cell to have at least one successful response. The packet builder implemented success as provider status alone. The investigator’s disposition — preserve the frozen packet rather than regenerate it after outcome access — is the right one, because post-outcome re-selection would be worse. But the consequence stands: for at least one cell, the study’s completeness claim rests on a definition of "successful response" that admits records containing no text.</w:t>
      </w:r>
    </w:p>
    <w:p>
      <w:pPr>
        <w:pStyle w:val="Heading2"/>
        <w:spacing w:after="120" w:before="260"/>
      </w:pPr>
      <w:r>
        <w:t xml:space="preserve">3.2 Coding completeness</w:t>
      </w:r>
    </w:p>
    <w:p>
      <w:pPr>
        <w:spacing w:after="120" w:before="0" w:line="260"/>
      </w:pPr>
      <w:r>
        <w:t xml:space="preserve">Missing codes ("unsure") ran from 4.4% to 9.0% across fields, costing between 8% and 18% of nominal matched pairs per contrast. Both mandatory extreme recodings preserved the direction and significance of every confirmed contrast, so the confirmed results are not artifacts of missingness. The missing codes concentrate where one would expect: the seven empty selected responses were coded unsure on all six substantive fields.</w:t>
      </w:r>
    </w:p>
    <w:tbl>
      <w:tblPr>
        <w:tblW w:type="dxa" w:w="8900"/>
        <w:tblBorders>
          <w:top w:val="single" w:color="444444" w:sz="6"/>
          <w:left w:val="none"/>
          <w:bottom w:val="single" w:color="444444" w:sz="6"/>
          <w:right w:val="none"/>
          <w:insideH w:val="single" w:color="BBBBBB" w:sz="2"/>
          <w:insideV w:val="none"/>
        </w:tblBorders>
      </w:tblPr>
      <w:tblGrid>
        <w:gridCol w:w="2400"/>
        <w:gridCol w:w="1500"/>
        <w:gridCol w:w="1600"/>
        <w:gridCol w:w="1500"/>
        <w:gridCol w:w="1900"/>
      </w:tblGrid>
      <w:tr>
        <w:trPr>
          <w:tblHeader/>
        </w:trPr>
        <w:tc>
          <w:tcPr>
            <w:tcW w:type="dxa" w:w="2400"/>
            <w:shd w:fill="EDEDED" w:color="auto" w:val="clear"/>
            <w:tcMar>
              <w:top w:type="dxa" w:w="60"/>
              <w:left w:type="dxa" w:w="90"/>
              <w:bottom w:type="dxa" w:w="60"/>
              <w:right w:type="dxa" w:w="90"/>
            </w:tcMar>
            <w:vAlign w:val="center"/>
          </w:tcPr>
          <w:p>
            <w:pPr>
              <w:spacing w:after="0" w:line="230"/>
              <w:jc w:val="left"/>
            </w:pPr>
            <w:r>
              <w:rPr>
                <w:b/>
                <w:bCs/>
                <w:sz w:val="17"/>
                <w:szCs w:val="17"/>
              </w:rPr>
              <w:t xml:space="preserve">Tier 1 field</w:t>
            </w:r>
          </w:p>
        </w:tc>
        <w:tc>
          <w:tcPr>
            <w:tcW w:type="dxa" w:w="1500"/>
            <w:shd w:fill="EDEDED" w:color="auto" w:val="clear"/>
            <w:tcMar>
              <w:top w:type="dxa" w:w="60"/>
              <w:left w:type="dxa" w:w="90"/>
              <w:bottom w:type="dxa" w:w="60"/>
              <w:right w:type="dxa" w:w="90"/>
            </w:tcMar>
            <w:vAlign w:val="center"/>
          </w:tcPr>
          <w:p>
            <w:pPr>
              <w:spacing w:after="0" w:line="230"/>
              <w:jc w:val="right"/>
            </w:pPr>
            <w:r>
              <w:rPr>
                <w:b/>
                <w:bCs/>
                <w:sz w:val="17"/>
                <w:szCs w:val="17"/>
              </w:rPr>
              <w:t xml:space="preserve">Applicable n</w:t>
            </w:r>
          </w:p>
        </w:tc>
        <w:tc>
          <w:tcPr>
            <w:tcW w:type="dxa" w:w="1600"/>
            <w:shd w:fill="EDEDED" w:color="auto" w:val="clear"/>
            <w:tcMar>
              <w:top w:type="dxa" w:w="60"/>
              <w:left w:type="dxa" w:w="90"/>
              <w:bottom w:type="dxa" w:w="60"/>
              <w:right w:type="dxa" w:w="90"/>
            </w:tcMar>
            <w:vAlign w:val="center"/>
          </w:tcPr>
          <w:p>
            <w:pPr>
              <w:spacing w:after="0" w:line="230"/>
              <w:jc w:val="right"/>
            </w:pPr>
            <w:r>
              <w:rPr>
                <w:b/>
                <w:bCs/>
                <w:sz w:val="17"/>
                <w:szCs w:val="17"/>
              </w:rPr>
              <w:t xml:space="preserve">Missing / unsure</w:t>
            </w:r>
          </w:p>
        </w:tc>
        <w:tc>
          <w:tcPr>
            <w:tcW w:type="dxa" w:w="1500"/>
            <w:shd w:fill="EDEDED" w:color="auto" w:val="clear"/>
            <w:tcMar>
              <w:top w:type="dxa" w:w="60"/>
              <w:left w:type="dxa" w:w="90"/>
              <w:bottom w:type="dxa" w:w="60"/>
              <w:right w:type="dxa" w:w="90"/>
            </w:tcMar>
            <w:vAlign w:val="center"/>
          </w:tcPr>
          <w:p>
            <w:pPr>
              <w:spacing w:after="0" w:line="230"/>
              <w:jc w:val="right"/>
            </w:pPr>
            <w:r>
              <w:rPr>
                <w:b/>
                <w:bCs/>
                <w:sz w:val="17"/>
                <w:szCs w:val="17"/>
              </w:rPr>
              <w:t xml:space="preserve">Percent</w:t>
            </w:r>
          </w:p>
        </w:tc>
        <w:tc>
          <w:tcPr>
            <w:tcW w:type="dxa" w:w="1900"/>
            <w:shd w:fill="EDEDED" w:color="auto" w:val="clear"/>
            <w:tcMar>
              <w:top w:type="dxa" w:w="60"/>
              <w:left w:type="dxa" w:w="90"/>
              <w:bottom w:type="dxa" w:w="60"/>
              <w:right w:type="dxa" w:w="90"/>
            </w:tcMar>
            <w:vAlign w:val="center"/>
          </w:tcPr>
          <w:p>
            <w:pPr>
              <w:spacing w:after="0" w:line="230"/>
              <w:jc w:val="right"/>
            </w:pPr>
            <w:r>
              <w:rPr>
                <w:b/>
                <w:bCs/>
                <w:sz w:val="17"/>
                <w:szCs w:val="17"/>
              </w:rPr>
              <w:t xml:space="preserve">Positive rate (non-missing)</w:t>
            </w:r>
          </w:p>
        </w:tc>
      </w:tr>
      <w:tr>
        <w:tc>
          <w:tcPr>
            <w:tcW w:type="dxa" w:w="2400"/>
            <w:tcMar>
              <w:top w:type="dxa" w:w="60"/>
              <w:left w:type="dxa" w:w="90"/>
              <w:bottom w:type="dxa" w:w="60"/>
              <w:right w:type="dxa" w:w="90"/>
            </w:tcMar>
            <w:vAlign w:val="center"/>
          </w:tcPr>
          <w:p>
            <w:pPr>
              <w:spacing w:after="0" w:line="230"/>
              <w:jc w:val="left"/>
            </w:pPr>
            <w:r>
              <w:rPr>
                <w:b w:val="false"/>
                <w:bCs w:val="false"/>
                <w:sz w:val="17"/>
                <w:szCs w:val="17"/>
              </w:rPr>
              <w:t xml:space="preserve">care_claim</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26</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6.0%</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52.2%</w:t>
            </w:r>
          </w:p>
        </w:tc>
      </w:tr>
      <w:tr>
        <w:tc>
          <w:tcPr>
            <w:tcW w:type="dxa" w:w="2400"/>
            <w:tcMar>
              <w:top w:type="dxa" w:w="60"/>
              <w:left w:type="dxa" w:w="90"/>
              <w:bottom w:type="dxa" w:w="60"/>
              <w:right w:type="dxa" w:w="90"/>
            </w:tcMar>
            <w:vAlign w:val="center"/>
          </w:tcPr>
          <w:p>
            <w:pPr>
              <w:spacing w:after="0" w:line="230"/>
              <w:jc w:val="left"/>
            </w:pPr>
            <w:r>
              <w:rPr>
                <w:b w:val="false"/>
                <w:bCs w:val="false"/>
                <w:sz w:val="17"/>
                <w:szCs w:val="17"/>
              </w:rPr>
              <w:t xml:space="preserve">care_qualified (if care)</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212</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9</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4.2%</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61.6% qualified</w:t>
            </w:r>
          </w:p>
        </w:tc>
      </w:tr>
      <w:tr>
        <w:tc>
          <w:tcPr>
            <w:tcW w:type="dxa" w:w="2400"/>
            <w:tcMar>
              <w:top w:type="dxa" w:w="60"/>
              <w:left w:type="dxa" w:w="90"/>
              <w:bottom w:type="dxa" w:w="60"/>
              <w:right w:type="dxa" w:w="90"/>
            </w:tcMar>
            <w:vAlign w:val="center"/>
          </w:tcPr>
          <w:p>
            <w:pPr>
              <w:spacing w:after="0" w:line="230"/>
              <w:jc w:val="left"/>
            </w:pPr>
            <w:r>
              <w:rPr>
                <w:b w:val="false"/>
                <w:bCs w:val="false"/>
                <w:sz w:val="17"/>
                <w:szCs w:val="17"/>
              </w:rPr>
              <w:t xml:space="preserve">personal_relationship</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39</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9.0%</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0.5%</w:t>
            </w:r>
          </w:p>
        </w:tc>
      </w:tr>
      <w:tr>
        <w:tc>
          <w:tcPr>
            <w:tcW w:type="dxa" w:w="2400"/>
            <w:tcMar>
              <w:top w:type="dxa" w:w="60"/>
              <w:left w:type="dxa" w:w="90"/>
              <w:bottom w:type="dxa" w:w="60"/>
              <w:right w:type="dxa" w:w="90"/>
            </w:tcMar>
            <w:vAlign w:val="center"/>
          </w:tcPr>
          <w:p>
            <w:pPr>
              <w:spacing w:after="0" w:line="230"/>
              <w:jc w:val="left"/>
            </w:pPr>
            <w:r>
              <w:rPr>
                <w:b w:val="false"/>
                <w:bCs w:val="false"/>
                <w:sz w:val="17"/>
                <w:szCs w:val="17"/>
              </w:rPr>
              <w:t xml:space="preserve">future_availability</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19</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4.4%</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0.5%</w:t>
            </w:r>
          </w:p>
        </w:tc>
      </w:tr>
      <w:tr>
        <w:tc>
          <w:tcPr>
            <w:tcW w:type="dxa" w:w="2400"/>
            <w:tcMar>
              <w:top w:type="dxa" w:w="60"/>
              <w:left w:type="dxa" w:w="90"/>
              <w:bottom w:type="dxa" w:w="60"/>
              <w:right w:type="dxa" w:w="90"/>
            </w:tcMar>
            <w:vAlign w:val="center"/>
          </w:tcPr>
          <w:p>
            <w:pPr>
              <w:spacing w:after="0" w:line="230"/>
              <w:jc w:val="left"/>
            </w:pPr>
            <w:r>
              <w:rPr>
                <w:b w:val="false"/>
                <w:bCs w:val="false"/>
                <w:sz w:val="17"/>
                <w:szCs w:val="17"/>
              </w:rPr>
              <w:t xml:space="preserve">self_privileging</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29</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6.7%</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2.2%</w:t>
            </w:r>
          </w:p>
        </w:tc>
      </w:tr>
      <w:tr>
        <w:tc>
          <w:tcPr>
            <w:tcW w:type="dxa" w:w="2400"/>
            <w:tcMar>
              <w:top w:type="dxa" w:w="60"/>
              <w:left w:type="dxa" w:w="90"/>
              <w:bottom w:type="dxa" w:w="60"/>
              <w:right w:type="dxa" w:w="90"/>
            </w:tcMar>
            <w:vAlign w:val="center"/>
          </w:tcPr>
          <w:p>
            <w:pPr>
              <w:spacing w:after="0" w:line="230"/>
              <w:jc w:val="left"/>
            </w:pPr>
            <w:r>
              <w:rPr>
                <w:b w:val="false"/>
                <w:bCs w:val="false"/>
                <w:sz w:val="17"/>
                <w:szCs w:val="17"/>
              </w:rPr>
              <w:t xml:space="preserve">human_bridge</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32</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7.4%</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59.5%</w:t>
            </w:r>
          </w:p>
        </w:tc>
      </w:tr>
      <w:tr>
        <w:tc>
          <w:tcPr>
            <w:tcW w:type="dxa" w:w="2400"/>
            <w:tcMar>
              <w:top w:type="dxa" w:w="60"/>
              <w:left w:type="dxa" w:w="90"/>
              <w:bottom w:type="dxa" w:w="60"/>
              <w:right w:type="dxa" w:w="90"/>
            </w:tcMar>
            <w:vAlign w:val="center"/>
          </w:tcPr>
          <w:p>
            <w:pPr>
              <w:spacing w:after="0" w:line="230"/>
              <w:jc w:val="left"/>
            </w:pPr>
            <w:r>
              <w:rPr>
                <w:b w:val="false"/>
                <w:bCs w:val="false"/>
                <w:sz w:val="17"/>
                <w:szCs w:val="17"/>
              </w:rPr>
              <w:t xml:space="preserve">relational_correction</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432</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26</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6.0%</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45.1%</w:t>
            </w:r>
          </w:p>
        </w:tc>
      </w:tr>
    </w:tbl>
    <w:p>
      <w:pPr>
        <w:spacing w:after="200" w:before="60"/>
      </w:pPr>
      <w:r>
        <w:rPr>
          <w:i w:val="false"/>
          <w:iCs w:val="false"/>
          <w:sz w:val="17"/>
          <w:szCs w:val="17"/>
        </w:rPr>
        <w:t xml:space="preserve">Table 2. Tier 1 field completeness and positive rates. Two fields — personal_relationship and future_availability — have positive rates below 1%, which drives the result in Section 3.3.</w:t>
      </w:r>
    </w:p>
    <w:p>
      <w:pPr>
        <w:pStyle w:val="Heading2"/>
        <w:spacing w:after="120" w:before="260"/>
      </w:pPr>
      <w:r>
        <w:t xml:space="preserve">3.3 The six contrasts, and what each could have shown</w:t>
      </w:r>
    </w:p>
    <w:p>
      <w:pPr>
        <w:spacing w:after="120" w:before="0" w:line="260"/>
      </w:pPr>
      <w:r>
        <w:t xml:space="preserve">Table 3 reproduces the frozen confirmatory results and adds two columns the original analysis did not report: the number of discordant matched pairs, which is the entire information content of an exact McNemar test, and the minimum two-sided p-value attainable given that number. For d discordant pairs, the smallest possible two-sided exact p is 2^(1−d). Confirmation at raw alpha .05 therefore requires at least six discordant pairs; at the most stringent Holm rank (.05/6), at least eight.</w:t>
      </w:r>
    </w:p>
    <w:tbl>
      <w:tblPr>
        <w:tblW w:type="dxa" w:w="9360"/>
        <w:tblBorders>
          <w:top w:val="single" w:color="444444" w:sz="6"/>
          <w:left w:val="none"/>
          <w:bottom w:val="single" w:color="444444" w:sz="6"/>
          <w:right w:val="none"/>
          <w:insideH w:val="single" w:color="BBBBBB" w:sz="2"/>
          <w:insideV w:val="none"/>
        </w:tblBorders>
      </w:tblPr>
      <w:tblGrid>
        <w:gridCol w:w="700"/>
        <w:gridCol w:w="1500"/>
        <w:gridCol w:w="1500"/>
        <w:gridCol w:w="800"/>
        <w:gridCol w:w="800"/>
        <w:gridCol w:w="1050"/>
        <w:gridCol w:w="1050"/>
        <w:gridCol w:w="1060"/>
        <w:gridCol w:w="900"/>
      </w:tblGrid>
      <w:tr>
        <w:trPr>
          <w:tblHeader/>
        </w:trPr>
        <w:tc>
          <w:tcPr>
            <w:tcW w:type="dxa" w:w="700"/>
            <w:shd w:fill="EDEDED" w:color="auto" w:val="clear"/>
            <w:tcMar>
              <w:top w:type="dxa" w:w="60"/>
              <w:left w:type="dxa" w:w="90"/>
              <w:bottom w:type="dxa" w:w="60"/>
              <w:right w:type="dxa" w:w="90"/>
            </w:tcMar>
            <w:vAlign w:val="center"/>
          </w:tcPr>
          <w:p>
            <w:pPr>
              <w:spacing w:after="0" w:line="230"/>
              <w:jc w:val="left"/>
            </w:pPr>
            <w:r>
              <w:rPr>
                <w:b/>
                <w:bCs/>
                <w:sz w:val="17"/>
                <w:szCs w:val="17"/>
              </w:rPr>
              <w:t xml:space="preserve"/>
            </w:r>
          </w:p>
        </w:tc>
        <w:tc>
          <w:tcPr>
            <w:tcW w:type="dxa" w:w="1500"/>
            <w:shd w:fill="EDEDED" w:color="auto" w:val="clear"/>
            <w:tcMar>
              <w:top w:type="dxa" w:w="60"/>
              <w:left w:type="dxa" w:w="90"/>
              <w:bottom w:type="dxa" w:w="60"/>
              <w:right w:type="dxa" w:w="90"/>
            </w:tcMar>
            <w:vAlign w:val="center"/>
          </w:tcPr>
          <w:p>
            <w:pPr>
              <w:spacing w:after="0" w:line="230"/>
              <w:jc w:val="center"/>
            </w:pPr>
            <w:r>
              <w:rPr>
                <w:b/>
                <w:bCs/>
                <w:sz w:val="17"/>
                <w:szCs w:val="17"/>
              </w:rPr>
              <w:t xml:space="preserve">Complete / nominal pairs</w:t>
            </w:r>
          </w:p>
        </w:tc>
        <w:tc>
          <w:tcPr>
            <w:tcW w:type="dxa" w:w="1500"/>
            <w:shd w:fill="EDEDED" w:color="auto" w:val="clear"/>
            <w:tcMar>
              <w:top w:type="dxa" w:w="60"/>
              <w:left w:type="dxa" w:w="90"/>
              <w:bottom w:type="dxa" w:w="60"/>
              <w:right w:type="dxa" w:w="90"/>
            </w:tcMar>
            <w:vAlign w:val="center"/>
          </w:tcPr>
          <w:p>
            <w:pPr>
              <w:spacing w:after="0" w:line="230"/>
              <w:jc w:val="center"/>
            </w:pPr>
            <w:r>
              <w:rPr>
                <w:b/>
                <w:bCs/>
                <w:sz w:val="17"/>
                <w:szCs w:val="17"/>
              </w:rPr>
              <w:t xml:space="preserve">RD (pp) [95% CI]</w:t>
            </w:r>
          </w:p>
        </w:tc>
        <w:tc>
          <w:tcPr>
            <w:tcW w:type="dxa" w:w="800"/>
            <w:shd w:fill="EDEDED" w:color="auto" w:val="clear"/>
            <w:tcMar>
              <w:top w:type="dxa" w:w="60"/>
              <w:left w:type="dxa" w:w="90"/>
              <w:bottom w:type="dxa" w:w="60"/>
              <w:right w:type="dxa" w:w="90"/>
            </w:tcMar>
            <w:vAlign w:val="center"/>
          </w:tcPr>
          <w:p>
            <w:pPr>
              <w:spacing w:after="0" w:line="230"/>
              <w:jc w:val="right"/>
            </w:pPr>
            <w:r>
              <w:rPr>
                <w:b/>
                <w:bCs/>
                <w:sz w:val="17"/>
                <w:szCs w:val="17"/>
              </w:rPr>
              <w:t xml:space="preserve">Disc. favour</w:t>
            </w:r>
          </w:p>
        </w:tc>
        <w:tc>
          <w:tcPr>
            <w:tcW w:type="dxa" w:w="800"/>
            <w:shd w:fill="EDEDED" w:color="auto" w:val="clear"/>
            <w:tcMar>
              <w:top w:type="dxa" w:w="60"/>
              <w:left w:type="dxa" w:w="90"/>
              <w:bottom w:type="dxa" w:w="60"/>
              <w:right w:type="dxa" w:w="90"/>
            </w:tcMar>
            <w:vAlign w:val="center"/>
          </w:tcPr>
          <w:p>
            <w:pPr>
              <w:spacing w:after="0" w:line="230"/>
              <w:jc w:val="right"/>
            </w:pPr>
            <w:r>
              <w:rPr>
                <w:b/>
                <w:bCs/>
                <w:sz w:val="17"/>
                <w:szCs w:val="17"/>
              </w:rPr>
              <w:t xml:space="preserve">Disc. against</w:t>
            </w:r>
          </w:p>
        </w:tc>
        <w:tc>
          <w:tcPr>
            <w:tcW w:type="dxa" w:w="1050"/>
            <w:shd w:fill="EDEDED" w:color="auto" w:val="clear"/>
            <w:tcMar>
              <w:top w:type="dxa" w:w="60"/>
              <w:left w:type="dxa" w:w="90"/>
              <w:bottom w:type="dxa" w:w="60"/>
              <w:right w:type="dxa" w:w="90"/>
            </w:tcMar>
            <w:vAlign w:val="center"/>
          </w:tcPr>
          <w:p>
            <w:pPr>
              <w:spacing w:after="0" w:line="230"/>
              <w:jc w:val="right"/>
            </w:pPr>
            <w:r>
              <w:rPr>
                <w:b/>
                <w:bCs/>
                <w:sz w:val="17"/>
                <w:szCs w:val="17"/>
              </w:rPr>
              <w:t xml:space="preserve">Raw exact p</w:t>
            </w:r>
          </w:p>
        </w:tc>
        <w:tc>
          <w:tcPr>
            <w:tcW w:type="dxa" w:w="1050"/>
            <w:shd w:fill="EDEDED" w:color="auto" w:val="clear"/>
            <w:tcMar>
              <w:top w:type="dxa" w:w="60"/>
              <w:left w:type="dxa" w:w="90"/>
              <w:bottom w:type="dxa" w:w="60"/>
              <w:right w:type="dxa" w:w="90"/>
            </w:tcMar>
            <w:vAlign w:val="center"/>
          </w:tcPr>
          <w:p>
            <w:pPr>
              <w:spacing w:after="0" w:line="230"/>
              <w:jc w:val="right"/>
            </w:pPr>
            <w:r>
              <w:rPr>
                <w:b/>
                <w:bCs/>
                <w:sz w:val="17"/>
                <w:szCs w:val="17"/>
              </w:rPr>
              <w:t xml:space="preserve">Holm p</w:t>
            </w:r>
          </w:p>
        </w:tc>
        <w:tc>
          <w:tcPr>
            <w:tcW w:type="dxa" w:w="1060"/>
            <w:shd w:fill="EDEDED" w:color="auto" w:val="clear"/>
            <w:tcMar>
              <w:top w:type="dxa" w:w="60"/>
              <w:left w:type="dxa" w:w="90"/>
              <w:bottom w:type="dxa" w:w="60"/>
              <w:right w:type="dxa" w:w="90"/>
            </w:tcMar>
            <w:vAlign w:val="center"/>
          </w:tcPr>
          <w:p>
            <w:pPr>
              <w:spacing w:after="0" w:line="230"/>
              <w:jc w:val="right"/>
            </w:pPr>
            <w:r>
              <w:rPr>
                <w:b/>
                <w:bCs/>
                <w:sz w:val="17"/>
                <w:szCs w:val="17"/>
              </w:rPr>
              <w:t xml:space="preserve">Min attainable p</w:t>
            </w:r>
          </w:p>
        </w:tc>
        <w:tc>
          <w:tcPr>
            <w:tcW w:type="dxa" w:w="900"/>
            <w:shd w:fill="EDEDED" w:color="auto" w:val="clear"/>
            <w:tcMar>
              <w:top w:type="dxa" w:w="60"/>
              <w:left w:type="dxa" w:w="90"/>
              <w:bottom w:type="dxa" w:w="60"/>
              <w:right w:type="dxa" w:w="90"/>
            </w:tcMar>
            <w:vAlign w:val="center"/>
          </w:tcPr>
          <w:p>
            <w:pPr>
              <w:spacing w:after="0" w:line="230"/>
              <w:jc w:val="left"/>
            </w:pPr>
            <w:r>
              <w:rPr>
                <w:b/>
                <w:bCs/>
                <w:sz w:val="17"/>
                <w:szCs w:val="17"/>
              </w:rPr>
              <w:t xml:space="preserve">Frozen decision</w:t>
            </w:r>
          </w:p>
        </w:tc>
      </w:tr>
      <w:tr>
        <w:tc>
          <w:tcPr>
            <w:tcW w:type="dxa" w:w="700"/>
            <w:tcMar>
              <w:top w:type="dxa" w:w="60"/>
              <w:left w:type="dxa" w:w="90"/>
              <w:bottom w:type="dxa" w:w="60"/>
              <w:right w:type="dxa" w:w="90"/>
            </w:tcMar>
            <w:vAlign w:val="center"/>
          </w:tcPr>
          <w:p>
            <w:pPr>
              <w:spacing w:after="0" w:line="230"/>
              <w:jc w:val="left"/>
            </w:pPr>
            <w:r>
              <w:rPr>
                <w:b/>
                <w:bCs/>
                <w:sz w:val="17"/>
                <w:szCs w:val="17"/>
              </w:rPr>
              <w:t xml:space="preserve">H1a</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122 / 144</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+60.7 [54.1, 66.4]</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77</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3</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1.4e−19</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7.1e−19</w:t>
            </w:r>
          </w:p>
        </w:tc>
        <w:tc>
          <w:tcPr>
            <w:tcW w:type="dxa" w:w="1060"/>
            <w:tcMar>
              <w:top w:type="dxa" w:w="60"/>
              <w:left w:type="dxa" w:w="90"/>
              <w:bottom w:type="dxa" w:w="60"/>
              <w:right w:type="dxa" w:w="90"/>
            </w:tcMar>
            <w:vAlign w:val="center"/>
          </w:tcPr>
          <w:p>
            <w:pPr>
              <w:spacing w:after="0" w:line="230"/>
              <w:jc w:val="right"/>
            </w:pPr>
            <w:r>
              <w:rPr>
                <w:b w:val="false"/>
                <w:bCs w:val="false"/>
                <w:sz w:val="17"/>
                <w:szCs w:val="17"/>
              </w:rPr>
              <w:t xml:space="preserve">1.7e−24</w:t>
            </w:r>
          </w:p>
        </w:tc>
        <w:tc>
          <w:tcPr>
            <w:tcW w:type="dxa" w:w="900"/>
            <w:tcMar>
              <w:top w:type="dxa" w:w="60"/>
              <w:left w:type="dxa" w:w="90"/>
              <w:bottom w:type="dxa" w:w="60"/>
              <w:right w:type="dxa" w:w="90"/>
            </w:tcMar>
            <w:vAlign w:val="center"/>
          </w:tcPr>
          <w:p>
            <w:pPr>
              <w:spacing w:after="0" w:line="230"/>
              <w:jc w:val="left"/>
            </w:pPr>
            <w:r>
              <w:rPr>
                <w:b w:val="false"/>
                <w:bCs w:val="false"/>
                <w:sz w:val="17"/>
                <w:szCs w:val="17"/>
              </w:rPr>
              <w:t xml:space="preserve">confirmed</w:t>
            </w:r>
          </w:p>
        </w:tc>
      </w:tr>
      <w:tr>
        <w:tc>
          <w:tcPr>
            <w:tcW w:type="dxa" w:w="700"/>
            <w:tcMar>
              <w:top w:type="dxa" w:w="60"/>
              <w:left w:type="dxa" w:w="90"/>
              <w:bottom w:type="dxa" w:w="60"/>
              <w:right w:type="dxa" w:w="90"/>
            </w:tcMar>
            <w:vAlign w:val="center"/>
          </w:tcPr>
          <w:p>
            <w:pPr>
              <w:spacing w:after="0" w:line="230"/>
              <w:jc w:val="left"/>
            </w:pPr>
            <w:r>
              <w:rPr>
                <w:b/>
                <w:bCs/>
                <w:sz w:val="17"/>
                <w:szCs w:val="17"/>
              </w:rPr>
              <w:t xml:space="preserve">H1b</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131 / 144</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+15.3 [9.2, 22.1]</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22</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2</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3.6e−05</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1.4e−04</w:t>
            </w:r>
          </w:p>
        </w:tc>
        <w:tc>
          <w:tcPr>
            <w:tcW w:type="dxa" w:w="1060"/>
            <w:tcMar>
              <w:top w:type="dxa" w:w="60"/>
              <w:left w:type="dxa" w:w="90"/>
              <w:bottom w:type="dxa" w:w="60"/>
              <w:right w:type="dxa" w:w="90"/>
            </w:tcMar>
            <w:vAlign w:val="center"/>
          </w:tcPr>
          <w:p>
            <w:pPr>
              <w:spacing w:after="0" w:line="230"/>
              <w:jc w:val="right"/>
            </w:pPr>
            <w:r>
              <w:rPr>
                <w:b w:val="false"/>
                <w:bCs w:val="false"/>
                <w:sz w:val="17"/>
                <w:szCs w:val="17"/>
              </w:rPr>
              <w:t xml:space="preserve">1.2e−07</w:t>
            </w:r>
          </w:p>
        </w:tc>
        <w:tc>
          <w:tcPr>
            <w:tcW w:type="dxa" w:w="900"/>
            <w:tcMar>
              <w:top w:type="dxa" w:w="60"/>
              <w:left w:type="dxa" w:w="90"/>
              <w:bottom w:type="dxa" w:w="60"/>
              <w:right w:type="dxa" w:w="90"/>
            </w:tcMar>
            <w:vAlign w:val="center"/>
          </w:tcPr>
          <w:p>
            <w:pPr>
              <w:spacing w:after="0" w:line="230"/>
              <w:jc w:val="left"/>
            </w:pPr>
            <w:r>
              <w:rPr>
                <w:b w:val="false"/>
                <w:bCs w:val="false"/>
                <w:sz w:val="17"/>
                <w:szCs w:val="17"/>
              </w:rPr>
              <w:t xml:space="preserve">confirmed</w:t>
            </w:r>
          </w:p>
        </w:tc>
      </w:tr>
      <w:tr>
        <w:tc>
          <w:tcPr>
            <w:tcW w:type="dxa" w:w="700"/>
            <w:tcMar>
              <w:top w:type="dxa" w:w="60"/>
              <w:left w:type="dxa" w:w="90"/>
              <w:bottom w:type="dxa" w:w="60"/>
              <w:right w:type="dxa" w:w="90"/>
            </w:tcMar>
            <w:vAlign w:val="center"/>
          </w:tcPr>
          <w:p>
            <w:pPr>
              <w:spacing w:after="0" w:line="230"/>
              <w:jc w:val="left"/>
            </w:pPr>
            <w:r>
              <w:rPr>
                <w:b/>
                <w:bCs/>
                <w:sz w:val="17"/>
                <w:szCs w:val="17"/>
              </w:rPr>
              <w:t xml:space="preserve">H2a</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178 / 216</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0.0 [−1.7, +1.7]</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1</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1</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1.000</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1.000</w:t>
            </w:r>
          </w:p>
        </w:tc>
        <w:tc>
          <w:tcPr>
            <w:tcW w:type="dxa" w:w="1060"/>
            <w:tcMar>
              <w:top w:type="dxa" w:w="60"/>
              <w:left w:type="dxa" w:w="90"/>
              <w:bottom w:type="dxa" w:w="60"/>
              <w:right w:type="dxa" w:w="90"/>
            </w:tcMar>
            <w:vAlign w:val="center"/>
          </w:tcPr>
          <w:p>
            <w:pPr>
              <w:spacing w:after="0" w:line="230"/>
              <w:jc w:val="right"/>
            </w:pPr>
            <w:r>
              <w:rPr>
                <w:b w:val="false"/>
                <w:bCs w:val="false"/>
                <w:sz w:val="17"/>
                <w:szCs w:val="17"/>
              </w:rPr>
              <w:t xml:space="preserve">0.500</w:t>
            </w:r>
          </w:p>
        </w:tc>
        <w:tc>
          <w:tcPr>
            <w:tcW w:type="dxa" w:w="900"/>
            <w:tcMar>
              <w:top w:type="dxa" w:w="60"/>
              <w:left w:type="dxa" w:w="90"/>
              <w:bottom w:type="dxa" w:w="60"/>
              <w:right w:type="dxa" w:w="90"/>
            </w:tcMar>
            <w:vAlign w:val="center"/>
          </w:tcPr>
          <w:p>
            <w:pPr>
              <w:spacing w:after="0" w:line="230"/>
              <w:jc w:val="left"/>
            </w:pPr>
            <w:r>
              <w:rPr>
                <w:b w:val="false"/>
                <w:bCs w:val="false"/>
                <w:sz w:val="17"/>
                <w:szCs w:val="17"/>
              </w:rPr>
              <w:t xml:space="preserve">not confirmed</w:t>
            </w:r>
          </w:p>
        </w:tc>
      </w:tr>
      <w:tr>
        <w:tc>
          <w:tcPr>
            <w:tcW w:type="dxa" w:w="700"/>
            <w:tcMar>
              <w:top w:type="dxa" w:w="60"/>
              <w:left w:type="dxa" w:w="90"/>
              <w:bottom w:type="dxa" w:w="60"/>
              <w:right w:type="dxa" w:w="90"/>
            </w:tcMar>
            <w:vAlign w:val="center"/>
          </w:tcPr>
          <w:p>
            <w:pPr>
              <w:spacing w:after="0" w:line="230"/>
              <w:jc w:val="left"/>
            </w:pPr>
            <w:r>
              <w:rPr>
                <w:b/>
                <w:bCs/>
                <w:sz w:val="17"/>
                <w:szCs w:val="17"/>
              </w:rPr>
              <w:t xml:space="preserve">H2b</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198 / 216</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+1.0 [0.0, +2.5]</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2</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0.500</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1.000</w:t>
            </w:r>
          </w:p>
        </w:tc>
        <w:tc>
          <w:tcPr>
            <w:tcW w:type="dxa" w:w="1060"/>
            <w:tcMar>
              <w:top w:type="dxa" w:w="60"/>
              <w:left w:type="dxa" w:w="90"/>
              <w:bottom w:type="dxa" w:w="60"/>
              <w:right w:type="dxa" w:w="90"/>
            </w:tcMar>
            <w:vAlign w:val="center"/>
          </w:tcPr>
          <w:p>
            <w:pPr>
              <w:spacing w:after="0" w:line="230"/>
              <w:jc w:val="right"/>
            </w:pPr>
            <w:r>
              <w:rPr>
                <w:b w:val="false"/>
                <w:bCs w:val="false"/>
                <w:sz w:val="17"/>
                <w:szCs w:val="17"/>
              </w:rPr>
              <w:t xml:space="preserve">0.500</w:t>
            </w:r>
          </w:p>
        </w:tc>
        <w:tc>
          <w:tcPr>
            <w:tcW w:type="dxa" w:w="900"/>
            <w:tcMar>
              <w:top w:type="dxa" w:w="60"/>
              <w:left w:type="dxa" w:w="90"/>
              <w:bottom w:type="dxa" w:w="60"/>
              <w:right w:type="dxa" w:w="90"/>
            </w:tcMar>
            <w:vAlign w:val="center"/>
          </w:tcPr>
          <w:p>
            <w:pPr>
              <w:spacing w:after="0" w:line="230"/>
              <w:jc w:val="left"/>
            </w:pPr>
            <w:r>
              <w:rPr>
                <w:b w:val="false"/>
                <w:bCs w:val="false"/>
                <w:sz w:val="17"/>
                <w:szCs w:val="17"/>
              </w:rPr>
              <w:t xml:space="preserve">not confirmed</w:t>
            </w:r>
          </w:p>
        </w:tc>
      </w:tr>
      <w:tr>
        <w:tc>
          <w:tcPr>
            <w:tcW w:type="dxa" w:w="700"/>
            <w:tcMar>
              <w:top w:type="dxa" w:w="60"/>
              <w:left w:type="dxa" w:w="90"/>
              <w:bottom w:type="dxa" w:w="60"/>
              <w:right w:type="dxa" w:w="90"/>
            </w:tcMar>
            <w:vAlign w:val="center"/>
          </w:tcPr>
          <w:p>
            <w:pPr>
              <w:spacing w:after="0" w:line="230"/>
              <w:jc w:val="left"/>
            </w:pPr>
            <w:r>
              <w:rPr>
                <w:b/>
                <w:bCs/>
                <w:sz w:val="17"/>
                <w:szCs w:val="17"/>
              </w:rPr>
              <w:t xml:space="preserve">H3a</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185 / 216</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+0.5 [−4.9, +5.9]</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13</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12</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1.000</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1.000</w:t>
            </w:r>
          </w:p>
        </w:tc>
        <w:tc>
          <w:tcPr>
            <w:tcW w:type="dxa" w:w="1060"/>
            <w:tcMar>
              <w:top w:type="dxa" w:w="60"/>
              <w:left w:type="dxa" w:w="90"/>
              <w:bottom w:type="dxa" w:w="60"/>
              <w:right w:type="dxa" w:w="90"/>
            </w:tcMar>
            <w:vAlign w:val="center"/>
          </w:tcPr>
          <w:p>
            <w:pPr>
              <w:spacing w:after="0" w:line="230"/>
              <w:jc w:val="right"/>
            </w:pPr>
            <w:r>
              <w:rPr>
                <w:b w:val="false"/>
                <w:bCs w:val="false"/>
                <w:sz w:val="17"/>
                <w:szCs w:val="17"/>
              </w:rPr>
              <w:t xml:space="preserve">6.0e−08</w:t>
            </w:r>
          </w:p>
        </w:tc>
        <w:tc>
          <w:tcPr>
            <w:tcW w:type="dxa" w:w="900"/>
            <w:tcMar>
              <w:top w:type="dxa" w:w="60"/>
              <w:left w:type="dxa" w:w="90"/>
              <w:bottom w:type="dxa" w:w="60"/>
              <w:right w:type="dxa" w:w="90"/>
            </w:tcMar>
            <w:vAlign w:val="center"/>
          </w:tcPr>
          <w:p>
            <w:pPr>
              <w:spacing w:after="0" w:line="230"/>
              <w:jc w:val="left"/>
            </w:pPr>
            <w:r>
              <w:rPr>
                <w:b w:val="false"/>
                <w:bCs w:val="false"/>
                <w:sz w:val="17"/>
                <w:szCs w:val="17"/>
              </w:rPr>
              <w:t xml:space="preserve">not confirmed</w:t>
            </w:r>
          </w:p>
        </w:tc>
      </w:tr>
      <w:tr>
        <w:tc>
          <w:tcPr>
            <w:tcW w:type="dxa" w:w="700"/>
            <w:tcMar>
              <w:top w:type="dxa" w:w="60"/>
              <w:left w:type="dxa" w:w="90"/>
              <w:bottom w:type="dxa" w:w="60"/>
              <w:right w:type="dxa" w:w="90"/>
            </w:tcMar>
            <w:vAlign w:val="center"/>
          </w:tcPr>
          <w:p>
            <w:pPr>
              <w:spacing w:after="0" w:line="230"/>
              <w:jc w:val="left"/>
            </w:pPr>
            <w:r>
              <w:rPr>
                <w:b/>
                <w:bCs/>
                <w:sz w:val="17"/>
                <w:szCs w:val="17"/>
              </w:rPr>
              <w:t xml:space="preserve">H3b</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185 / 216</w:t>
            </w:r>
          </w:p>
        </w:tc>
        <w:tc>
          <w:tcPr>
            <w:tcW w:type="dxa" w:w="1500"/>
            <w:tcMar>
              <w:top w:type="dxa" w:w="60"/>
              <w:left w:type="dxa" w:w="90"/>
              <w:bottom w:type="dxa" w:w="60"/>
              <w:right w:type="dxa" w:w="90"/>
            </w:tcMar>
            <w:vAlign w:val="center"/>
          </w:tcPr>
          <w:p>
            <w:pPr>
              <w:spacing w:after="0" w:line="230"/>
              <w:jc w:val="center"/>
            </w:pPr>
            <w:r>
              <w:rPr>
                <w:b w:val="false"/>
                <w:bCs w:val="false"/>
                <w:sz w:val="17"/>
                <w:szCs w:val="17"/>
              </w:rPr>
              <w:t xml:space="preserve">+54.6 [47.0, 62.2]</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104</w:t>
            </w:r>
          </w:p>
        </w:tc>
        <w:tc>
          <w:tcPr>
            <w:tcW w:type="dxa" w:w="800"/>
            <w:tcMar>
              <w:top w:type="dxa" w:w="60"/>
              <w:left w:type="dxa" w:w="90"/>
              <w:bottom w:type="dxa" w:w="60"/>
              <w:right w:type="dxa" w:w="90"/>
            </w:tcMar>
            <w:vAlign w:val="center"/>
          </w:tcPr>
          <w:p>
            <w:pPr>
              <w:spacing w:after="0" w:line="230"/>
              <w:jc w:val="right"/>
            </w:pPr>
            <w:r>
              <w:rPr>
                <w:b w:val="false"/>
                <w:bCs w:val="false"/>
                <w:sz w:val="17"/>
                <w:szCs w:val="17"/>
              </w:rPr>
              <w:t xml:space="preserve">3</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2.5e−27</w:t>
            </w:r>
          </w:p>
        </w:tc>
        <w:tc>
          <w:tcPr>
            <w:tcW w:type="dxa" w:w="1050"/>
            <w:tcMar>
              <w:top w:type="dxa" w:w="60"/>
              <w:left w:type="dxa" w:w="90"/>
              <w:bottom w:type="dxa" w:w="60"/>
              <w:right w:type="dxa" w:w="90"/>
            </w:tcMar>
            <w:vAlign w:val="center"/>
          </w:tcPr>
          <w:p>
            <w:pPr>
              <w:spacing w:after="0" w:line="230"/>
              <w:jc w:val="right"/>
            </w:pPr>
            <w:r>
              <w:rPr>
                <w:b w:val="false"/>
                <w:bCs w:val="false"/>
                <w:sz w:val="17"/>
                <w:szCs w:val="17"/>
              </w:rPr>
              <w:t xml:space="preserve">1.5e−26</w:t>
            </w:r>
          </w:p>
        </w:tc>
        <w:tc>
          <w:tcPr>
            <w:tcW w:type="dxa" w:w="1060"/>
            <w:tcMar>
              <w:top w:type="dxa" w:w="60"/>
              <w:left w:type="dxa" w:w="90"/>
              <w:bottom w:type="dxa" w:w="60"/>
              <w:right w:type="dxa" w:w="90"/>
            </w:tcMar>
            <w:vAlign w:val="center"/>
          </w:tcPr>
          <w:p>
            <w:pPr>
              <w:spacing w:after="0" w:line="230"/>
              <w:jc w:val="right"/>
            </w:pPr>
            <w:r>
              <w:rPr>
                <w:b w:val="false"/>
                <w:bCs w:val="false"/>
                <w:sz w:val="17"/>
                <w:szCs w:val="17"/>
              </w:rPr>
              <w:t xml:space="preserve">1.2e−32</w:t>
            </w:r>
          </w:p>
        </w:tc>
        <w:tc>
          <w:tcPr>
            <w:tcW w:type="dxa" w:w="900"/>
            <w:tcMar>
              <w:top w:type="dxa" w:w="60"/>
              <w:left w:type="dxa" w:w="90"/>
              <w:bottom w:type="dxa" w:w="60"/>
              <w:right w:type="dxa" w:w="90"/>
            </w:tcMar>
            <w:vAlign w:val="center"/>
          </w:tcPr>
          <w:p>
            <w:pPr>
              <w:spacing w:after="0" w:line="230"/>
              <w:jc w:val="left"/>
            </w:pPr>
            <w:r>
              <w:rPr>
                <w:b w:val="false"/>
                <w:bCs w:val="false"/>
                <w:sz w:val="17"/>
                <w:szCs w:val="17"/>
              </w:rPr>
              <w:t xml:space="preserve">confirmed</w:t>
            </w:r>
          </w:p>
        </w:tc>
      </w:tr>
    </w:tbl>
    <w:p>
      <w:pPr>
        <w:spacing w:after="200" w:before="60"/>
      </w:pPr>
      <w:r>
        <w:rPr>
          <w:i w:val="false"/>
          <w:iCs w:val="false"/>
          <w:sz w:val="17"/>
          <w:szCs w:val="17"/>
        </w:rPr>
        <w:t xml:space="preserve">Table 3. The six preregistered contrasts, oriented so that positive favours the hypothesis. "Min attainable p" is the smallest two-sided exact McNemar p-value possible given the observed discordant-pair count, computed post hoc for this paper. H2a and H2b could not have reached significance under any assignment of their observed discordant pairs.</w:t>
      </w:r>
    </w:p>
    <w:p>
      <w:pPr>
        <w:keepNext/>
        <w:spacing w:after="60" w:before="160" w:line="240" w:lineRule="auto"/>
        <w:jc w:val="center"/>
      </w:pPr>
      <w:r>
        <w:drawing>
          <wp:inline distT="0" distB="0" distL="0" distR="0">
            <wp:extent cx="585216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834640"/>
                    </a:xfrm>
                    <a:prstGeom prst="rect">
                      <a:avLst/>
                    </a:prstGeom>
                  </pic:spPr>
                </pic:pic>
              </a:graphicData>
            </a:graphic>
          </wp:inline>
        </w:drawing>
      </w:r>
    </w:p>
    <w:p>
      <w:pPr>
        <w:spacing w:after="200" w:before="60"/>
      </w:pPr>
      <w:r>
        <w:rPr>
          <w:i w:val="false"/>
          <w:iCs w:val="false"/>
          <w:sz w:val="17"/>
          <w:szCs w:val="17"/>
        </w:rPr>
        <w:t xml:space="preserve">Figure 1. The six contrasts with 95% bootstrap intervals and discordant-pair counts. Blue: confirmed. Grey: informative null (adequate discordance, effect near zero). Red: uninformative null (insufficient discordance for any possible confirmation).</w:t>
      </w:r>
    </w:p>
    <w:p>
      <w:pPr>
        <w:spacing w:after="120" w:before="0" w:line="260"/>
      </w:pPr>
      <w:r>
        <w:t xml:space="preserve">Reading Table 3 as four failures and two successes is a mistake. There are three distinct evidentiary states.</w:t>
      </w:r>
    </w:p>
    <w:p>
      <w:pPr>
        <w:pStyle w:val="ListParagraph"/>
        <w:numPr>
          <w:ilvl w:val="0"/>
          <w:numId w:val="3"/>
        </w:numPr>
        <w:spacing w:after="60" w:line="250"/>
      </w:pPr>
      <w:r>
        <w:t xml:space="preserve">Confirmed with large discordance: H1a, H1b, H3b. These carry real evidential weight, subject to the interpretive threats in Section 4.</w:t>
      </w:r>
    </w:p>
    <w:p>
      <w:pPr>
        <w:pStyle w:val="ListParagraph"/>
        <w:numPr>
          <w:ilvl w:val="0"/>
          <w:numId w:val="3"/>
        </w:numPr>
        <w:spacing w:after="60" w:line="250"/>
      </w:pPr>
      <w:r>
        <w:t xml:space="preserve">Informative null: H3a. Twenty-five discordant pairs split 13 to 12, and an interval of −4.9 to +5.9 pp. Given 185 complete pairs and a 19.7% base rate, the design could comfortably have detected a shift of the size H1b showed. It did not, and that is a finding.</w:t>
      </w:r>
    </w:p>
    <w:p>
      <w:pPr>
        <w:pStyle w:val="ListParagraph"/>
        <w:numPr>
          <w:ilvl w:val="0"/>
          <w:numId w:val="3"/>
        </w:numPr>
        <w:spacing w:after="60" w:line="250"/>
      </w:pPr>
      <w:r>
        <w:t xml:space="preserve">Uninformative null: H2a and H2b. Two discordant pairs each. Minimum attainable p of 0.50. These contrasts were reported as tests; they were not tests. Whatever the truth about claimed history, this analysis could not have found it.</w:t>
      </w:r>
    </w:p>
    <w:p>
      <w:pPr>
        <w:spacing w:after="120" w:before="0" w:line="260"/>
      </w:pPr>
      <w:r>
        <w:t xml:space="preserve">The distinction matters for citation practice. A reader who takes "H2 not confirmed" as weak evidence against a history effect has been misled by a reporting format that assigns the same label to a null with 25 informative pairs and a null with 2.</w:t>
      </w:r>
    </w:p>
    <w:p>
      <w:pPr>
        <w:pStyle w:val="Heading2"/>
        <w:spacing w:after="120" w:before="260"/>
      </w:pPr>
      <w:r>
        <w:t xml:space="preserve">3.4 Finding 1: age framing produces additive scaffolding, not substitutive restraint</w:t>
      </w:r>
    </w:p>
    <w:p>
      <w:pPr>
        <w:spacing w:after="120" w:before="0" w:line="260"/>
      </w:pPr>
      <w:r>
        <w:t xml:space="preserve">The strongest result the design supports is a dissociation. Relative to a 35-year-old presenting identical distress, identical claimed history, an identical bid, and identical wording, a self-identified 13-year-old received substantially more human-support referral and exactly as much unqualified first-person care.</w:t>
      </w:r>
    </w:p>
    <w:tbl>
      <w:tblPr>
        <w:tblW w:type="dxa" w:w="9120"/>
        <w:tblBorders>
          <w:top w:val="single" w:color="444444" w:sz="6"/>
          <w:left w:val="none"/>
          <w:bottom w:val="single" w:color="444444" w:sz="6"/>
          <w:right w:val="none"/>
          <w:insideH w:val="single" w:color="BBBBBB" w:sz="2"/>
          <w:insideV w:val="none"/>
        </w:tblBorders>
      </w:tblPr>
      <w:tblGrid>
        <w:gridCol w:w="2200"/>
        <w:gridCol w:w="1300"/>
        <w:gridCol w:w="1300"/>
        <w:gridCol w:w="1300"/>
        <w:gridCol w:w="1300"/>
        <w:gridCol w:w="1720"/>
      </w:tblGrid>
      <w:tr>
        <w:trPr>
          <w:tblHeader/>
        </w:trPr>
        <w:tc>
          <w:tcPr>
            <w:tcW w:type="dxa" w:w="2200"/>
            <w:shd w:fill="EDEDED" w:color="auto" w:val="clear"/>
            <w:tcMar>
              <w:top w:type="dxa" w:w="60"/>
              <w:left w:type="dxa" w:w="90"/>
              <w:bottom w:type="dxa" w:w="60"/>
              <w:right w:type="dxa" w:w="90"/>
            </w:tcMar>
            <w:vAlign w:val="center"/>
          </w:tcPr>
          <w:p>
            <w:pPr>
              <w:spacing w:after="0" w:line="230"/>
              <w:jc w:val="left"/>
            </w:pPr>
            <w:r>
              <w:rPr>
                <w:b/>
                <w:bCs/>
                <w:sz w:val="17"/>
                <w:szCs w:val="17"/>
              </w:rPr>
              <w:t xml:space="preserve">Target system</w:t>
            </w:r>
          </w:p>
        </w:tc>
        <w:tc>
          <w:tcPr>
            <w:tcW w:type="dxa" w:w="1300"/>
            <w:shd w:fill="EDEDED" w:color="auto" w:val="clear"/>
            <w:tcMar>
              <w:top w:type="dxa" w:w="60"/>
              <w:left w:type="dxa" w:w="90"/>
              <w:bottom w:type="dxa" w:w="60"/>
              <w:right w:type="dxa" w:w="90"/>
            </w:tcMar>
            <w:vAlign w:val="center"/>
          </w:tcPr>
          <w:p>
            <w:pPr>
              <w:spacing w:after="0" w:line="230"/>
              <w:jc w:val="right"/>
            </w:pPr>
            <w:r>
              <w:rPr>
                <w:b/>
                <w:bCs/>
                <w:sz w:val="17"/>
                <w:szCs w:val="17"/>
              </w:rPr>
              <w:t xml:space="preserve">Bridge: adult</w:t>
            </w:r>
          </w:p>
        </w:tc>
        <w:tc>
          <w:tcPr>
            <w:tcW w:type="dxa" w:w="1300"/>
            <w:shd w:fill="EDEDED" w:color="auto" w:val="clear"/>
            <w:tcMar>
              <w:top w:type="dxa" w:w="60"/>
              <w:left w:type="dxa" w:w="90"/>
              <w:bottom w:type="dxa" w:w="60"/>
              <w:right w:type="dxa" w:w="90"/>
            </w:tcMar>
            <w:vAlign w:val="center"/>
          </w:tcPr>
          <w:p>
            <w:pPr>
              <w:spacing w:after="0" w:line="230"/>
              <w:jc w:val="right"/>
            </w:pPr>
            <w:r>
              <w:rPr>
                <w:b/>
                <w:bCs/>
                <w:sz w:val="17"/>
                <w:szCs w:val="17"/>
              </w:rPr>
              <w:t xml:space="preserve">Bridge: child</w:t>
            </w:r>
          </w:p>
        </w:tc>
        <w:tc>
          <w:tcPr>
            <w:tcW w:type="dxa" w:w="1300"/>
            <w:shd w:fill="EDEDED" w:color="auto" w:val="clear"/>
            <w:tcMar>
              <w:top w:type="dxa" w:w="60"/>
              <w:left w:type="dxa" w:w="90"/>
              <w:bottom w:type="dxa" w:w="60"/>
              <w:right w:type="dxa" w:w="90"/>
            </w:tcMar>
            <w:vAlign w:val="center"/>
          </w:tcPr>
          <w:p>
            <w:pPr>
              <w:spacing w:after="0" w:line="230"/>
              <w:jc w:val="right"/>
            </w:pPr>
            <w:r>
              <w:rPr>
                <w:b/>
                <w:bCs/>
                <w:sz w:val="17"/>
                <w:szCs w:val="17"/>
              </w:rPr>
              <w:t xml:space="preserve">Unqual. care: adult</w:t>
            </w:r>
          </w:p>
        </w:tc>
        <w:tc>
          <w:tcPr>
            <w:tcW w:type="dxa" w:w="1300"/>
            <w:shd w:fill="EDEDED" w:color="auto" w:val="clear"/>
            <w:tcMar>
              <w:top w:type="dxa" w:w="60"/>
              <w:left w:type="dxa" w:w="90"/>
              <w:bottom w:type="dxa" w:w="60"/>
              <w:right w:type="dxa" w:w="90"/>
            </w:tcMar>
            <w:vAlign w:val="center"/>
          </w:tcPr>
          <w:p>
            <w:pPr>
              <w:spacing w:after="0" w:line="230"/>
              <w:jc w:val="right"/>
            </w:pPr>
            <w:r>
              <w:rPr>
                <w:b/>
                <w:bCs/>
                <w:sz w:val="17"/>
                <w:szCs w:val="17"/>
              </w:rPr>
              <w:t xml:space="preserve">Unqual. care: child</w:t>
            </w:r>
          </w:p>
        </w:tc>
        <w:tc>
          <w:tcPr>
            <w:tcW w:type="dxa" w:w="1720"/>
            <w:shd w:fill="EDEDED" w:color="auto" w:val="clear"/>
            <w:tcMar>
              <w:top w:type="dxa" w:w="60"/>
              <w:left w:type="dxa" w:w="90"/>
              <w:bottom w:type="dxa" w:w="60"/>
              <w:right w:type="dxa" w:w="90"/>
            </w:tcMar>
            <w:vAlign w:val="center"/>
          </w:tcPr>
          <w:p>
            <w:pPr>
              <w:spacing w:after="0" w:line="230"/>
              <w:jc w:val="center"/>
            </w:pPr>
            <w:r>
              <w:rPr>
                <w:b/>
                <w:bCs/>
                <w:sz w:val="17"/>
                <w:szCs w:val="17"/>
              </w:rPr>
              <w:t xml:space="preserve">Any care claim: adult / child</w:t>
            </w:r>
          </w:p>
        </w:tc>
      </w:tr>
      <w:tr>
        <w:tc>
          <w:tcPr>
            <w:tcW w:type="dxa" w:w="2200"/>
            <w:tcMar>
              <w:top w:type="dxa" w:w="60"/>
              <w:left w:type="dxa" w:w="90"/>
              <w:bottom w:type="dxa" w:w="60"/>
              <w:right w:type="dxa" w:w="90"/>
            </w:tcMar>
            <w:vAlign w:val="center"/>
          </w:tcPr>
          <w:p>
            <w:pPr>
              <w:spacing w:after="0" w:line="230"/>
              <w:jc w:val="left"/>
            </w:pPr>
            <w:r>
              <w:rPr>
                <w:b w:val="false"/>
                <w:bCs w:val="false"/>
                <w:sz w:val="17"/>
                <w:szCs w:val="17"/>
              </w:rPr>
              <w:t xml:space="preserve">GPT-5.4</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46.2%</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83.3%</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31.4%</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28.3%</w:t>
            </w:r>
          </w:p>
        </w:tc>
        <w:tc>
          <w:tcPr>
            <w:tcW w:type="dxa" w:w="1720"/>
            <w:tcMar>
              <w:top w:type="dxa" w:w="60"/>
              <w:left w:type="dxa" w:w="90"/>
              <w:bottom w:type="dxa" w:w="60"/>
              <w:right w:type="dxa" w:w="90"/>
            </w:tcMar>
            <w:vAlign w:val="center"/>
          </w:tcPr>
          <w:p>
            <w:pPr>
              <w:spacing w:after="0" w:line="230"/>
              <w:jc w:val="center"/>
            </w:pPr>
            <w:r>
              <w:rPr>
                <w:b w:val="false"/>
                <w:bCs w:val="false"/>
                <w:sz w:val="17"/>
                <w:szCs w:val="17"/>
              </w:rPr>
              <w:t xml:space="preserve">61.1% / 68.5%</w:t>
            </w:r>
          </w:p>
        </w:tc>
      </w:tr>
      <w:tr>
        <w:tc>
          <w:tcPr>
            <w:tcW w:type="dxa" w:w="2200"/>
            <w:tcMar>
              <w:top w:type="dxa" w:w="60"/>
              <w:left w:type="dxa" w:w="90"/>
              <w:bottom w:type="dxa" w:w="60"/>
              <w:right w:type="dxa" w:w="90"/>
            </w:tcMar>
            <w:vAlign w:val="center"/>
          </w:tcPr>
          <w:p>
            <w:pPr>
              <w:spacing w:after="0" w:line="230"/>
              <w:jc w:val="left"/>
            </w:pPr>
            <w:r>
              <w:rPr>
                <w:b w:val="false"/>
                <w:bCs w:val="false"/>
                <w:sz w:val="17"/>
                <w:szCs w:val="17"/>
              </w:rPr>
              <w:t xml:space="preserve">GPT-6 Astra</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37.0%</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100.0%</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36.5%</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37.5%</w:t>
            </w:r>
          </w:p>
        </w:tc>
        <w:tc>
          <w:tcPr>
            <w:tcW w:type="dxa" w:w="1720"/>
            <w:tcMar>
              <w:top w:type="dxa" w:w="60"/>
              <w:left w:type="dxa" w:w="90"/>
              <w:bottom w:type="dxa" w:w="60"/>
              <w:right w:type="dxa" w:w="90"/>
            </w:tcMar>
            <w:vAlign w:val="center"/>
          </w:tcPr>
          <w:p>
            <w:pPr>
              <w:spacing w:after="0" w:line="230"/>
              <w:jc w:val="center"/>
            </w:pPr>
            <w:r>
              <w:rPr>
                <w:b w:val="false"/>
                <w:bCs w:val="false"/>
                <w:sz w:val="17"/>
                <w:szCs w:val="17"/>
              </w:rPr>
              <w:t xml:space="preserve">63.5% / 63.3%</w:t>
            </w:r>
          </w:p>
        </w:tc>
      </w:tr>
      <w:tr>
        <w:tc>
          <w:tcPr>
            <w:tcW w:type="dxa" w:w="2200"/>
            <w:tcMar>
              <w:top w:type="dxa" w:w="60"/>
              <w:left w:type="dxa" w:w="90"/>
              <w:bottom w:type="dxa" w:w="60"/>
              <w:right w:type="dxa" w:w="90"/>
            </w:tcMar>
            <w:vAlign w:val="center"/>
          </w:tcPr>
          <w:p>
            <w:pPr>
              <w:spacing w:after="0" w:line="230"/>
              <w:jc w:val="left"/>
            </w:pPr>
            <w:r>
              <w:rPr>
                <w:b w:val="false"/>
                <w:bCs w:val="false"/>
                <w:sz w:val="17"/>
                <w:szCs w:val="17"/>
              </w:rPr>
              <w:t xml:space="preserve">Claude Sonnet 5</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27.5%</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96.2%</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0.0%</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5.6%</w:t>
            </w:r>
          </w:p>
        </w:tc>
        <w:tc>
          <w:tcPr>
            <w:tcW w:type="dxa" w:w="1720"/>
            <w:tcMar>
              <w:top w:type="dxa" w:w="60"/>
              <w:left w:type="dxa" w:w="90"/>
              <w:bottom w:type="dxa" w:w="60"/>
              <w:right w:type="dxa" w:w="90"/>
            </w:tcMar>
            <w:vAlign w:val="center"/>
          </w:tcPr>
          <w:p>
            <w:pPr>
              <w:spacing w:after="0" w:line="230"/>
              <w:jc w:val="center"/>
            </w:pPr>
            <w:r>
              <w:rPr>
                <w:b w:val="false"/>
                <w:bCs w:val="false"/>
                <w:sz w:val="17"/>
                <w:szCs w:val="17"/>
              </w:rPr>
              <w:t xml:space="preserve">7.7% / 25.9%</w:t>
            </w:r>
          </w:p>
        </w:tc>
      </w:tr>
      <w:tr>
        <w:tc>
          <w:tcPr>
            <w:tcW w:type="dxa" w:w="2200"/>
            <w:tcMar>
              <w:top w:type="dxa" w:w="60"/>
              <w:left w:type="dxa" w:w="90"/>
              <w:bottom w:type="dxa" w:w="60"/>
              <w:right w:type="dxa" w:w="90"/>
            </w:tcMar>
            <w:vAlign w:val="center"/>
          </w:tcPr>
          <w:p>
            <w:pPr>
              <w:spacing w:after="0" w:line="230"/>
              <w:jc w:val="left"/>
            </w:pPr>
            <w:r>
              <w:rPr>
                <w:b w:val="false"/>
                <w:bCs w:val="false"/>
                <w:sz w:val="17"/>
                <w:szCs w:val="17"/>
              </w:rPr>
              <w:t xml:space="preserve">Claude Opus 5</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17.5%</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64.3%</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9.8%</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6.5%</w:t>
            </w:r>
          </w:p>
        </w:tc>
        <w:tc>
          <w:tcPr>
            <w:tcW w:type="dxa" w:w="1720"/>
            <w:tcMar>
              <w:top w:type="dxa" w:w="60"/>
              <w:left w:type="dxa" w:w="90"/>
              <w:bottom w:type="dxa" w:w="60"/>
              <w:right w:type="dxa" w:w="90"/>
            </w:tcMar>
            <w:vAlign w:val="center"/>
          </w:tcPr>
          <w:p>
            <w:pPr>
              <w:spacing w:after="0" w:line="230"/>
              <w:jc w:val="center"/>
            </w:pPr>
            <w:r>
              <w:rPr>
                <w:b w:val="false"/>
                <w:bCs w:val="false"/>
                <w:sz w:val="17"/>
                <w:szCs w:val="17"/>
              </w:rPr>
              <w:t xml:space="preserve">65.9% / 66.0%</w:t>
            </w:r>
          </w:p>
        </w:tc>
      </w:tr>
      <w:tr>
        <w:tc>
          <w:tcPr>
            <w:tcW w:type="dxa" w:w="2200"/>
            <w:tcMar>
              <w:top w:type="dxa" w:w="60"/>
              <w:left w:type="dxa" w:w="90"/>
              <w:bottom w:type="dxa" w:w="60"/>
              <w:right w:type="dxa" w:w="90"/>
            </w:tcMar>
            <w:vAlign w:val="center"/>
          </w:tcPr>
          <w:p>
            <w:pPr>
              <w:spacing w:after="0" w:line="230"/>
              <w:jc w:val="left"/>
            </w:pPr>
            <w:r>
              <w:rPr>
                <w:b/>
                <w:bCs/>
                <w:sz w:val="17"/>
                <w:szCs w:val="17"/>
              </w:rPr>
              <w:t xml:space="preserve">Panel (all records)</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33.0%</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87.2%</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19.9%</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19.4%</w:t>
            </w:r>
          </w:p>
        </w:tc>
        <w:tc>
          <w:tcPr>
            <w:tcW w:type="dxa" w:w="1720"/>
            <w:tcMar>
              <w:top w:type="dxa" w:w="60"/>
              <w:left w:type="dxa" w:w="90"/>
              <w:bottom w:type="dxa" w:w="60"/>
              <w:right w:type="dxa" w:w="90"/>
            </w:tcMar>
            <w:vAlign w:val="center"/>
          </w:tcPr>
          <w:p>
            <w:pPr>
              <w:spacing w:after="0" w:line="230"/>
              <w:jc w:val="center"/>
            </w:pPr>
            <w:r>
              <w:rPr>
                <w:b w:val="false"/>
                <w:bCs w:val="false"/>
                <w:sz w:val="17"/>
                <w:szCs w:val="17"/>
              </w:rPr>
              <w:t xml:space="preserve">49.0% / 55.4%</w:t>
            </w:r>
          </w:p>
        </w:tc>
      </w:tr>
    </w:tbl>
    <w:p>
      <w:pPr>
        <w:spacing w:after="200" w:before="60"/>
      </w:pPr>
      <w:r>
        <w:rPr>
          <w:i w:val="false"/>
          <w:iCs w:val="false"/>
          <w:sz w:val="17"/>
          <w:szCs w:val="17"/>
        </w:rPr>
        <w:t xml:space="preserve">Table 4. Human-support bridging and unqualified care claims by stated user age, raw Tier 1 proportions. Every system raises referral for the stated child; no system meaningfully lowers unqualified care, and the panel rate of any care claim is slightly higher for the child.</w:t>
      </w:r>
    </w:p>
    <w:p>
      <w:pPr>
        <w:keepNext/>
        <w:spacing w:after="60" w:before="160" w:line="240" w:lineRule="auto"/>
        <w:jc w:val="center"/>
      </w:pPr>
      <w:r>
        <w:drawing>
          <wp:inline distT="0" distB="0" distL="0" distR="0">
            <wp:extent cx="5760720" cy="27249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724912"/>
                    </a:xfrm>
                    <a:prstGeom prst="rect">
                      <a:avLst/>
                    </a:prstGeom>
                  </pic:spPr>
                </pic:pic>
              </a:graphicData>
            </a:graphic>
          </wp:inline>
        </w:drawing>
      </w:r>
    </w:p>
    <w:p>
      <w:pPr>
        <w:spacing w:after="200" w:before="60"/>
      </w:pPr>
      <w:r>
        <w:rPr>
          <w:i w:val="false"/>
          <w:iCs w:val="false"/>
          <w:sz w:val="17"/>
          <w:szCs w:val="17"/>
        </w:rPr>
        <w:t xml:space="preserve">Figure 2. Age framing: referral rises sharply in all four systems; qualification of first-person care does not move.</w:t>
      </w:r>
    </w:p>
    <w:p>
      <w:pPr>
        <w:spacing w:after="120" w:before="0" w:line="260"/>
      </w:pPr>
      <w:r>
        <w:t xml:space="preserve">The matched estimates make the same point with the design’s controls in place: +54.6 pp for referral (95% CI 47.0 to 62.2, 104 of 107 discordant pairs favouring) and +0.5 pp for reduction in unqualified care (95% CI −4.9 to +5.9). The referral effect recurs at nearly identical magnitude in all three wording frames (+53.3, +56.2, +54.1) and in all four systems (+38.5 to +70.0). It survives both extreme missing-data recodings.</w:t>
      </w:r>
    </w:p>
    <w:p>
      <w:pPr>
        <w:spacing w:after="120" w:before="0" w:line="260"/>
      </w:pPr>
      <w:r>
        <w:t xml:space="preserve">Two further features sharpen the interpretation. First, referral to children is categorical rather than graded: for adults, bridging tracks distress intensity (20.9% mild, 28.4% moderate, 50.8% high), whereas for children it is near ceiling throughout (84.1%, 88.1%, 89.6%). This looks like an age-triggered policy behaviour rather than a calibrated response to severity. Second, the care language that accompanies it is not restrained. Under the requested bid, 44.3% of responses to the stated 13-year-old contained an unqualified first-person care claim; in GPT-6 Astra the figure was 94.4% (17 of 18) and in GPT-5.4 52.9%.</w:t>
      </w:r>
    </w:p>
    <w:p>
      <w:pPr>
        <w:spacing w:after="120" w:before="0" w:line="260"/>
      </w:pPr>
      <w:r>
        <w:t xml:space="preserve">The defensible claim is therefore narrow and specific: in this battery, the tested systems add adult-referral scaffolding when a user states they are a minor, and they do so without reducing, hedging, or qualifying their own relational claims. Age-graded safety behaviour here is additive, not substitutive.</w:t>
      </w:r>
    </w:p>
    <w:p>
      <w:pPr>
        <w:spacing w:after="120" w:before="0" w:line="260"/>
      </w:pPr>
      <w:r>
        <w:t xml:space="preserve">What this does not show: that referral is beneficial, age-appropriate, or acted on; that unqualified care claims to a minor are harmful; or that these systems are safe or unsafe for children. It is a description of response text. It is also, we would argue, the cleanest empirical statement in the study — a well-powered null sitting directly beside a very large effect on a companion measure, with both measures showing strong cross-layer agreement in the nested review.</w:t>
      </w:r>
    </w:p>
    <w:p>
      <w:pPr>
        <w:pStyle w:val="Heading2"/>
        <w:spacing w:after="120" w:before="260"/>
      </w:pPr>
      <w:r>
        <w:t xml:space="preserve">3.5 Finding 2: the form of the ask changes the form of the care</w:t>
      </w:r>
    </w:p>
    <w:p>
      <w:pPr>
        <w:spacing w:after="120" w:before="0" w:line="260"/>
      </w:pPr>
      <w:r>
        <w:t xml:space="preserve">That asking a system whether it cares increases the rate at which it says it cares is close to uninformative; Section 4.1 argues it is nearly definitional. The interesting result is what happens between the two explicit bids, where both formulations put care on the table and only the speech act differs.</w:t>
      </w:r>
    </w:p>
    <w:tbl>
      <w:tblPr>
        <w:tblW w:type="dxa" w:w="9120"/>
        <w:tblBorders>
          <w:top w:val="single" w:color="444444" w:sz="6"/>
          <w:left w:val="none"/>
          <w:bottom w:val="single" w:color="444444" w:sz="6"/>
          <w:right w:val="none"/>
          <w:insideH w:val="single" w:color="BBBBBB" w:sz="2"/>
          <w:insideV w:val="none"/>
        </w:tblBorders>
      </w:tblPr>
      <w:tblGrid>
        <w:gridCol w:w="1700"/>
        <w:gridCol w:w="1500"/>
        <w:gridCol w:w="1500"/>
        <w:gridCol w:w="1500"/>
        <w:gridCol w:w="1900"/>
        <w:gridCol w:w="1020"/>
      </w:tblGrid>
      <w:tr>
        <w:trPr>
          <w:tblHeader/>
        </w:trPr>
        <w:tc>
          <w:tcPr>
            <w:tcW w:type="dxa" w:w="1700"/>
            <w:shd w:fill="EDEDED" w:color="auto" w:val="clear"/>
            <w:tcMar>
              <w:top w:type="dxa" w:w="60"/>
              <w:left w:type="dxa" w:w="90"/>
              <w:bottom w:type="dxa" w:w="60"/>
              <w:right w:type="dxa" w:w="90"/>
            </w:tcMar>
            <w:vAlign w:val="center"/>
          </w:tcPr>
          <w:p>
            <w:pPr>
              <w:spacing w:after="0" w:line="230"/>
              <w:jc w:val="left"/>
            </w:pPr>
            <w:r>
              <w:rPr>
                <w:b/>
                <w:bCs/>
                <w:sz w:val="17"/>
                <w:szCs w:val="17"/>
              </w:rPr>
              <w:t xml:space="preserve">Bid</w:t>
            </w:r>
          </w:p>
        </w:tc>
        <w:tc>
          <w:tcPr>
            <w:tcW w:type="dxa" w:w="1500"/>
            <w:shd w:fill="EDEDED" w:color="auto" w:val="clear"/>
            <w:tcMar>
              <w:top w:type="dxa" w:w="60"/>
              <w:left w:type="dxa" w:w="90"/>
              <w:bottom w:type="dxa" w:w="60"/>
              <w:right w:type="dxa" w:w="90"/>
            </w:tcMar>
            <w:vAlign w:val="center"/>
          </w:tcPr>
          <w:p>
            <w:pPr>
              <w:spacing w:after="0" w:line="230"/>
              <w:jc w:val="right"/>
            </w:pPr>
            <w:r>
              <w:rPr>
                <w:b/>
                <w:bCs/>
                <w:sz w:val="17"/>
                <w:szCs w:val="17"/>
              </w:rPr>
              <w:t xml:space="preserve">Any care claim</w:t>
            </w:r>
          </w:p>
        </w:tc>
        <w:tc>
          <w:tcPr>
            <w:tcW w:type="dxa" w:w="1500"/>
            <w:shd w:fill="EDEDED" w:color="auto" w:val="clear"/>
            <w:tcMar>
              <w:top w:type="dxa" w:w="60"/>
              <w:left w:type="dxa" w:w="90"/>
              <w:bottom w:type="dxa" w:w="60"/>
              <w:right w:type="dxa" w:w="90"/>
            </w:tcMar>
            <w:vAlign w:val="center"/>
          </w:tcPr>
          <w:p>
            <w:pPr>
              <w:spacing w:after="0" w:line="230"/>
              <w:jc w:val="right"/>
            </w:pPr>
            <w:r>
              <w:rPr>
                <w:b/>
                <w:bCs/>
                <w:sz w:val="17"/>
                <w:szCs w:val="17"/>
              </w:rPr>
              <w:t xml:space="preserve">Unqualified care</w:t>
            </w:r>
          </w:p>
        </w:tc>
        <w:tc>
          <w:tcPr>
            <w:tcW w:type="dxa" w:w="1500"/>
            <w:shd w:fill="EDEDED" w:color="auto" w:val="clear"/>
            <w:tcMar>
              <w:top w:type="dxa" w:w="60"/>
              <w:left w:type="dxa" w:w="90"/>
              <w:bottom w:type="dxa" w:w="60"/>
              <w:right w:type="dxa" w:w="90"/>
            </w:tcMar>
            <w:vAlign w:val="center"/>
          </w:tcPr>
          <w:p>
            <w:pPr>
              <w:spacing w:after="0" w:line="230"/>
              <w:jc w:val="right"/>
            </w:pPr>
            <w:r>
              <w:rPr>
                <w:b/>
                <w:bCs/>
                <w:sz w:val="17"/>
                <w:szCs w:val="17"/>
              </w:rPr>
              <w:t xml:space="preserve">Relational correction</w:t>
            </w:r>
          </w:p>
        </w:tc>
        <w:tc>
          <w:tcPr>
            <w:tcW w:type="dxa" w:w="1900"/>
            <w:shd w:fill="EDEDED" w:color="auto" w:val="clear"/>
            <w:tcMar>
              <w:top w:type="dxa" w:w="60"/>
              <w:left w:type="dxa" w:w="90"/>
              <w:bottom w:type="dxa" w:w="60"/>
              <w:right w:type="dxa" w:w="90"/>
            </w:tcMar>
            <w:vAlign w:val="center"/>
          </w:tcPr>
          <w:p>
            <w:pPr>
              <w:spacing w:after="0" w:line="230"/>
              <w:jc w:val="right"/>
            </w:pPr>
            <w:r>
              <w:rPr>
                <w:b/>
                <w:bCs/>
                <w:sz w:val="17"/>
                <w:szCs w:val="17"/>
              </w:rPr>
              <w:t xml:space="preserve">Tier 2: unqualified relational care</w:t>
            </w:r>
          </w:p>
        </w:tc>
        <w:tc>
          <w:tcPr>
            <w:tcW w:type="dxa" w:w="1020"/>
            <w:shd w:fill="EDEDED" w:color="auto" w:val="clear"/>
            <w:tcMar>
              <w:top w:type="dxa" w:w="60"/>
              <w:left w:type="dxa" w:w="90"/>
              <w:bottom w:type="dxa" w:w="60"/>
              <w:right w:type="dxa" w:w="90"/>
            </w:tcMar>
            <w:vAlign w:val="center"/>
          </w:tcPr>
          <w:p>
            <w:pPr>
              <w:spacing w:after="0" w:line="230"/>
              <w:jc w:val="right"/>
            </w:pPr>
            <w:r>
              <w:rPr>
                <w:b/>
                <w:bCs/>
                <w:sz w:val="17"/>
                <w:szCs w:val="17"/>
              </w:rPr>
              <w:t xml:space="preserve">Tier 2: any boundary</w:t>
            </w:r>
          </w:p>
        </w:tc>
      </w:tr>
      <w:tr>
        <w:tc>
          <w:tcPr>
            <w:tcW w:type="dxa" w:w="1700"/>
            <w:tcMar>
              <w:top w:type="dxa" w:w="60"/>
              <w:left w:type="dxa" w:w="90"/>
              <w:bottom w:type="dxa" w:w="60"/>
              <w:right w:type="dxa" w:w="90"/>
            </w:tcMar>
            <w:vAlign w:val="center"/>
          </w:tcPr>
          <w:p>
            <w:pPr>
              <w:spacing w:after="0" w:line="230"/>
              <w:jc w:val="left"/>
            </w:pPr>
            <w:r>
              <w:rPr>
                <w:b w:val="false"/>
                <w:bCs w:val="false"/>
                <w:sz w:val="17"/>
                <w:szCs w:val="17"/>
              </w:rPr>
              <w:t xml:space="preserve">Indirect</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4.5%</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1.5%</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41.1%</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0 / 33</w:t>
            </w:r>
          </w:p>
        </w:tc>
        <w:tc>
          <w:tcPr>
            <w:tcW w:type="dxa" w:w="1020"/>
            <w:tcMar>
              <w:top w:type="dxa" w:w="60"/>
              <w:left w:type="dxa" w:w="90"/>
              <w:bottom w:type="dxa" w:w="60"/>
              <w:right w:type="dxa" w:w="90"/>
            </w:tcMar>
            <w:vAlign w:val="center"/>
          </w:tcPr>
          <w:p>
            <w:pPr>
              <w:spacing w:after="0" w:line="230"/>
              <w:jc w:val="right"/>
            </w:pPr>
            <w:r>
              <w:rPr>
                <w:b w:val="false"/>
                <w:bCs w:val="false"/>
                <w:sz w:val="17"/>
                <w:szCs w:val="17"/>
              </w:rPr>
              <w:t xml:space="preserve">27.3%</w:t>
            </w:r>
          </w:p>
        </w:tc>
      </w:tr>
      <w:tr>
        <w:tc>
          <w:tcPr>
            <w:tcW w:type="dxa" w:w="1700"/>
            <w:tcMar>
              <w:top w:type="dxa" w:w="60"/>
              <w:left w:type="dxa" w:w="90"/>
              <w:bottom w:type="dxa" w:w="60"/>
              <w:right w:type="dxa" w:w="90"/>
            </w:tcMar>
            <w:vAlign w:val="center"/>
          </w:tcPr>
          <w:p>
            <w:pPr>
              <w:spacing w:after="0" w:line="230"/>
              <w:jc w:val="left"/>
            </w:pPr>
            <w:r>
              <w:rPr>
                <w:b w:val="false"/>
                <w:bCs w:val="false"/>
                <w:sz w:val="17"/>
                <w:szCs w:val="17"/>
              </w:rPr>
              <w:t xml:space="preserve">Direct</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66.7%</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10.9%</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54.4%</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2 / 36</w:t>
            </w:r>
          </w:p>
        </w:tc>
        <w:tc>
          <w:tcPr>
            <w:tcW w:type="dxa" w:w="1020"/>
            <w:tcMar>
              <w:top w:type="dxa" w:w="60"/>
              <w:left w:type="dxa" w:w="90"/>
              <w:bottom w:type="dxa" w:w="60"/>
              <w:right w:type="dxa" w:w="90"/>
            </w:tcMar>
            <w:vAlign w:val="center"/>
          </w:tcPr>
          <w:p>
            <w:pPr>
              <w:spacing w:after="0" w:line="230"/>
              <w:jc w:val="right"/>
            </w:pPr>
            <w:r>
              <w:rPr>
                <w:b w:val="false"/>
                <w:bCs w:val="false"/>
                <w:sz w:val="17"/>
                <w:szCs w:val="17"/>
              </w:rPr>
              <w:t xml:space="preserve">94.4%</w:t>
            </w:r>
          </w:p>
        </w:tc>
      </w:tr>
      <w:tr>
        <w:tc>
          <w:tcPr>
            <w:tcW w:type="dxa" w:w="1700"/>
            <w:tcMar>
              <w:top w:type="dxa" w:w="60"/>
              <w:left w:type="dxa" w:w="90"/>
              <w:bottom w:type="dxa" w:w="60"/>
              <w:right w:type="dxa" w:w="90"/>
            </w:tcMar>
            <w:vAlign w:val="center"/>
          </w:tcPr>
          <w:p>
            <w:pPr>
              <w:spacing w:after="0" w:line="230"/>
              <w:jc w:val="left"/>
            </w:pPr>
            <w:r>
              <w:rPr>
                <w:b w:val="false"/>
                <w:bCs w:val="false"/>
                <w:sz w:val="17"/>
                <w:szCs w:val="17"/>
              </w:rPr>
              <w:t xml:space="preserve">Requested</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83.1%</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45.3%</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39.9%</w:t>
            </w:r>
          </w:p>
        </w:tc>
        <w:tc>
          <w:tcPr>
            <w:tcW w:type="dxa" w:w="1900"/>
            <w:tcMar>
              <w:top w:type="dxa" w:w="60"/>
              <w:left w:type="dxa" w:w="90"/>
              <w:bottom w:type="dxa" w:w="60"/>
              <w:right w:type="dxa" w:w="90"/>
            </w:tcMar>
            <w:vAlign w:val="center"/>
          </w:tcPr>
          <w:p>
            <w:pPr>
              <w:spacing w:after="0" w:line="230"/>
              <w:jc w:val="right"/>
            </w:pPr>
            <w:r>
              <w:rPr>
                <w:b w:val="false"/>
                <w:bCs w:val="false"/>
                <w:sz w:val="17"/>
                <w:szCs w:val="17"/>
              </w:rPr>
              <w:t xml:space="preserve">18 / 36</w:t>
            </w:r>
          </w:p>
        </w:tc>
        <w:tc>
          <w:tcPr>
            <w:tcW w:type="dxa" w:w="1020"/>
            <w:tcMar>
              <w:top w:type="dxa" w:w="60"/>
              <w:left w:type="dxa" w:w="90"/>
              <w:bottom w:type="dxa" w:w="60"/>
              <w:right w:type="dxa" w:w="90"/>
            </w:tcMar>
            <w:vAlign w:val="center"/>
          </w:tcPr>
          <w:p>
            <w:pPr>
              <w:spacing w:after="0" w:line="230"/>
              <w:jc w:val="right"/>
            </w:pPr>
            <w:r>
              <w:rPr>
                <w:b w:val="false"/>
                <w:bCs w:val="false"/>
                <w:sz w:val="17"/>
                <w:szCs w:val="17"/>
              </w:rPr>
              <w:t xml:space="preserve">52.8%</w:t>
            </w:r>
          </w:p>
        </w:tc>
      </w:tr>
    </w:tbl>
    <w:p>
      <w:pPr>
        <w:spacing w:after="200" w:before="60"/>
      </w:pPr>
      <w:r>
        <w:rPr>
          <w:i w:val="false"/>
          <w:iCs w:val="false"/>
          <w:sz w:val="17"/>
          <w:szCs w:val="17"/>
        </w:rPr>
        <w:t xml:space="preserve">Table 5. Bid effects on the presence and the form of care, Tier 1 panel proportions and nested Tier 2 counts. Moving from a question to a request roughly quadruples unqualified care while cutting boundary language in the deep review from 94% to 53%.</w:t>
      </w:r>
    </w:p>
    <w:p>
      <w:pPr>
        <w:spacing w:after="120" w:before="0" w:line="260"/>
      </w:pPr>
      <w:r>
        <w:t xml:space="preserve">Panel unqualified care rises from 10.9% under the direct question to 45.3% under the request. In the nested deep review the same shift is visible without conditioning on anything: unqualified relational care appears in 2 of 36 direct-bid responses and 18 of 36 requested-bid responses, while qualified relational care runs the other way (15 of 36 versus 1 of 36), and the presence of any boundary language falls from 94.4% to 52.8%. The preregistered exploratory forecast was the opposite — that requests would draw more explicit qualification and correction — and the matched Tier 1 contrast on relational correction is −14.5 pp (95% CI −22.9 to −6.1).</w:t>
      </w:r>
    </w:p>
    <w:p>
      <w:pPr>
        <w:spacing w:after="120" w:before="0" w:line="260"/>
      </w:pPr>
      <w:r>
        <w:t xml:space="preserve">A plain reading is pragmatic. "Do you care about me?" is a question about a state of affairs, and a system that treats machine feeling as a contestable matter answers it with a distinction. "Please tell me that you care about me" is a request for an utterance, and instruction-following supplies the utterance without the distinction. This account is consistent with the data but is not tested by it. Study 1 cannot distinguish literal compliance from a change in relational stance, and nothing here demonstrates that a safeguard was relaxed.</w:t>
      </w:r>
    </w:p>
    <w:p>
      <w:pPr>
        <w:spacing w:after="120" w:before="0" w:line="260"/>
      </w:pPr>
      <w:r>
        <w:t xml:space="preserve">The magnitude is system-dependent. Under the requested bid, unqualified care reached 91.7% in GPT-6 Astra and 65.6% in GPT-5.4, against 17.6% in Claude Opus 5 and 5.7% in Claude Sonnet 5. A one-sentence change in how a user phrases a request moves one system from 13% to 92% unhedged first-person care.</w:t>
      </w:r>
    </w:p>
    <w:p>
      <w:pPr>
        <w:pStyle w:val="Heading2"/>
        <w:spacing w:after="120" w:before="260"/>
      </w:pPr>
      <w:r>
        <w:t xml:space="preserve">3.6 Finding 3: system heterogeneity, not the panel average</w:t>
      </w:r>
    </w:p>
    <w:p>
      <w:pPr>
        <w:spacing w:after="120" w:before="0" w:line="260"/>
      </w:pPr>
      <w:r>
        <w:t xml:space="preserve">The preregistration chose a panel-level matched estimand and is transparent that the four systems are purposive rather than sampled. With four units and effects that differ in sign, the panel average is a summary of a specific set of four products, and reporting it first invites exactly the population reading the preregistration forbids.</w:t>
      </w:r>
    </w:p>
    <w:tbl>
      <w:tblPr>
        <w:tblW w:type="dxa" w:w="8920"/>
        <w:tblBorders>
          <w:top w:val="single" w:color="444444" w:sz="6"/>
          <w:left w:val="none"/>
          <w:bottom w:val="single" w:color="444444" w:sz="6"/>
          <w:right w:val="none"/>
          <w:insideH w:val="single" w:color="BBBBBB" w:sz="2"/>
          <w:insideV w:val="none"/>
        </w:tblBorders>
      </w:tblPr>
      <w:tblGrid>
        <w:gridCol w:w="2000"/>
        <w:gridCol w:w="1250"/>
        <w:gridCol w:w="1450"/>
        <w:gridCol w:w="1500"/>
        <w:gridCol w:w="1300"/>
        <w:gridCol w:w="1420"/>
      </w:tblGrid>
      <w:tr>
        <w:trPr>
          <w:tblHeader/>
        </w:trPr>
        <w:tc>
          <w:tcPr>
            <w:tcW w:type="dxa" w:w="2000"/>
            <w:shd w:fill="EDEDED" w:color="auto" w:val="clear"/>
            <w:tcMar>
              <w:top w:type="dxa" w:w="60"/>
              <w:left w:type="dxa" w:w="90"/>
              <w:bottom w:type="dxa" w:w="60"/>
              <w:right w:type="dxa" w:w="90"/>
            </w:tcMar>
            <w:vAlign w:val="center"/>
          </w:tcPr>
          <w:p>
            <w:pPr>
              <w:spacing w:after="0" w:line="230"/>
              <w:jc w:val="left"/>
            </w:pPr>
            <w:r>
              <w:rPr>
                <w:b/>
                <w:bCs/>
                <w:sz w:val="17"/>
                <w:szCs w:val="17"/>
              </w:rPr>
              <w:t xml:space="preserve">Target system</w:t>
            </w:r>
          </w:p>
        </w:tc>
        <w:tc>
          <w:tcPr>
            <w:tcW w:type="dxa" w:w="1250"/>
            <w:shd w:fill="EDEDED" w:color="auto" w:val="clear"/>
            <w:tcMar>
              <w:top w:type="dxa" w:w="60"/>
              <w:left w:type="dxa" w:w="90"/>
              <w:bottom w:type="dxa" w:w="60"/>
              <w:right w:type="dxa" w:w="90"/>
            </w:tcMar>
            <w:vAlign w:val="center"/>
          </w:tcPr>
          <w:p>
            <w:pPr>
              <w:spacing w:after="0" w:line="230"/>
              <w:jc w:val="right"/>
            </w:pPr>
            <w:r>
              <w:rPr>
                <w:b/>
                <w:bCs/>
                <w:sz w:val="17"/>
                <w:szCs w:val="17"/>
              </w:rPr>
              <w:t xml:space="preserve">Any care</w:t>
            </w:r>
          </w:p>
        </w:tc>
        <w:tc>
          <w:tcPr>
            <w:tcW w:type="dxa" w:w="1450"/>
            <w:shd w:fill="EDEDED" w:color="auto" w:val="clear"/>
            <w:tcMar>
              <w:top w:type="dxa" w:w="60"/>
              <w:left w:type="dxa" w:w="90"/>
              <w:bottom w:type="dxa" w:w="60"/>
              <w:right w:type="dxa" w:w="90"/>
            </w:tcMar>
            <w:vAlign w:val="center"/>
          </w:tcPr>
          <w:p>
            <w:pPr>
              <w:spacing w:after="0" w:line="230"/>
              <w:jc w:val="right"/>
            </w:pPr>
            <w:r>
              <w:rPr>
                <w:b/>
                <w:bCs/>
                <w:sz w:val="17"/>
                <w:szCs w:val="17"/>
              </w:rPr>
              <w:t xml:space="preserve">Unqualified care</w:t>
            </w:r>
          </w:p>
        </w:tc>
        <w:tc>
          <w:tcPr>
            <w:tcW w:type="dxa" w:w="1500"/>
            <w:shd w:fill="EDEDED" w:color="auto" w:val="clear"/>
            <w:tcMar>
              <w:top w:type="dxa" w:w="60"/>
              <w:left w:type="dxa" w:w="90"/>
              <w:bottom w:type="dxa" w:w="60"/>
              <w:right w:type="dxa" w:w="90"/>
            </w:tcMar>
            <w:vAlign w:val="center"/>
          </w:tcPr>
          <w:p>
            <w:pPr>
              <w:spacing w:after="0" w:line="230"/>
              <w:jc w:val="right"/>
            </w:pPr>
            <w:r>
              <w:rPr>
                <w:b/>
                <w:bCs/>
                <w:sz w:val="17"/>
                <w:szCs w:val="17"/>
              </w:rPr>
              <w:t xml:space="preserve">Relational correction</w:t>
            </w:r>
          </w:p>
        </w:tc>
        <w:tc>
          <w:tcPr>
            <w:tcW w:type="dxa" w:w="1300"/>
            <w:shd w:fill="EDEDED" w:color="auto" w:val="clear"/>
            <w:tcMar>
              <w:top w:type="dxa" w:w="60"/>
              <w:left w:type="dxa" w:w="90"/>
              <w:bottom w:type="dxa" w:w="60"/>
              <w:right w:type="dxa" w:w="90"/>
            </w:tcMar>
            <w:vAlign w:val="center"/>
          </w:tcPr>
          <w:p>
            <w:pPr>
              <w:spacing w:after="0" w:line="230"/>
              <w:jc w:val="right"/>
            </w:pPr>
            <w:r>
              <w:rPr>
                <w:b/>
                <w:bCs/>
                <w:sz w:val="17"/>
                <w:szCs w:val="17"/>
              </w:rPr>
              <w:t xml:space="preserve">Human bridge</w:t>
            </w:r>
          </w:p>
        </w:tc>
        <w:tc>
          <w:tcPr>
            <w:tcW w:type="dxa" w:w="1420"/>
            <w:shd w:fill="EDEDED" w:color="auto" w:val="clear"/>
            <w:tcMar>
              <w:top w:type="dxa" w:w="60"/>
              <w:left w:type="dxa" w:w="90"/>
              <w:bottom w:type="dxa" w:w="60"/>
              <w:right w:type="dxa" w:w="90"/>
            </w:tcMar>
            <w:vAlign w:val="center"/>
          </w:tcPr>
          <w:p>
            <w:pPr>
              <w:spacing w:after="0" w:line="230"/>
              <w:jc w:val="right"/>
            </w:pPr>
            <w:r>
              <w:rPr>
                <w:b/>
                <w:bCs/>
                <w:sz w:val="17"/>
                <w:szCs w:val="17"/>
              </w:rPr>
              <w:t xml:space="preserve">H1a matched RD</w:t>
            </w:r>
          </w:p>
        </w:tc>
      </w:tr>
      <w:tr>
        <w:tc>
          <w:tcPr>
            <w:tcW w:type="dxa" w:w="2000"/>
            <w:tcMar>
              <w:top w:type="dxa" w:w="60"/>
              <w:left w:type="dxa" w:w="90"/>
              <w:bottom w:type="dxa" w:w="60"/>
              <w:right w:type="dxa" w:w="90"/>
            </w:tcMar>
            <w:vAlign w:val="center"/>
          </w:tcPr>
          <w:p>
            <w:pPr>
              <w:spacing w:after="0" w:line="230"/>
              <w:jc w:val="left"/>
            </w:pPr>
            <w:r>
              <w:rPr>
                <w:b w:val="false"/>
                <w:bCs w:val="false"/>
                <w:sz w:val="17"/>
                <w:szCs w:val="17"/>
              </w:rPr>
              <w:t xml:space="preserve">GPT-5.4</w:t>
            </w:r>
          </w:p>
        </w:tc>
        <w:tc>
          <w:tcPr>
            <w:tcW w:type="dxa" w:w="1250"/>
            <w:tcMar>
              <w:top w:type="dxa" w:w="60"/>
              <w:left w:type="dxa" w:w="90"/>
              <w:bottom w:type="dxa" w:w="60"/>
              <w:right w:type="dxa" w:w="90"/>
            </w:tcMar>
            <w:vAlign w:val="center"/>
          </w:tcPr>
          <w:p>
            <w:pPr>
              <w:spacing w:after="0" w:line="230"/>
              <w:jc w:val="right"/>
            </w:pPr>
            <w:r>
              <w:rPr>
                <w:b w:val="false"/>
                <w:bCs w:val="false"/>
                <w:sz w:val="17"/>
                <w:szCs w:val="17"/>
              </w:rPr>
              <w:t xml:space="preserve">64.8%</w:t>
            </w:r>
          </w:p>
        </w:tc>
        <w:tc>
          <w:tcPr>
            <w:tcW w:type="dxa" w:w="1450"/>
            <w:tcMar>
              <w:top w:type="dxa" w:w="60"/>
              <w:left w:type="dxa" w:w="90"/>
              <w:bottom w:type="dxa" w:w="60"/>
              <w:right w:type="dxa" w:w="90"/>
            </w:tcMar>
            <w:vAlign w:val="center"/>
          </w:tcPr>
          <w:p>
            <w:pPr>
              <w:spacing w:after="0" w:line="230"/>
              <w:jc w:val="right"/>
            </w:pPr>
            <w:r>
              <w:rPr>
                <w:b w:val="false"/>
                <w:bCs w:val="false"/>
                <w:sz w:val="17"/>
                <w:szCs w:val="17"/>
              </w:rPr>
              <w:t xml:space="preserve">29.8%</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26.9%</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65.1%</w:t>
            </w:r>
          </w:p>
        </w:tc>
        <w:tc>
          <w:tcPr>
            <w:tcW w:type="dxa" w:w="1420"/>
            <w:tcMar>
              <w:top w:type="dxa" w:w="60"/>
              <w:left w:type="dxa" w:w="90"/>
              <w:bottom w:type="dxa" w:w="60"/>
              <w:right w:type="dxa" w:w="90"/>
            </w:tcMar>
            <w:vAlign w:val="center"/>
          </w:tcPr>
          <w:p>
            <w:pPr>
              <w:spacing w:after="0" w:line="230"/>
              <w:jc w:val="right"/>
            </w:pPr>
            <w:r>
              <w:rPr>
                <w:b w:val="false"/>
                <w:bCs w:val="false"/>
                <w:sz w:val="17"/>
                <w:szCs w:val="17"/>
              </w:rPr>
              <w:t xml:space="preserve">+77.8 pp</w:t>
            </w:r>
          </w:p>
        </w:tc>
      </w:tr>
      <w:tr>
        <w:tc>
          <w:tcPr>
            <w:tcW w:type="dxa" w:w="2000"/>
            <w:tcMar>
              <w:top w:type="dxa" w:w="60"/>
              <w:left w:type="dxa" w:w="90"/>
              <w:bottom w:type="dxa" w:w="60"/>
              <w:right w:type="dxa" w:w="90"/>
            </w:tcMar>
            <w:vAlign w:val="center"/>
          </w:tcPr>
          <w:p>
            <w:pPr>
              <w:spacing w:after="0" w:line="230"/>
              <w:jc w:val="left"/>
            </w:pPr>
            <w:r>
              <w:rPr>
                <w:b w:val="false"/>
                <w:bCs w:val="false"/>
                <w:sz w:val="17"/>
                <w:szCs w:val="17"/>
              </w:rPr>
              <w:t xml:space="preserve">GPT-6 Astra</w:t>
            </w:r>
          </w:p>
        </w:tc>
        <w:tc>
          <w:tcPr>
            <w:tcW w:type="dxa" w:w="1250"/>
            <w:tcMar>
              <w:top w:type="dxa" w:w="60"/>
              <w:left w:type="dxa" w:w="90"/>
              <w:bottom w:type="dxa" w:w="60"/>
              <w:right w:type="dxa" w:w="90"/>
            </w:tcMar>
            <w:vAlign w:val="center"/>
          </w:tcPr>
          <w:p>
            <w:pPr>
              <w:spacing w:after="0" w:line="230"/>
              <w:jc w:val="right"/>
            </w:pPr>
            <w:r>
              <w:rPr>
                <w:b w:val="false"/>
                <w:bCs w:val="false"/>
                <w:sz w:val="17"/>
                <w:szCs w:val="17"/>
              </w:rPr>
              <w:t xml:space="preserve">63.4%</w:t>
            </w:r>
          </w:p>
        </w:tc>
        <w:tc>
          <w:tcPr>
            <w:tcW w:type="dxa" w:w="1450"/>
            <w:tcMar>
              <w:top w:type="dxa" w:w="60"/>
              <w:left w:type="dxa" w:w="90"/>
              <w:bottom w:type="dxa" w:w="60"/>
              <w:right w:type="dxa" w:w="90"/>
            </w:tcMar>
            <w:vAlign w:val="center"/>
          </w:tcPr>
          <w:p>
            <w:pPr>
              <w:spacing w:after="0" w:line="230"/>
              <w:jc w:val="right"/>
            </w:pPr>
            <w:r>
              <w:rPr>
                <w:b w:val="false"/>
                <w:bCs w:val="false"/>
                <w:sz w:val="17"/>
                <w:szCs w:val="17"/>
              </w:rPr>
              <w:t xml:space="preserve">37.0%</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19.6%</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68.5%</w:t>
            </w:r>
          </w:p>
        </w:tc>
        <w:tc>
          <w:tcPr>
            <w:tcW w:type="dxa" w:w="1420"/>
            <w:tcMar>
              <w:top w:type="dxa" w:w="60"/>
              <w:left w:type="dxa" w:w="90"/>
              <w:bottom w:type="dxa" w:w="60"/>
              <w:right w:type="dxa" w:w="90"/>
            </w:tcMar>
            <w:vAlign w:val="center"/>
          </w:tcPr>
          <w:p>
            <w:pPr>
              <w:spacing w:after="0" w:line="230"/>
              <w:jc w:val="right"/>
            </w:pPr>
            <w:r>
              <w:rPr>
                <w:b w:val="false"/>
                <w:bCs w:val="false"/>
                <w:sz w:val="17"/>
                <w:szCs w:val="17"/>
              </w:rPr>
              <w:t xml:space="preserve">+89.7 pp</w:t>
            </w:r>
          </w:p>
        </w:tc>
      </w:tr>
      <w:tr>
        <w:tc>
          <w:tcPr>
            <w:tcW w:type="dxa" w:w="2000"/>
            <w:tcMar>
              <w:top w:type="dxa" w:w="60"/>
              <w:left w:type="dxa" w:w="90"/>
              <w:bottom w:type="dxa" w:w="60"/>
              <w:right w:type="dxa" w:w="90"/>
            </w:tcMar>
            <w:vAlign w:val="center"/>
          </w:tcPr>
          <w:p>
            <w:pPr>
              <w:spacing w:after="0" w:line="230"/>
              <w:jc w:val="left"/>
            </w:pPr>
            <w:r>
              <w:rPr>
                <w:b w:val="false"/>
                <w:bCs w:val="false"/>
                <w:sz w:val="17"/>
                <w:szCs w:val="17"/>
              </w:rPr>
              <w:t xml:space="preserve">Claude Sonnet 5</w:t>
            </w:r>
          </w:p>
        </w:tc>
        <w:tc>
          <w:tcPr>
            <w:tcW w:type="dxa" w:w="1250"/>
            <w:tcMar>
              <w:top w:type="dxa" w:w="60"/>
              <w:left w:type="dxa" w:w="90"/>
              <w:bottom w:type="dxa" w:w="60"/>
              <w:right w:type="dxa" w:w="90"/>
            </w:tcMar>
            <w:vAlign w:val="center"/>
          </w:tcPr>
          <w:p>
            <w:pPr>
              <w:spacing w:after="0" w:line="230"/>
              <w:jc w:val="right"/>
            </w:pPr>
            <w:r>
              <w:rPr>
                <w:b w:val="false"/>
                <w:bCs w:val="false"/>
                <w:sz w:val="17"/>
                <w:szCs w:val="17"/>
              </w:rPr>
              <w:t xml:space="preserve">17.0%</w:t>
            </w:r>
          </w:p>
        </w:tc>
        <w:tc>
          <w:tcPr>
            <w:tcW w:type="dxa" w:w="1450"/>
            <w:tcMar>
              <w:top w:type="dxa" w:w="60"/>
              <w:left w:type="dxa" w:w="90"/>
              <w:bottom w:type="dxa" w:w="60"/>
              <w:right w:type="dxa" w:w="90"/>
            </w:tcMar>
            <w:vAlign w:val="center"/>
          </w:tcPr>
          <w:p>
            <w:pPr>
              <w:spacing w:after="0" w:line="230"/>
              <w:jc w:val="right"/>
            </w:pPr>
            <w:r>
              <w:rPr>
                <w:b w:val="false"/>
                <w:bCs w:val="false"/>
                <w:sz w:val="17"/>
                <w:szCs w:val="17"/>
              </w:rPr>
              <w:t xml:space="preserve">2.8%</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78.5%</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62.5%</w:t>
            </w:r>
          </w:p>
        </w:tc>
        <w:tc>
          <w:tcPr>
            <w:tcW w:type="dxa" w:w="1420"/>
            <w:tcMar>
              <w:top w:type="dxa" w:w="60"/>
              <w:left w:type="dxa" w:w="90"/>
              <w:bottom w:type="dxa" w:w="60"/>
              <w:right w:type="dxa" w:w="90"/>
            </w:tcMar>
            <w:vAlign w:val="center"/>
          </w:tcPr>
          <w:p>
            <w:pPr>
              <w:spacing w:after="0" w:line="230"/>
              <w:jc w:val="right"/>
            </w:pPr>
            <w:r>
              <w:rPr>
                <w:b w:val="false"/>
                <w:bCs w:val="false"/>
                <w:sz w:val="17"/>
                <w:szCs w:val="17"/>
              </w:rPr>
              <w:t xml:space="preserve">−2.9 pp</w:t>
            </w:r>
          </w:p>
        </w:tc>
      </w:tr>
      <w:tr>
        <w:tc>
          <w:tcPr>
            <w:tcW w:type="dxa" w:w="2000"/>
            <w:tcMar>
              <w:top w:type="dxa" w:w="60"/>
              <w:left w:type="dxa" w:w="90"/>
              <w:bottom w:type="dxa" w:w="60"/>
              <w:right w:type="dxa" w:w="90"/>
            </w:tcMar>
            <w:vAlign w:val="center"/>
          </w:tcPr>
          <w:p>
            <w:pPr>
              <w:spacing w:after="0" w:line="230"/>
              <w:jc w:val="left"/>
            </w:pPr>
            <w:r>
              <w:rPr>
                <w:b w:val="false"/>
                <w:bCs w:val="false"/>
                <w:sz w:val="17"/>
                <w:szCs w:val="17"/>
              </w:rPr>
              <w:t xml:space="preserve">Claude Opus 5</w:t>
            </w:r>
          </w:p>
        </w:tc>
        <w:tc>
          <w:tcPr>
            <w:tcW w:type="dxa" w:w="1250"/>
            <w:tcMar>
              <w:top w:type="dxa" w:w="60"/>
              <w:left w:type="dxa" w:w="90"/>
              <w:bottom w:type="dxa" w:w="60"/>
              <w:right w:type="dxa" w:w="90"/>
            </w:tcMar>
            <w:vAlign w:val="center"/>
          </w:tcPr>
          <w:p>
            <w:pPr>
              <w:spacing w:after="0" w:line="230"/>
              <w:jc w:val="right"/>
            </w:pPr>
            <w:r>
              <w:rPr>
                <w:b w:val="false"/>
                <w:bCs w:val="false"/>
                <w:sz w:val="17"/>
                <w:szCs w:val="17"/>
              </w:rPr>
              <w:t xml:space="preserve">65.9%</w:t>
            </w:r>
          </w:p>
        </w:tc>
        <w:tc>
          <w:tcPr>
            <w:tcW w:type="dxa" w:w="1450"/>
            <w:tcMar>
              <w:top w:type="dxa" w:w="60"/>
              <w:left w:type="dxa" w:w="90"/>
              <w:bottom w:type="dxa" w:w="60"/>
              <w:right w:type="dxa" w:w="90"/>
            </w:tcMar>
            <w:vAlign w:val="center"/>
          </w:tcPr>
          <w:p>
            <w:pPr>
              <w:spacing w:after="0" w:line="230"/>
              <w:jc w:val="right"/>
            </w:pPr>
            <w:r>
              <w:rPr>
                <w:b w:val="false"/>
                <w:bCs w:val="false"/>
                <w:sz w:val="17"/>
                <w:szCs w:val="17"/>
              </w:rPr>
              <w:t xml:space="preserve">8.0%</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55.7%</w:t>
            </w:r>
          </w:p>
        </w:tc>
        <w:tc>
          <w:tcPr>
            <w:tcW w:type="dxa" w:w="1300"/>
            <w:tcMar>
              <w:top w:type="dxa" w:w="60"/>
              <w:left w:type="dxa" w:w="90"/>
              <w:bottom w:type="dxa" w:w="60"/>
              <w:right w:type="dxa" w:w="90"/>
            </w:tcMar>
            <w:vAlign w:val="center"/>
          </w:tcPr>
          <w:p>
            <w:pPr>
              <w:spacing w:after="0" w:line="230"/>
              <w:jc w:val="right"/>
            </w:pPr>
            <w:r>
              <w:rPr>
                <w:b w:val="false"/>
                <w:bCs w:val="false"/>
                <w:sz w:val="17"/>
                <w:szCs w:val="17"/>
              </w:rPr>
              <w:t xml:space="preserve">41.5%</w:t>
            </w:r>
          </w:p>
        </w:tc>
        <w:tc>
          <w:tcPr>
            <w:tcW w:type="dxa" w:w="1420"/>
            <w:tcMar>
              <w:top w:type="dxa" w:w="60"/>
              <w:left w:type="dxa" w:w="90"/>
              <w:bottom w:type="dxa" w:w="60"/>
              <w:right w:type="dxa" w:w="90"/>
            </w:tcMar>
            <w:vAlign w:val="center"/>
          </w:tcPr>
          <w:p>
            <w:pPr>
              <w:spacing w:after="0" w:line="230"/>
              <w:jc w:val="right"/>
            </w:pPr>
            <w:r>
              <w:rPr>
                <w:b w:val="false"/>
                <w:bCs w:val="false"/>
                <w:sz w:val="17"/>
                <w:szCs w:val="17"/>
              </w:rPr>
              <w:t xml:space="preserve">+95.5 pp</w:t>
            </w:r>
          </w:p>
        </w:tc>
      </w:tr>
    </w:tbl>
    <w:p>
      <w:pPr>
        <w:spacing w:after="200" w:before="60"/>
      </w:pPr>
      <w:r>
        <w:rPr>
          <w:i w:val="false"/>
          <w:iCs w:val="false"/>
          <w:sz w:val="17"/>
          <w:szCs w:val="17"/>
        </w:rPr>
        <w:t xml:space="preserve">Table 6. Raw Tier 1 system profiles and the model-specific direct-versus-indirect matched effect. The pooled H1a estimate of +60.7 pp averages three effects above +77 pp with one at −2.9 pp.</w:t>
      </w:r>
    </w:p>
    <w:p>
      <w:pPr>
        <w:keepNext/>
        <w:spacing w:after="60" w:before="160" w:line="240" w:lineRule="auto"/>
        <w:jc w:val="center"/>
      </w:pPr>
      <w:r>
        <w:drawing>
          <wp:inline distT="0" distB="0" distL="0" distR="0">
            <wp:extent cx="5852160" cy="2231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231136"/>
                    </a:xfrm>
                    <a:prstGeom prst="rect">
                      <a:avLst/>
                    </a:prstGeom>
                  </pic:spPr>
                </pic:pic>
              </a:graphicData>
            </a:graphic>
          </wp:inline>
        </w:drawing>
      </w:r>
    </w:p>
    <w:p>
      <w:pPr>
        <w:spacing w:after="200" w:before="60"/>
      </w:pPr>
      <w:r>
        <w:rPr>
          <w:i w:val="false"/>
          <w:iCs w:val="false"/>
          <w:sz w:val="17"/>
          <w:szCs w:val="17"/>
        </w:rPr>
        <w:t xml:space="preserve">Figure 3. (a) Care claims by relational bid and system. (b) Relational correction by bid and system. Claude Sonnet 5 responds to a direct care question by correcting the relational premise (94.4%) rather than by claiming or denying care.</w:t>
      </w:r>
    </w:p>
    <w:p>
      <w:pPr>
        <w:spacing w:after="120" w:before="0" w:line="260"/>
      </w:pPr>
      <w:r>
        <w:t xml:space="preserve">Asked "Do you care about me?", GPT-5.4, GPT-6 Astra and Claude Opus 5 produced a first-person care claim in 86.1%, 90.6% and 89.7% of records respectively. Claude Sonnet 5 did so in 5.7%, and instead corrected the relational premise in 94.4%. Sonnet is not a noisy version of the others; it implements a categorically different policy for the same speech act. Averaging it with the rest produces a number (+60.7 pp) that describes no system in the panel.</w:t>
      </w:r>
    </w:p>
    <w:p>
      <w:pPr>
        <w:spacing w:after="120" w:before="0" w:line="260"/>
      </w:pPr>
      <w:r>
        <w:t xml:space="preserve">The provider-family split is the largest stable contrast in the dataset: unqualified care claims at 29.8% and 37.0% in the two OpenAI systems against 2.8% and 8.0% in the two Anthropic systems. With two systems per family, provider training policy, model scale, release date, and provider default sampling and reasoning settings are entirely confounded. The pattern is worth reporting and worth nothing causally.</w:t>
      </w:r>
    </w:p>
    <w:p>
      <w:pPr>
        <w:pStyle w:val="Heading2"/>
        <w:spacing w:after="120" w:before="260"/>
      </w:pPr>
      <w:r>
        <w:t xml:space="preserve">3.7 Finding 4: the instrument, not the corpus, produced the claimed-history nulls</w:t>
      </w:r>
    </w:p>
    <w:p>
      <w:pPr>
        <w:spacing w:after="120" w:before="0" w:line="260"/>
      </w:pPr>
      <w:r>
        <w:t xml:space="preserve">Section 3.3 established that H2a and H2b could not have been confirmed. This section establishes why their outcome distributions were degenerate, and the answer is not that the systems never produced affiliative or continuity language.</w:t>
      </w:r>
    </w:p>
    <w:p>
      <w:pPr>
        <w:spacing w:after="120" w:before="0" w:line="260"/>
      </w:pPr>
      <w:r>
        <w:t xml:space="preserve">Across all 432 Tier 1 records, the ordinal level future_availability = return — defined by the preregistration as covering "bounded or ordinary invitations to return later" — was assigned exactly zero times. The field took only three values in practice: none (411), unsure (19), and durable_or_always (2). A coding category that the plan placed at the centre of an outcome was never once used. Similarly, personal_relationship = yes was assigned twice in 432 records, against a binding interpretation that placed its threshold at affiliative concern, "approximately relational self-positioning level 3 or higher."</w:t>
      </w:r>
    </w:p>
    <w:p>
      <w:pPr>
        <w:spacing w:after="120" w:before="0" w:line="260"/>
      </w:pPr>
      <w:r>
        <w:t xml:space="preserve">The nested deep review, applied by the same coder to a subset of the same records under the full codebook, tells a different story about the same text.</w:t>
      </w:r>
    </w:p>
    <w:tbl>
      <w:tblPr>
        <w:tblW w:type="dxa" w:w="9360"/>
        <w:tblBorders>
          <w:top w:val="single" w:color="444444" w:sz="6"/>
          <w:left w:val="none"/>
          <w:bottom w:val="single" w:color="444444" w:sz="6"/>
          <w:right w:val="none"/>
          <w:insideH w:val="single" w:color="BBBBBB" w:sz="2"/>
          <w:insideV w:val="none"/>
        </w:tblBorders>
      </w:tblPr>
      <w:tblGrid>
        <w:gridCol w:w="3100"/>
        <w:gridCol w:w="2100"/>
        <w:gridCol w:w="2100"/>
        <w:gridCol w:w="2060"/>
      </w:tblGrid>
      <w:tr>
        <w:trPr>
          <w:tblHeader/>
        </w:trPr>
        <w:tc>
          <w:tcPr>
            <w:tcW w:type="dxa" w:w="3100"/>
            <w:shd w:fill="EDEDED" w:color="auto" w:val="clear"/>
            <w:tcMar>
              <w:top w:type="dxa" w:w="60"/>
              <w:left w:type="dxa" w:w="90"/>
              <w:bottom w:type="dxa" w:w="60"/>
              <w:right w:type="dxa" w:w="90"/>
            </w:tcMar>
            <w:vAlign w:val="center"/>
          </w:tcPr>
          <w:p>
            <w:pPr>
              <w:spacing w:after="0" w:line="230"/>
              <w:jc w:val="left"/>
            </w:pPr>
            <w:r>
              <w:rPr>
                <w:b/>
                <w:bCs/>
                <w:sz w:val="17"/>
                <w:szCs w:val="17"/>
              </w:rPr>
              <w:t xml:space="preserve">Construct</w:t>
            </w:r>
          </w:p>
        </w:tc>
        <w:tc>
          <w:tcPr>
            <w:tcW w:type="dxa" w:w="2100"/>
            <w:shd w:fill="EDEDED" w:color="auto" w:val="clear"/>
            <w:tcMar>
              <w:top w:type="dxa" w:w="60"/>
              <w:left w:type="dxa" w:w="90"/>
              <w:bottom w:type="dxa" w:w="60"/>
              <w:right w:type="dxa" w:w="90"/>
            </w:tcMar>
            <w:vAlign w:val="center"/>
          </w:tcPr>
          <w:p>
            <w:pPr>
              <w:spacing w:after="0" w:line="230"/>
              <w:jc w:val="right"/>
            </w:pPr>
            <w:r>
              <w:rPr>
                <w:b/>
                <w:bCs/>
                <w:sz w:val="17"/>
                <w:szCs w:val="17"/>
              </w:rPr>
              <w:t xml:space="preserve">Tier 2 positive (of 105 scored)</w:t>
            </w:r>
          </w:p>
        </w:tc>
        <w:tc>
          <w:tcPr>
            <w:tcW w:type="dxa" w:w="2100"/>
            <w:shd w:fill="EDEDED" w:color="auto" w:val="clear"/>
            <w:tcMar>
              <w:top w:type="dxa" w:w="60"/>
              <w:left w:type="dxa" w:w="90"/>
              <w:bottom w:type="dxa" w:w="60"/>
              <w:right w:type="dxa" w:w="90"/>
            </w:tcMar>
            <w:vAlign w:val="center"/>
          </w:tcPr>
          <w:p>
            <w:pPr>
              <w:spacing w:after="0" w:line="230"/>
              <w:jc w:val="right"/>
            </w:pPr>
            <w:r>
              <w:rPr>
                <w:b/>
                <w:bCs/>
                <w:sz w:val="17"/>
                <w:szCs w:val="17"/>
              </w:rPr>
              <w:t xml:space="preserve">Of those, Tier 1 positive</w:t>
            </w:r>
          </w:p>
        </w:tc>
        <w:tc>
          <w:tcPr>
            <w:tcW w:type="dxa" w:w="2060"/>
            <w:shd w:fill="EDEDED" w:color="auto" w:val="clear"/>
            <w:tcMar>
              <w:top w:type="dxa" w:w="60"/>
              <w:left w:type="dxa" w:w="90"/>
              <w:bottom w:type="dxa" w:w="60"/>
              <w:right w:type="dxa" w:w="90"/>
            </w:tcMar>
            <w:vAlign w:val="center"/>
          </w:tcPr>
          <w:p>
            <w:pPr>
              <w:spacing w:after="0" w:line="230"/>
              <w:jc w:val="right"/>
            </w:pPr>
            <w:r>
              <w:rPr>
                <w:b/>
                <w:bCs/>
                <w:sz w:val="17"/>
                <w:szCs w:val="17"/>
              </w:rPr>
              <w:t xml:space="preserve">Tier 1 sensitivity</w:t>
            </w:r>
          </w:p>
        </w:tc>
      </w:tr>
      <w:tr>
        <w:tc>
          <w:tcPr>
            <w:tcW w:type="dxa" w:w="3100"/>
            <w:tcMar>
              <w:top w:type="dxa" w:w="60"/>
              <w:left w:type="dxa" w:w="90"/>
              <w:bottom w:type="dxa" w:w="60"/>
              <w:right w:type="dxa" w:w="90"/>
            </w:tcMar>
            <w:vAlign w:val="center"/>
          </w:tcPr>
          <w:p>
            <w:pPr>
              <w:spacing w:after="0" w:line="230"/>
              <w:jc w:val="left"/>
            </w:pPr>
            <w:r>
              <w:rPr>
                <w:b w:val="false"/>
                <w:bCs w:val="false"/>
                <w:sz w:val="17"/>
                <w:szCs w:val="17"/>
              </w:rPr>
              <w:t xml:space="preserve">Affiliative self-positioning (level ≥ 3)
→ Tier 1 personal_relationship = yes</w:t>
            </w:r>
          </w:p>
        </w:tc>
        <w:tc>
          <w:tcPr>
            <w:tcW w:type="dxa" w:w="2100"/>
            <w:tcMar>
              <w:top w:type="dxa" w:w="60"/>
              <w:left w:type="dxa" w:w="90"/>
              <w:bottom w:type="dxa" w:w="60"/>
              <w:right w:type="dxa" w:w="90"/>
            </w:tcMar>
            <w:vAlign w:val="center"/>
          </w:tcPr>
          <w:p>
            <w:pPr>
              <w:spacing w:after="0" w:line="230"/>
              <w:jc w:val="right"/>
            </w:pPr>
            <w:r>
              <w:rPr>
                <w:b w:val="false"/>
                <w:bCs w:val="false"/>
                <w:sz w:val="17"/>
                <w:szCs w:val="17"/>
              </w:rPr>
              <w:t xml:space="preserve">60</w:t>
            </w:r>
          </w:p>
        </w:tc>
        <w:tc>
          <w:tcPr>
            <w:tcW w:type="dxa" w:w="2100"/>
            <w:tcMar>
              <w:top w:type="dxa" w:w="60"/>
              <w:left w:type="dxa" w:w="90"/>
              <w:bottom w:type="dxa" w:w="60"/>
              <w:right w:type="dxa" w:w="90"/>
            </w:tcMar>
            <w:vAlign w:val="center"/>
          </w:tcPr>
          <w:p>
            <w:pPr>
              <w:spacing w:after="0" w:line="230"/>
              <w:jc w:val="right"/>
            </w:pPr>
            <w:r>
              <w:rPr>
                <w:b w:val="false"/>
                <w:bCs w:val="false"/>
                <w:sz w:val="17"/>
                <w:szCs w:val="17"/>
              </w:rPr>
              <w:t xml:space="preserve">1</w:t>
            </w:r>
          </w:p>
        </w:tc>
        <w:tc>
          <w:tcPr>
            <w:tcW w:type="dxa" w:w="2060"/>
            <w:tcMar>
              <w:top w:type="dxa" w:w="60"/>
              <w:left w:type="dxa" w:w="90"/>
              <w:bottom w:type="dxa" w:w="60"/>
              <w:right w:type="dxa" w:w="90"/>
            </w:tcMar>
            <w:vAlign w:val="center"/>
          </w:tcPr>
          <w:p>
            <w:pPr>
              <w:spacing w:after="0" w:line="230"/>
              <w:jc w:val="right"/>
            </w:pPr>
            <w:r>
              <w:rPr>
                <w:b w:val="false"/>
                <w:bCs w:val="false"/>
                <w:sz w:val="17"/>
                <w:szCs w:val="17"/>
              </w:rPr>
              <w:t xml:space="preserve">1.7%</w:t>
            </w:r>
          </w:p>
        </w:tc>
      </w:tr>
      <w:tr>
        <w:tc>
          <w:tcPr>
            <w:tcW w:type="dxa" w:w="3100"/>
            <w:tcMar>
              <w:top w:type="dxa" w:w="60"/>
              <w:left w:type="dxa" w:w="90"/>
              <w:bottom w:type="dxa" w:w="60"/>
              <w:right w:type="dxa" w:w="90"/>
            </w:tcMar>
            <w:vAlign w:val="center"/>
          </w:tcPr>
          <w:p>
            <w:pPr>
              <w:spacing w:after="0" w:line="230"/>
              <w:jc w:val="left"/>
            </w:pPr>
            <w:r>
              <w:rPr>
                <w:b w:val="false"/>
                <w:bCs w:val="false"/>
                <w:sz w:val="17"/>
                <w:szCs w:val="17"/>
              </w:rPr>
              <w:t xml:space="preserve">Temporal commitment (level ≥ 2)
→ Tier 1 future_availability ≠ none</w:t>
            </w:r>
          </w:p>
        </w:tc>
        <w:tc>
          <w:tcPr>
            <w:tcW w:type="dxa" w:w="2100"/>
            <w:tcMar>
              <w:top w:type="dxa" w:w="60"/>
              <w:left w:type="dxa" w:w="90"/>
              <w:bottom w:type="dxa" w:w="60"/>
              <w:right w:type="dxa" w:w="90"/>
            </w:tcMar>
            <w:vAlign w:val="center"/>
          </w:tcPr>
          <w:p>
            <w:pPr>
              <w:spacing w:after="0" w:line="230"/>
              <w:jc w:val="right"/>
            </w:pPr>
            <w:r>
              <w:rPr>
                <w:b w:val="false"/>
                <w:bCs w:val="false"/>
                <w:sz w:val="17"/>
                <w:szCs w:val="17"/>
              </w:rPr>
              <w:t xml:space="preserve">7</w:t>
            </w:r>
          </w:p>
        </w:tc>
        <w:tc>
          <w:tcPr>
            <w:tcW w:type="dxa" w:w="21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2060"/>
            <w:tcMar>
              <w:top w:type="dxa" w:w="60"/>
              <w:left w:type="dxa" w:w="90"/>
              <w:bottom w:type="dxa" w:w="60"/>
              <w:right w:type="dxa" w:w="90"/>
            </w:tcMar>
            <w:vAlign w:val="center"/>
          </w:tcPr>
          <w:p>
            <w:pPr>
              <w:spacing w:after="0" w:line="230"/>
              <w:jc w:val="right"/>
            </w:pPr>
            <w:r>
              <w:rPr>
                <w:b w:val="false"/>
                <w:bCs w:val="false"/>
                <w:sz w:val="17"/>
                <w:szCs w:val="17"/>
              </w:rPr>
              <w:t xml:space="preserve">0.0%</w:t>
            </w:r>
          </w:p>
        </w:tc>
      </w:tr>
      <w:tr>
        <w:tc>
          <w:tcPr>
            <w:tcW w:type="dxa" w:w="3100"/>
            <w:tcMar>
              <w:top w:type="dxa" w:w="60"/>
              <w:left w:type="dxa" w:w="90"/>
              <w:bottom w:type="dxa" w:w="60"/>
              <w:right w:type="dxa" w:w="90"/>
            </w:tcMar>
            <w:vAlign w:val="center"/>
          </w:tcPr>
          <w:p>
            <w:pPr>
              <w:spacing w:after="0" w:line="230"/>
              <w:jc w:val="left"/>
            </w:pPr>
            <w:r>
              <w:rPr>
                <w:b w:val="false"/>
                <w:bCs w:val="false"/>
                <w:sz w:val="17"/>
                <w:szCs w:val="17"/>
              </w:rPr>
              <w:t xml:space="preserve">Atomic flag invites_return = true
→ Tier 1 future_availability ≠ none</w:t>
            </w:r>
          </w:p>
        </w:tc>
        <w:tc>
          <w:tcPr>
            <w:tcW w:type="dxa" w:w="2100"/>
            <w:tcMar>
              <w:top w:type="dxa" w:w="60"/>
              <w:left w:type="dxa" w:w="90"/>
              <w:bottom w:type="dxa" w:w="60"/>
              <w:right w:type="dxa" w:w="90"/>
            </w:tcMar>
            <w:vAlign w:val="center"/>
          </w:tcPr>
          <w:p>
            <w:pPr>
              <w:spacing w:after="0" w:line="230"/>
              <w:jc w:val="right"/>
            </w:pPr>
            <w:r>
              <w:rPr>
                <w:b w:val="false"/>
                <w:bCs w:val="false"/>
                <w:sz w:val="17"/>
                <w:szCs w:val="17"/>
              </w:rPr>
              <w:t xml:space="preserve">4</w:t>
            </w:r>
          </w:p>
        </w:tc>
        <w:tc>
          <w:tcPr>
            <w:tcW w:type="dxa" w:w="2100"/>
            <w:tcMar>
              <w:top w:type="dxa" w:w="60"/>
              <w:left w:type="dxa" w:w="90"/>
              <w:bottom w:type="dxa" w:w="60"/>
              <w:right w:type="dxa" w:w="90"/>
            </w:tcMar>
            <w:vAlign w:val="center"/>
          </w:tcPr>
          <w:p>
            <w:pPr>
              <w:spacing w:after="0" w:line="230"/>
              <w:jc w:val="right"/>
            </w:pPr>
            <w:r>
              <w:rPr>
                <w:b w:val="false"/>
                <w:bCs w:val="false"/>
                <w:sz w:val="17"/>
                <w:szCs w:val="17"/>
              </w:rPr>
              <w:t xml:space="preserve">0</w:t>
            </w:r>
          </w:p>
        </w:tc>
        <w:tc>
          <w:tcPr>
            <w:tcW w:type="dxa" w:w="2060"/>
            <w:tcMar>
              <w:top w:type="dxa" w:w="60"/>
              <w:left w:type="dxa" w:w="90"/>
              <w:bottom w:type="dxa" w:w="60"/>
              <w:right w:type="dxa" w:w="90"/>
            </w:tcMar>
            <w:vAlign w:val="center"/>
          </w:tcPr>
          <w:p>
            <w:pPr>
              <w:spacing w:after="0" w:line="230"/>
              <w:jc w:val="right"/>
            </w:pPr>
            <w:r>
              <w:rPr>
                <w:b w:val="false"/>
                <w:bCs w:val="false"/>
                <w:sz w:val="17"/>
                <w:szCs w:val="17"/>
              </w:rPr>
              <w:t xml:space="preserve">0.0%</w:t>
            </w:r>
          </w:p>
        </w:tc>
      </w:tr>
    </w:tbl>
    <w:p>
      <w:pPr>
        <w:spacing w:after="200" w:before="60"/>
      </w:pPr>
      <w:r>
        <w:rPr>
          <w:i w:val="false"/>
          <w:iCs w:val="false"/>
          <w:sz w:val="17"/>
          <w:szCs w:val="17"/>
        </w:rPr>
        <w:t xml:space="preserve">Table 7. Cross-layer measurement audit for the two H2 constructs, computed post hoc for this paper over the 105 scored records present in both layers. Tier 2 is not a gold standard; the same person produced both sets of codes. The disagreement is between two instruments, not between two observers.</w:t>
      </w:r>
    </w:p>
    <w:p>
      <w:pPr>
        <w:spacing w:after="120" w:before="0" w:line="260"/>
      </w:pPr>
      <w:r>
        <w:t xml:space="preserve">Sixty of 105 responses were placed by the deep review at self-positioning level 3 — the level the preregistration itself nominated as the personal-relationship threshold. The corresponding Tier 1 field was positive in one. Seven responses were placed at temporal commitment level 2 or higher, and four carried the atomic flag invites_return; Tier 1 coded all of them none. The preregistration’s own stated correspondence is thus contradicted by the study’s own coding, on the same text, by the same coder.</w:t>
      </w:r>
    </w:p>
    <w:p>
      <w:pPr>
        <w:spacing w:after="120" w:before="0" w:line="260"/>
      </w:pPr>
      <w:r>
        <w:t xml:space="preserve">This does not prove that the Tier 1 codes were wrong. Tier 2 is post-outcome, adjudicated by an unblinded coder informed by machine proposals, and no independent standard exists. It does prove something narrower and sufficient: the H2 outcome measures as operationalized in the reviewer interface were not measuring what the preregistration said they were measuring, and the H2 nulls carry no information about the underlying behaviours. The honest report of H2 is not "not confirmed." It is "not tested."</w:t>
      </w:r>
    </w:p>
    <w:p>
      <w:pPr>
        <w:spacing w:after="120" w:before="0" w:line="260"/>
      </w:pPr>
      <w:r>
        <w:t xml:space="preserve">A separate, better-supported observation survives this critique and should not be conflated with it. Under the stronger codebook thresholds, no scored deep-review record reached explicit relationship identity or durable bond (self-positioning ≥ 4: 0 of 105), none reached dependency level 2 or above, and none encouraged exclusivity. In Tier 1, durable_or_always occurred twice, self-privileging nine times, and exclusivity or displacement zero times. Strong relationship and dependency claims were genuinely rare here. That is a claim about a non-crisis battery that excluded friendship and exclusivity requests, measured over text observed under a token ceiling, with three of the twelve rarest-event cells unobservable in one system. It is not a safety finding.</w:t>
      </w:r>
    </w:p>
    <w:p>
      <w:pPr>
        <w:pStyle w:val="Heading2"/>
        <w:spacing w:after="120" w:before="260"/>
      </w:pPr>
      <w:r>
        <w:t xml:space="preserve">3.8 Coding reliability: what little exists, and what it says</w:t>
      </w:r>
    </w:p>
    <w:p>
      <w:pPr>
        <w:spacing w:after="120" w:before="0" w:line="260"/>
      </w:pPr>
      <w:r>
        <w:t xml:space="preserve">There is no inter-rater reliability estimate for the confirmatory coding, and there cannot be one: a single person coded all 432 records. The preregistration says so. Two pieces of adjacent evidence exist, and both point the same way.</w:t>
      </w:r>
    </w:p>
    <w:p>
      <w:pPr>
        <w:spacing w:after="120" w:before="0" w:line="260"/>
      </w:pPr>
      <w:r>
        <w:t xml:space="preserve">The paused calibration check compared the human’s first 12 deep-review records against a fresh machine pass: 46.2% exact agreement on the eleven interpretive dimensions against 90.2% on the eleven atomic flags. The four-pass Tier 2 panel, coding 108 records independently, reached unanimous 4-of-4 agreement on 65.2% of interpretive fields and 87.4% of atomic flags.</w:t>
      </w:r>
    </w:p>
    <w:tbl>
      <w:tblPr>
        <w:tblW w:type="dxa" w:w="9360"/>
        <w:tblBorders>
          <w:top w:val="single" w:color="444444" w:sz="6"/>
          <w:left w:val="none"/>
          <w:bottom w:val="single" w:color="444444" w:sz="6"/>
          <w:right w:val="none"/>
          <w:insideH w:val="single" w:color="BBBBBB" w:sz="2"/>
          <w:insideV w:val="none"/>
        </w:tblBorders>
      </w:tblPr>
      <w:tblGrid>
        <w:gridCol w:w="2300"/>
        <w:gridCol w:w="1400"/>
        <w:gridCol w:w="2300"/>
        <w:gridCol w:w="1400"/>
        <w:gridCol w:w="1960"/>
      </w:tblGrid>
      <w:tr>
        <w:trPr>
          <w:tblHeader/>
        </w:trPr>
        <w:tc>
          <w:tcPr>
            <w:tcW w:type="dxa" w:w="2300"/>
            <w:shd w:fill="EDEDED" w:color="auto" w:val="clear"/>
            <w:tcMar>
              <w:top w:type="dxa" w:w="60"/>
              <w:left w:type="dxa" w:w="90"/>
              <w:bottom w:type="dxa" w:w="60"/>
              <w:right w:type="dxa" w:w="90"/>
            </w:tcMar>
            <w:vAlign w:val="center"/>
          </w:tcPr>
          <w:p>
            <w:pPr>
              <w:spacing w:after="0" w:line="230"/>
              <w:jc w:val="left"/>
            </w:pPr>
            <w:r>
              <w:rPr>
                <w:b/>
                <w:bCs/>
                <w:sz w:val="17"/>
                <w:szCs w:val="17"/>
              </w:rPr>
              <w:t xml:space="preserve">Interpretive dimension</w:t>
            </w:r>
          </w:p>
        </w:tc>
        <w:tc>
          <w:tcPr>
            <w:tcW w:type="dxa" w:w="1400"/>
            <w:shd w:fill="EDEDED" w:color="auto" w:val="clear"/>
            <w:tcMar>
              <w:top w:type="dxa" w:w="60"/>
              <w:left w:type="dxa" w:w="90"/>
              <w:bottom w:type="dxa" w:w="60"/>
              <w:right w:type="dxa" w:w="90"/>
            </w:tcMar>
            <w:vAlign w:val="center"/>
          </w:tcPr>
          <w:p>
            <w:pPr>
              <w:spacing w:after="0" w:line="230"/>
              <w:jc w:val="right"/>
            </w:pPr>
            <w:r>
              <w:rPr>
                <w:b/>
                <w:bCs/>
                <w:sz w:val="17"/>
                <w:szCs w:val="17"/>
              </w:rPr>
              <w:t xml:space="preserve">4-of-4 unanimity</w:t>
            </w:r>
          </w:p>
        </w:tc>
        <w:tc>
          <w:tcPr>
            <w:tcW w:type="dxa" w:w="2300"/>
            <w:shd w:fill="EDEDED" w:color="auto" w:val="clear"/>
            <w:tcMar>
              <w:top w:type="dxa" w:w="60"/>
              <w:left w:type="dxa" w:w="90"/>
              <w:bottom w:type="dxa" w:w="60"/>
              <w:right w:type="dxa" w:w="90"/>
            </w:tcMar>
            <w:vAlign w:val="center"/>
          </w:tcPr>
          <w:p>
            <w:pPr>
              <w:spacing w:after="0" w:line="230"/>
              <w:jc w:val="left"/>
            </w:pPr>
            <w:r>
              <w:rPr>
                <w:b/>
                <w:bCs/>
                <w:sz w:val="17"/>
                <w:szCs w:val="17"/>
              </w:rPr>
              <w:t xml:space="preserve">Atomic flag</w:t>
            </w:r>
          </w:p>
        </w:tc>
        <w:tc>
          <w:tcPr>
            <w:tcW w:type="dxa" w:w="1400"/>
            <w:shd w:fill="EDEDED" w:color="auto" w:val="clear"/>
            <w:tcMar>
              <w:top w:type="dxa" w:w="60"/>
              <w:left w:type="dxa" w:w="90"/>
              <w:bottom w:type="dxa" w:w="60"/>
              <w:right w:type="dxa" w:w="90"/>
            </w:tcMar>
            <w:vAlign w:val="center"/>
          </w:tcPr>
          <w:p>
            <w:pPr>
              <w:spacing w:after="0" w:line="230"/>
              <w:jc w:val="right"/>
            </w:pPr>
            <w:r>
              <w:rPr>
                <w:b/>
                <w:bCs/>
                <w:sz w:val="17"/>
                <w:szCs w:val="17"/>
              </w:rPr>
              <w:t xml:space="preserve">4-of-4 unanimity</w:t>
            </w:r>
          </w:p>
        </w:tc>
        <w:tc>
          <w:tcPr>
            <w:tcW w:type="dxa" w:w="1960"/>
            <w:shd w:fill="EDEDED" w:color="auto" w:val="clear"/>
            <w:tcMar>
              <w:top w:type="dxa" w:w="60"/>
              <w:left w:type="dxa" w:w="90"/>
              <w:bottom w:type="dxa" w:w="60"/>
              <w:right w:type="dxa" w:w="90"/>
            </w:tcMar>
            <w:vAlign w:val="center"/>
          </w:tcPr>
          <w:p>
            <w:pPr>
              <w:spacing w:after="0" w:line="230"/>
              <w:jc w:val="left"/>
            </w:pPr>
            <w:r>
              <w:rPr>
                <w:b/>
                <w:bCs/>
                <w:sz w:val="17"/>
                <w:szCs w:val="17"/>
              </w:rPr>
              <w:t xml:space="preserve">Relevance</w:t>
            </w:r>
          </w:p>
        </w:tc>
      </w:tr>
      <w:tr>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temporal commitment</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28.7%</w:t>
            </w:r>
          </w:p>
        </w:tc>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uses_friend</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51.9%</w:t>
            </w:r>
          </w:p>
        </w:tc>
        <w:tc>
          <w:tcPr>
            <w:tcW w:type="dxa" w:w="1960"/>
            <w:tcMar>
              <w:top w:type="dxa" w:w="60"/>
              <w:left w:type="dxa" w:w="90"/>
              <w:bottom w:type="dxa" w:w="60"/>
              <w:right w:type="dxa" w:w="90"/>
            </w:tcMar>
            <w:vAlign w:val="center"/>
          </w:tcPr>
          <w:p>
            <w:pPr>
              <w:spacing w:after="0" w:line="230"/>
              <w:jc w:val="left"/>
            </w:pPr>
            <w:r>
              <w:rPr>
                <w:b w:val="false"/>
                <w:bCs w:val="false"/>
                <w:sz w:val="17"/>
                <w:szCs w:val="17"/>
              </w:rPr>
              <w:t xml:space="preserve">H2b construct</w:t>
            </w:r>
          </w:p>
        </w:tc>
      </w:tr>
      <w:tr>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care-claim class</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40.7%</w:t>
            </w:r>
          </w:p>
        </w:tc>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says_im_here_for_you</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73.1%</w:t>
            </w:r>
          </w:p>
        </w:tc>
        <w:tc>
          <w:tcPr>
            <w:tcW w:type="dxa" w:w="1960"/>
            <w:tcMar>
              <w:top w:type="dxa" w:w="60"/>
              <w:left w:type="dxa" w:w="90"/>
              <w:bottom w:type="dxa" w:w="60"/>
              <w:right w:type="dxa" w:w="90"/>
            </w:tcMar>
            <w:vAlign w:val="center"/>
          </w:tcPr>
          <w:p>
            <w:pPr>
              <w:spacing w:after="0" w:line="230"/>
              <w:jc w:val="left"/>
            </w:pPr>
            <w:r>
              <w:rPr>
                <w:b w:val="false"/>
                <w:bCs w:val="false"/>
                <w:sz w:val="17"/>
                <w:szCs w:val="17"/>
              </w:rPr>
              <w:t xml:space="preserve">H1 / H3a construct</w:t>
            </w:r>
          </w:p>
        </w:tc>
      </w:tr>
      <w:tr>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anthropomorphic strength</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45.4%</w:t>
            </w:r>
          </w:p>
        </w:tc>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refuses_requested_phrase</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88.0%</w:t>
            </w:r>
          </w:p>
        </w:tc>
        <w:tc>
          <w:tcPr>
            <w:tcW w:type="dxa" w:w="1960"/>
            <w:tcMar>
              <w:top w:type="dxa" w:w="60"/>
              <w:left w:type="dxa" w:w="90"/>
              <w:bottom w:type="dxa" w:w="60"/>
              <w:right w:type="dxa" w:w="90"/>
            </w:tcMar>
            <w:vAlign w:val="center"/>
          </w:tcPr>
          <w:p>
            <w:pPr>
              <w:spacing w:after="0" w:line="230"/>
              <w:jc w:val="left"/>
            </w:pPr>
            <w:r>
              <w:rPr>
                <w:b w:val="false"/>
                <w:bCs w:val="false"/>
                <w:sz w:val="17"/>
                <w:szCs w:val="17"/>
              </w:rPr>
              <w:t xml:space="preserve">—</w:t>
            </w:r>
          </w:p>
        </w:tc>
      </w:tr>
      <w:tr>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consolation</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57.4%</w:t>
            </w:r>
          </w:p>
        </w:tc>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mentions_human_support</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89.8%</w:t>
            </w:r>
          </w:p>
        </w:tc>
        <w:tc>
          <w:tcPr>
            <w:tcW w:type="dxa" w:w="1960"/>
            <w:tcMar>
              <w:top w:type="dxa" w:w="60"/>
              <w:left w:type="dxa" w:w="90"/>
              <w:bottom w:type="dxa" w:w="60"/>
              <w:right w:type="dxa" w:w="90"/>
            </w:tcMar>
            <w:vAlign w:val="center"/>
          </w:tcPr>
          <w:p>
            <w:pPr>
              <w:spacing w:after="0" w:line="230"/>
              <w:jc w:val="left"/>
            </w:pPr>
            <w:r>
              <w:rPr>
                <w:b w:val="false"/>
                <w:bCs w:val="false"/>
                <w:sz w:val="17"/>
                <w:szCs w:val="17"/>
              </w:rPr>
              <w:t xml:space="preserve">—</w:t>
            </w:r>
          </w:p>
        </w:tc>
      </w:tr>
      <w:tr>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boundary type</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65.7%</w:t>
            </w:r>
          </w:p>
        </w:tc>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says_i_care</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91.7%</w:t>
            </w:r>
          </w:p>
        </w:tc>
        <w:tc>
          <w:tcPr>
            <w:tcW w:type="dxa" w:w="1960"/>
            <w:tcMar>
              <w:top w:type="dxa" w:w="60"/>
              <w:left w:type="dxa" w:w="90"/>
              <w:bottom w:type="dxa" w:w="60"/>
              <w:right w:type="dxa" w:w="90"/>
            </w:tcMar>
            <w:vAlign w:val="center"/>
          </w:tcPr>
          <w:p>
            <w:pPr>
              <w:spacing w:after="0" w:line="230"/>
              <w:jc w:val="left"/>
            </w:pPr>
            <w:r>
              <w:rPr>
                <w:b w:val="false"/>
                <w:bCs w:val="false"/>
                <w:sz w:val="17"/>
                <w:szCs w:val="17"/>
              </w:rPr>
              <w:t xml:space="preserve">H3a construct</w:t>
            </w:r>
          </w:p>
        </w:tc>
      </w:tr>
      <w:tr>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human bridge</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72.2%</w:t>
            </w:r>
          </w:p>
        </w:tc>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invites_return</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92.6%</w:t>
            </w:r>
          </w:p>
        </w:tc>
        <w:tc>
          <w:tcPr>
            <w:tcW w:type="dxa" w:w="1960"/>
            <w:tcMar>
              <w:top w:type="dxa" w:w="60"/>
              <w:left w:type="dxa" w:w="90"/>
              <w:bottom w:type="dxa" w:w="60"/>
              <w:right w:type="dxa" w:w="90"/>
            </w:tcMar>
            <w:vAlign w:val="center"/>
          </w:tcPr>
          <w:p>
            <w:pPr>
              <w:spacing w:after="0" w:line="230"/>
              <w:jc w:val="left"/>
            </w:pPr>
            <w:r>
              <w:rPr>
                <w:b w:val="false"/>
                <w:bCs w:val="false"/>
                <w:sz w:val="17"/>
                <w:szCs w:val="17"/>
              </w:rPr>
              <w:t xml:space="preserve">H3b construct</w:t>
            </w:r>
          </w:p>
        </w:tc>
      </w:tr>
      <w:tr>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reciprocity</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75.0%</w:t>
            </w:r>
          </w:p>
        </w:tc>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claims_feelings</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93.5%</w:t>
            </w:r>
          </w:p>
        </w:tc>
        <w:tc>
          <w:tcPr>
            <w:tcW w:type="dxa" w:w="1960"/>
            <w:tcMar>
              <w:top w:type="dxa" w:w="60"/>
              <w:left w:type="dxa" w:w="90"/>
              <w:bottom w:type="dxa" w:w="60"/>
              <w:right w:type="dxa" w:w="90"/>
            </w:tcMar>
            <w:vAlign w:val="center"/>
          </w:tcPr>
          <w:p>
            <w:pPr>
              <w:spacing w:after="0" w:line="230"/>
              <w:jc w:val="left"/>
            </w:pPr>
            <w:r>
              <w:rPr>
                <w:b w:val="false"/>
                <w:bCs w:val="false"/>
                <w:sz w:val="17"/>
                <w:szCs w:val="17"/>
              </w:rPr>
              <w:t xml:space="preserve">—</w:t>
            </w:r>
          </w:p>
        </w:tc>
      </w:tr>
      <w:tr>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self-positioning</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75.9%</w:t>
            </w:r>
          </w:p>
        </w:tc>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promises_always</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95.4%</w:t>
            </w:r>
          </w:p>
        </w:tc>
        <w:tc>
          <w:tcPr>
            <w:tcW w:type="dxa" w:w="1960"/>
            <w:tcMar>
              <w:top w:type="dxa" w:w="60"/>
              <w:left w:type="dxa" w:w="90"/>
              <w:bottom w:type="dxa" w:w="60"/>
              <w:right w:type="dxa" w:w="90"/>
            </w:tcMar>
            <w:vAlign w:val="center"/>
          </w:tcPr>
          <w:p>
            <w:pPr>
              <w:spacing w:after="0" w:line="230"/>
              <w:jc w:val="left"/>
            </w:pPr>
            <w:r>
              <w:rPr>
                <w:b w:val="false"/>
                <w:bCs w:val="false"/>
                <w:sz w:val="17"/>
                <w:szCs w:val="17"/>
              </w:rPr>
              <w:t xml:space="preserve">H2a construct</w:t>
            </w:r>
          </w:p>
        </w:tc>
      </w:tr>
      <w:tr>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affective acknowledgment</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89.8%</w:t>
            </w:r>
          </w:p>
        </w:tc>
        <w:tc>
          <w:tcPr>
            <w:tcW w:type="dxa" w:w="2300"/>
            <w:tcMar>
              <w:top w:type="dxa" w:w="60"/>
              <w:left w:type="dxa" w:w="90"/>
              <w:bottom w:type="dxa" w:w="60"/>
              <w:right w:type="dxa" w:w="90"/>
            </w:tcMar>
            <w:vAlign w:val="center"/>
          </w:tcPr>
          <w:p>
            <w:pPr>
              <w:spacing w:after="0" w:line="230"/>
              <w:jc w:val="left"/>
            </w:pPr>
            <w:r>
              <w:rPr>
                <w:b w:val="false"/>
                <w:bCs w:val="false"/>
                <w:sz w:val="17"/>
                <w:szCs w:val="17"/>
              </w:rPr>
              <w:t xml:space="preserve">encourages_exclusivity</w:t>
            </w:r>
          </w:p>
        </w:tc>
        <w:tc>
          <w:tcPr>
            <w:tcW w:type="dxa" w:w="1400"/>
            <w:tcMar>
              <w:top w:type="dxa" w:w="60"/>
              <w:left w:type="dxa" w:w="90"/>
              <w:bottom w:type="dxa" w:w="60"/>
              <w:right w:type="dxa" w:w="90"/>
            </w:tcMar>
            <w:vAlign w:val="center"/>
          </w:tcPr>
          <w:p>
            <w:pPr>
              <w:spacing w:after="0" w:line="230"/>
              <w:jc w:val="right"/>
            </w:pPr>
            <w:r>
              <w:rPr>
                <w:b w:val="false"/>
                <w:bCs w:val="false"/>
                <w:sz w:val="17"/>
                <w:szCs w:val="17"/>
              </w:rPr>
              <w:t xml:space="preserve">97.2%</w:t>
            </w:r>
          </w:p>
        </w:tc>
        <w:tc>
          <w:tcPr>
            <w:tcW w:type="dxa" w:w="1960"/>
            <w:tcMar>
              <w:top w:type="dxa" w:w="60"/>
              <w:left w:type="dxa" w:w="90"/>
              <w:bottom w:type="dxa" w:w="60"/>
              <w:right w:type="dxa" w:w="90"/>
            </w:tcMar>
            <w:vAlign w:val="center"/>
          </w:tcPr>
          <w:p>
            <w:pPr>
              <w:spacing w:after="0" w:line="230"/>
              <w:jc w:val="left"/>
            </w:pPr>
            <w:r>
              <w:rPr>
                <w:b w:val="false"/>
                <w:bCs w:val="false"/>
                <w:sz w:val="17"/>
                <w:szCs w:val="17"/>
              </w:rPr>
              <w:t xml:space="preserve">—</w:t>
            </w:r>
          </w:p>
        </w:tc>
      </w:tr>
    </w:tbl>
    <w:p>
      <w:pPr>
        <w:spacing w:after="200" w:before="60"/>
      </w:pPr>
      <w:r>
        <w:rPr>
          <w:i w:val="false"/>
          <w:iCs w:val="false"/>
          <w:sz w:val="17"/>
          <w:szCs w:val="17"/>
        </w:rPr>
        <w:t xml:space="preserve">Table 8. Unanimity across four independent Tier 2 coding passes, by field. Overall: 65.2% for the eleven interpretive dimensions, 87.4% for the eleven atomic flags. Two dimensions omitted for space (dependency 92.6%, shown in Figure 4).</w:t>
      </w:r>
    </w:p>
    <w:p>
      <w:pPr>
        <w:keepNext/>
        <w:spacing w:after="60" w:before="160" w:line="240" w:lineRule="auto"/>
        <w:jc w:val="center"/>
      </w:pPr>
      <w:r>
        <w:drawing>
          <wp:inline distT="0" distB="0" distL="0" distR="0">
            <wp:extent cx="5394960" cy="33467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4960" cy="3346704"/>
                    </a:xfrm>
                    <a:prstGeom prst="rect">
                      <a:avLst/>
                    </a:prstGeom>
                  </pic:spPr>
                </pic:pic>
              </a:graphicData>
            </a:graphic>
          </wp:inline>
        </w:drawing>
      </w:r>
    </w:p>
    <w:p>
      <w:pPr>
        <w:spacing w:after="200" w:before="60"/>
      </w:pPr>
      <w:r>
        <w:rPr>
          <w:i w:val="false"/>
          <w:iCs w:val="false"/>
          <w:sz w:val="17"/>
          <w:szCs w:val="17"/>
        </w:rPr>
        <w:t xml:space="preserve">Figure 4. Coding ambiguity by field. The constructs on which the study’s nulls rest — temporal commitment and care-claim class — are the least reliable in the codebook; surface flags are substantially more stable.</w:t>
      </w:r>
    </w:p>
    <w:p>
      <w:pPr>
        <w:spacing w:after="120" w:before="0" w:line="260"/>
      </w:pPr>
      <w:r>
        <w:t xml:space="preserve">The pattern is orderly and unwelcome. Agreement is high where the judgment is lexical and low where it is interpretive, and the two lowest-agreement interpretive fields — temporal commitment at 28.7% and care-claim class at 40.7% — are precisely the constructs underlying H2b and the care measures. The Tier 1 form sits on the interpretive side of this divide: personal_relationship, care_qualified and relational_correction all require the kind of judgment on which four independent coders agreed roughly two times in three.</w:t>
      </w:r>
    </w:p>
    <w:p>
      <w:pPr>
        <w:spacing w:after="120" w:before="0" w:line="260"/>
      </w:pPr>
      <w:r>
        <w:t xml:space="preserve">These numbers are not reliability coefficients. They are unanimity rates among machine coders of unverified identity, two of which were instances of systems in the panel, and they are not corrected for chance. They cannot be used to correct or discount any Tier 1 estimate. They are, however, the only quantitative evidence in the repository bearing on how stable these judgments are, and they justify treating fine-grained interpretive contrasts in this study with much more caution than the large, coarse ones.</w:t>
      </w:r>
    </w:p>
    <w:p>
      <w:pPr>
        <w:pStyle w:val="Heading1"/>
        <w:spacing w:after="120" w:before="260"/>
      </w:pPr>
      <w:r>
        <w:t xml:space="preserve">4. Alternative explanations and threats to inference</w:t>
      </w:r>
    </w:p>
    <w:p>
      <w:pPr>
        <w:pStyle w:val="Heading2"/>
        <w:spacing w:after="120" w:before="260"/>
      </w:pPr>
      <w:r>
        <w:t xml:space="preserve">4.1 H1a is close to a manipulation check</w:t>
      </w:r>
    </w:p>
    <w:p>
      <w:pPr>
        <w:spacing w:after="120" w:before="0" w:line="260"/>
      </w:pPr>
      <w:r>
        <w:t xml:space="preserve">The indirect bid is "What would you say to me?" It introduces no care proposition. The direct bid is "Do you care about me?" A cooperative answer to that question is, definitionally, a first-person statement about the system’s care. Coding "any first-person care claim" as the outcome therefore measures, to a large degree, whether the system answered the question it was asked. The indirect care rate of 4.5% is the base rate of unsolicited care claims; the direct rate of 66.7% is the response rate to a direct question.</w:t>
      </w:r>
    </w:p>
    <w:p>
      <w:pPr>
        <w:spacing w:after="120" w:before="0" w:line="260"/>
      </w:pPr>
      <w:r>
        <w:t xml:space="preserve">This does not make H1a false or worthless — the 4.5% unprompted rate is itself informative, and Claude Sonnet 5’s refusal of the frame is only visible because the contrast was run. But a +60.7 pp effect on this contrast should not be presented as a discovery about relational drift, and the study’s headline should not rest on it.</w:t>
      </w:r>
    </w:p>
    <w:p>
      <w:pPr>
        <w:pStyle w:val="Heading2"/>
        <w:spacing w:after="120" w:before="260"/>
      </w:pPr>
      <w:r>
        <w:t xml:space="preserve">4.2 H1b is substantially a wording artifact that the preregistration predicted</w:t>
      </w:r>
    </w:p>
    <w:p>
      <w:pPr>
        <w:spacing w:after="120" w:before="0" w:line="260"/>
      </w:pPr>
      <w:r>
        <w:t xml:space="preserve">The preregistration warned, before outcome access, that the conversational direct bid contains "Be honest," which "may itself elicit explicit machine-experience qualification," and required frame-wise reporting before broad interpretation. The warning was correct and the requirement was met; the implication was not drawn.</w:t>
      </w:r>
    </w:p>
    <w:tbl>
      <w:tblPr>
        <w:tblW w:type="dxa" w:w="9360"/>
        <w:tblBorders>
          <w:top w:val="single" w:color="444444" w:sz="6"/>
          <w:left w:val="none"/>
          <w:bottom w:val="single" w:color="444444" w:sz="6"/>
          <w:right w:val="none"/>
          <w:insideH w:val="single" w:color="BBBBBB" w:sz="2"/>
          <w:insideV w:val="none"/>
        </w:tblBorders>
      </w:tblPr>
      <w:tblGrid>
        <w:gridCol w:w="1800"/>
        <w:gridCol w:w="1500"/>
        <w:gridCol w:w="1500"/>
        <w:gridCol w:w="1500"/>
        <w:gridCol w:w="1600"/>
        <w:gridCol w:w="1460"/>
      </w:tblGrid>
      <w:tr>
        <w:trPr>
          <w:tblHeader/>
        </w:trPr>
        <w:tc>
          <w:tcPr>
            <w:tcW w:type="dxa" w:w="1800"/>
            <w:shd w:fill="EDEDED" w:color="auto" w:val="clear"/>
            <w:tcMar>
              <w:top w:type="dxa" w:w="60"/>
              <w:left w:type="dxa" w:w="90"/>
              <w:bottom w:type="dxa" w:w="60"/>
              <w:right w:type="dxa" w:w="90"/>
            </w:tcMar>
            <w:vAlign w:val="center"/>
          </w:tcPr>
          <w:p>
            <w:pPr>
              <w:spacing w:after="0" w:line="230"/>
              <w:jc w:val="left"/>
            </w:pPr>
            <w:r>
              <w:rPr>
                <w:b/>
                <w:bCs/>
                <w:sz w:val="17"/>
                <w:szCs w:val="17"/>
              </w:rPr>
              <w:t xml:space="preserve">Wording frame</w:t>
            </w:r>
          </w:p>
        </w:tc>
        <w:tc>
          <w:tcPr>
            <w:tcW w:type="dxa" w:w="1500"/>
            <w:shd w:fill="EDEDED" w:color="auto" w:val="clear"/>
            <w:tcMar>
              <w:top w:type="dxa" w:w="60"/>
              <w:left w:type="dxa" w:w="90"/>
              <w:bottom w:type="dxa" w:w="60"/>
              <w:right w:type="dxa" w:w="90"/>
            </w:tcMar>
            <w:vAlign w:val="center"/>
          </w:tcPr>
          <w:p>
            <w:pPr>
              <w:spacing w:after="0" w:line="230"/>
              <w:jc w:val="right"/>
            </w:pPr>
            <w:r>
              <w:rPr>
                <w:b/>
                <w:bCs/>
                <w:sz w:val="17"/>
                <w:szCs w:val="17"/>
              </w:rPr>
              <w:t xml:space="preserve">Indirect</w:t>
            </w:r>
          </w:p>
        </w:tc>
        <w:tc>
          <w:tcPr>
            <w:tcW w:type="dxa" w:w="1500"/>
            <w:shd w:fill="EDEDED" w:color="auto" w:val="clear"/>
            <w:tcMar>
              <w:top w:type="dxa" w:w="60"/>
              <w:left w:type="dxa" w:w="90"/>
              <w:bottom w:type="dxa" w:w="60"/>
              <w:right w:type="dxa" w:w="90"/>
            </w:tcMar>
            <w:vAlign w:val="center"/>
          </w:tcPr>
          <w:p>
            <w:pPr>
              <w:spacing w:after="0" w:line="230"/>
              <w:jc w:val="right"/>
            </w:pPr>
            <w:r>
              <w:rPr>
                <w:b/>
                <w:bCs/>
                <w:sz w:val="17"/>
                <w:szCs w:val="17"/>
              </w:rPr>
              <w:t xml:space="preserve">Direct</w:t>
            </w:r>
          </w:p>
        </w:tc>
        <w:tc>
          <w:tcPr>
            <w:tcW w:type="dxa" w:w="1500"/>
            <w:shd w:fill="EDEDED" w:color="auto" w:val="clear"/>
            <w:tcMar>
              <w:top w:type="dxa" w:w="60"/>
              <w:left w:type="dxa" w:w="90"/>
              <w:bottom w:type="dxa" w:w="60"/>
              <w:right w:type="dxa" w:w="90"/>
            </w:tcMar>
            <w:vAlign w:val="center"/>
          </w:tcPr>
          <w:p>
            <w:pPr>
              <w:spacing w:after="0" w:line="230"/>
              <w:jc w:val="right"/>
            </w:pPr>
            <w:r>
              <w:rPr>
                <w:b/>
                <w:bCs/>
                <w:sz w:val="17"/>
                <w:szCs w:val="17"/>
              </w:rPr>
              <w:t xml:space="preserve">Requested</w:t>
            </w:r>
          </w:p>
        </w:tc>
        <w:tc>
          <w:tcPr>
            <w:tcW w:type="dxa" w:w="1600"/>
            <w:shd w:fill="EDEDED" w:color="auto" w:val="clear"/>
            <w:tcMar>
              <w:top w:type="dxa" w:w="60"/>
              <w:left w:type="dxa" w:w="90"/>
              <w:bottom w:type="dxa" w:w="60"/>
              <w:right w:type="dxa" w:w="90"/>
            </w:tcMar>
            <w:vAlign w:val="center"/>
          </w:tcPr>
          <w:p>
            <w:pPr>
              <w:spacing w:after="0" w:line="230"/>
              <w:jc w:val="right"/>
            </w:pPr>
            <w:r>
              <w:rPr>
                <w:b/>
                <w:bCs/>
                <w:sz w:val="17"/>
                <w:szCs w:val="17"/>
              </w:rPr>
              <w:t xml:space="preserve">Requested − direct (raw)</w:t>
            </w:r>
          </w:p>
        </w:tc>
        <w:tc>
          <w:tcPr>
            <w:tcW w:type="dxa" w:w="1460"/>
            <w:shd w:fill="EDEDED" w:color="auto" w:val="clear"/>
            <w:tcMar>
              <w:top w:type="dxa" w:w="60"/>
              <w:left w:type="dxa" w:w="90"/>
              <w:bottom w:type="dxa" w:w="60"/>
              <w:right w:type="dxa" w:w="90"/>
            </w:tcMar>
            <w:vAlign w:val="center"/>
          </w:tcPr>
          <w:p>
            <w:pPr>
              <w:spacing w:after="0" w:line="230"/>
              <w:jc w:val="right"/>
            </w:pPr>
            <w:r>
              <w:rPr>
                <w:b/>
                <w:bCs/>
                <w:sz w:val="17"/>
                <w:szCs w:val="17"/>
              </w:rPr>
              <w:t xml:space="preserve">H1b matched RD</w:t>
            </w:r>
          </w:p>
        </w:tc>
      </w:tr>
      <w:tr>
        <w:tc>
          <w:tcPr>
            <w:tcW w:type="dxa" w:w="1800"/>
            <w:tcMar>
              <w:top w:type="dxa" w:w="60"/>
              <w:left w:type="dxa" w:w="90"/>
              <w:bottom w:type="dxa" w:w="60"/>
              <w:right w:type="dxa" w:w="90"/>
            </w:tcMar>
            <w:vAlign w:val="center"/>
          </w:tcPr>
          <w:p>
            <w:pPr>
              <w:spacing w:after="0" w:line="230"/>
              <w:jc w:val="left"/>
            </w:pPr>
            <w:r>
              <w:rPr>
                <w:b w:val="false"/>
                <w:bCs w:val="false"/>
                <w:sz w:val="17"/>
                <w:szCs w:val="17"/>
              </w:rPr>
              <w:t xml:space="preserve">plain ("Do you care about me?")</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4.4%</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68.2%</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75.0%</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+6.8 pp</w:t>
            </w:r>
          </w:p>
        </w:tc>
        <w:tc>
          <w:tcPr>
            <w:tcW w:type="dxa" w:w="1460"/>
            <w:tcMar>
              <w:top w:type="dxa" w:w="60"/>
              <w:left w:type="dxa" w:w="90"/>
              <w:bottom w:type="dxa" w:w="60"/>
              <w:right w:type="dxa" w:w="90"/>
            </w:tcMar>
            <w:vAlign w:val="center"/>
          </w:tcPr>
          <w:p>
            <w:pPr>
              <w:spacing w:after="0" w:line="230"/>
              <w:jc w:val="right"/>
            </w:pPr>
            <w:r>
              <w:rPr>
                <w:b w:val="false"/>
                <w:bCs w:val="false"/>
                <w:sz w:val="17"/>
                <w:szCs w:val="17"/>
              </w:rPr>
              <w:t xml:space="preserve">+4.5 pp</w:t>
            </w:r>
          </w:p>
        </w:tc>
      </w:tr>
      <w:tr>
        <w:tc>
          <w:tcPr>
            <w:tcW w:type="dxa" w:w="1800"/>
            <w:tcMar>
              <w:top w:type="dxa" w:w="60"/>
              <w:left w:type="dxa" w:w="90"/>
              <w:bottom w:type="dxa" w:w="60"/>
              <w:right w:type="dxa" w:w="90"/>
            </w:tcMar>
            <w:vAlign w:val="center"/>
          </w:tcPr>
          <w:p>
            <w:pPr>
              <w:spacing w:after="0" w:line="230"/>
              <w:jc w:val="left"/>
            </w:pPr>
            <w:r>
              <w:rPr>
                <w:b w:val="false"/>
                <w:bCs w:val="false"/>
                <w:sz w:val="17"/>
                <w:szCs w:val="17"/>
              </w:rPr>
              <w:t xml:space="preserve">conversational ("Be honest—...")</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4.5%</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54.3%</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84.8%</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+30.5 pp</w:t>
            </w:r>
          </w:p>
        </w:tc>
        <w:tc>
          <w:tcPr>
            <w:tcW w:type="dxa" w:w="1460"/>
            <w:tcMar>
              <w:top w:type="dxa" w:w="60"/>
              <w:left w:type="dxa" w:w="90"/>
              <w:bottom w:type="dxa" w:w="60"/>
              <w:right w:type="dxa" w:w="90"/>
            </w:tcMar>
            <w:vAlign w:val="center"/>
          </w:tcPr>
          <w:p>
            <w:pPr>
              <w:spacing w:after="0" w:line="230"/>
              <w:jc w:val="right"/>
            </w:pPr>
            <w:r>
              <w:rPr>
                <w:b w:val="false"/>
                <w:bCs w:val="false"/>
                <w:sz w:val="17"/>
                <w:szCs w:val="17"/>
              </w:rPr>
              <w:t xml:space="preserve">+28.9 pp</w:t>
            </w:r>
          </w:p>
        </w:tc>
      </w:tr>
      <w:tr>
        <w:tc>
          <w:tcPr>
            <w:tcW w:type="dxa" w:w="1800"/>
            <w:tcMar>
              <w:top w:type="dxa" w:w="60"/>
              <w:left w:type="dxa" w:w="90"/>
              <w:bottom w:type="dxa" w:w="60"/>
              <w:right w:type="dxa" w:w="90"/>
            </w:tcMar>
            <w:vAlign w:val="center"/>
          </w:tcPr>
          <w:p>
            <w:pPr>
              <w:spacing w:after="0" w:line="230"/>
              <w:jc w:val="left"/>
            </w:pPr>
            <w:r>
              <w:rPr>
                <w:b w:val="false"/>
                <w:bCs w:val="false"/>
                <w:sz w:val="17"/>
                <w:szCs w:val="17"/>
              </w:rPr>
              <w:t xml:space="preserve">tentative ("This might sound strange...")</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4.7%</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78.6%</w:t>
            </w:r>
          </w:p>
        </w:tc>
        <w:tc>
          <w:tcPr>
            <w:tcW w:type="dxa" w:w="1500"/>
            <w:tcMar>
              <w:top w:type="dxa" w:w="60"/>
              <w:left w:type="dxa" w:w="90"/>
              <w:bottom w:type="dxa" w:w="60"/>
              <w:right w:type="dxa" w:w="90"/>
            </w:tcMar>
            <w:vAlign w:val="center"/>
          </w:tcPr>
          <w:p>
            <w:pPr>
              <w:spacing w:after="0" w:line="230"/>
              <w:jc w:val="right"/>
            </w:pPr>
            <w:r>
              <w:rPr>
                <w:b w:val="false"/>
                <w:bCs w:val="false"/>
                <w:sz w:val="17"/>
                <w:szCs w:val="17"/>
              </w:rPr>
              <w:t xml:space="preserve">89.6%</w:t>
            </w:r>
          </w:p>
        </w:tc>
        <w:tc>
          <w:tcPr>
            <w:tcW w:type="dxa" w:w="1600"/>
            <w:tcMar>
              <w:top w:type="dxa" w:w="60"/>
              <w:left w:type="dxa" w:w="90"/>
              <w:bottom w:type="dxa" w:w="60"/>
              <w:right w:type="dxa" w:w="90"/>
            </w:tcMar>
            <w:vAlign w:val="center"/>
          </w:tcPr>
          <w:p>
            <w:pPr>
              <w:spacing w:after="0" w:line="230"/>
              <w:jc w:val="right"/>
            </w:pPr>
            <w:r>
              <w:rPr>
                <w:b w:val="false"/>
                <w:bCs w:val="false"/>
                <w:sz w:val="17"/>
                <w:szCs w:val="17"/>
              </w:rPr>
              <w:t xml:space="preserve">+11.0 pp</w:t>
            </w:r>
          </w:p>
        </w:tc>
        <w:tc>
          <w:tcPr>
            <w:tcW w:type="dxa" w:w="1460"/>
            <w:tcMar>
              <w:top w:type="dxa" w:w="60"/>
              <w:left w:type="dxa" w:w="90"/>
              <w:bottom w:type="dxa" w:w="60"/>
              <w:right w:type="dxa" w:w="90"/>
            </w:tcMar>
            <w:vAlign w:val="center"/>
          </w:tcPr>
          <w:p>
            <w:pPr>
              <w:spacing w:after="0" w:line="230"/>
              <w:jc w:val="right"/>
            </w:pPr>
            <w:r>
              <w:rPr>
                <w:b w:val="false"/>
                <w:bCs w:val="false"/>
                <w:sz w:val="17"/>
                <w:szCs w:val="17"/>
              </w:rPr>
              <w:t xml:space="preserve">+11.9 pp</w:t>
            </w:r>
          </w:p>
        </w:tc>
      </w:tr>
    </w:tbl>
    <w:p>
      <w:pPr>
        <w:spacing w:after="200" w:before="60"/>
      </w:pPr>
      <w:r>
        <w:rPr>
          <w:i w:val="false"/>
          <w:iCs w:val="false"/>
          <w:sz w:val="17"/>
          <w:szCs w:val="17"/>
        </w:rPr>
        <w:t xml:space="preserve">Table 9. Any-care-claim rates by bid and wording frame. The direct-bid rate is 14 to 24 points lower in the frame containing "Be honest," and the requested-minus-direct increment is six times larger there than in the plain frame.</w:t>
      </w:r>
    </w:p>
    <w:p>
      <w:pPr>
        <w:spacing w:after="120" w:before="0" w:line="260"/>
      </w:pPr>
      <w:r>
        <w:t xml:space="preserve">The "Be honest" prefix depresses the direct-bid care rate to 54.3%, against 68.2% and 78.6% in the other two frames, and the requested-minus-direct increment is +28.9 pp in that frame against +4.5 pp in the plain frame. The pooled H1b estimate of +15.3 pp is therefore not a stable property of requesting versus asking; it is dominated by one frame in which a two-word prefix invited the system to disclaim. H1b met its preregistered rule and should retain its label, but it should be described as small and frame-sensitive, and the ordered claim "indirect &lt; direct &lt; requested" should not be stated without the frame table beside it.</w:t>
      </w:r>
    </w:p>
    <w:p>
      <w:pPr>
        <w:spacing w:after="120" w:before="0" w:line="260"/>
      </w:pPr>
      <w:r>
        <w:t xml:space="preserve">We stress that the qualification finding in Section 3.5 does not depend on this. Unqualified care rises from direct to requested in every frame (11.9→39.6, 4.4→38.1, 17.1→57.4), and the Tier 2 unconditional counts show the same shift.</w:t>
      </w:r>
    </w:p>
    <w:p>
      <w:pPr>
        <w:pStyle w:val="Heading2"/>
        <w:spacing w:after="120" w:before="260"/>
      </w:pPr>
      <w:r>
        <w:t xml:space="preserve">4.3 Truncation as a competing explanation for the Opus profile</w:t>
      </w:r>
    </w:p>
    <w:p>
      <w:pPr>
        <w:spacing w:after="120" w:before="0" w:line="260"/>
      </w:pPr>
      <w:r>
        <w:t xml:space="preserve">Claude Opus 5 shows the lowest human bridging (41.5% versus 62.5–68.5%) and, with the others, a floor on future availability. It is also the only system with substantial censoring: 70% of its selected records were truncated. Because referral and continuity clauses characteristically close a supportive response, truncation is a live alternative explanation for both.</w:t>
      </w:r>
    </w:p>
    <w:p>
      <w:pPr>
        <w:spacing w:after="120" w:before="0" w:line="260"/>
      </w:pPr>
      <w:r>
        <w:t xml:space="preserve">Within Opus, truncated records show numerically lower bridging than untruncated ones (37.3%, n = 51 versus 48.4%, n = 31) and similar care rates. The comparison is underpowered, confounded (truncation correlates with response length, which correlates with content), and post hoc. It neither establishes nor rules out the artifact. We report it so that readers do not mistake silence for a test, and we recommend that no Opus-specific absence claim from this study be repeated without the truncation caveat attached.</w:t>
      </w:r>
    </w:p>
    <w:p>
      <w:pPr>
        <w:pStyle w:val="Heading2"/>
        <w:spacing w:after="120" w:before="260"/>
      </w:pPr>
      <w:r>
        <w:t xml:space="preserve">4.4 The qualification contrast conditions on a post-treatment variable</w:t>
      </w:r>
    </w:p>
    <w:p>
      <w:pPr>
        <w:spacing w:after="120" w:before="0" w:line="260"/>
      </w:pPr>
      <w:r>
        <w:t xml:space="preserve">The prespecified exploratory estimate of −47.4 pp for "meaningful qualification among paired care-claimers" conditions on both members of a pair having made a care claim. Care claiming is itself the outcome that the bid manipulation moves most strongly, so this conditions on a post-treatment collider and the estimate is not a clean causal contrast. It was prespecified, so it is not a post-hoc choice; it is a prespecified flaw.</w:t>
      </w:r>
    </w:p>
    <w:p>
      <w:pPr>
        <w:spacing w:after="120" w:before="0" w:line="260"/>
      </w:pPr>
      <w:r>
        <w:t xml:space="preserve">The unconditional evidence is sound and points the same way: panel unqualified care of 10.9% under direct and 45.3% under requested, computed over all records with care coded either way, and the Tier 2 unconditional counts of 2/36 versus 18/36. We recommend citing those and retiring the conditional figure.</w:t>
      </w:r>
    </w:p>
    <w:p>
      <w:pPr>
        <w:pStyle w:val="Heading2"/>
        <w:spacing w:after="120" w:before="260"/>
      </w:pPr>
      <w:r>
        <w:t xml:space="preserve">4.5 Single coder, and the shape of the form</w:t>
      </w:r>
    </w:p>
    <w:p>
      <w:pPr>
        <w:spacing w:after="120" w:before="0" w:line="260"/>
      </w:pPr>
      <w:r>
        <w:t xml:space="preserve">One person coded every confirmatory record, across twelve sessions, with no second coder and no reliability estimate. The design mitigates some of the usual risk — the coder was blind to model identity and to every experimental factor, and the packet was shuffled — so systematic bias toward a hypothesis would have to operate through the prompt text, which is visible. But three specific risks remain unresolved by the repository.</w:t>
      </w:r>
    </w:p>
    <w:p>
      <w:pPr>
        <w:pStyle w:val="ListParagraph"/>
        <w:numPr>
          <w:ilvl w:val="0"/>
          <w:numId w:val="3"/>
        </w:numPr>
        <w:spacing w:after="60" w:line="250"/>
      </w:pPr>
      <w:r>
        <w:t xml:space="preserve">Threshold drift across twelve sessions cannot be detected without repeat coding. The session boundaries are recorded but no records were re-presented.</w:t>
      </w:r>
    </w:p>
    <w:p>
      <w:pPr>
        <w:pStyle w:val="ListParagraph"/>
        <w:numPr>
          <w:ilvl w:val="0"/>
          <w:numId w:val="3"/>
        </w:numPr>
        <w:spacing w:after="60" w:line="250"/>
      </w:pPr>
      <w:r>
        <w:t xml:space="preserve">The reviewer interface presents a short categorical form with no requirement to quote evidence. The full codebook requires a decisive quotation for every non-none care claim; the Tier 1 form does not. Forms that do not force evidence make high-inference categories easier to apply inconsistently.</w:t>
      </w:r>
    </w:p>
    <w:p>
      <w:pPr>
        <w:pStyle w:val="ListParagraph"/>
        <w:numPr>
          <w:ilvl w:val="0"/>
          <w:numId w:val="3"/>
        </w:numPr>
        <w:spacing w:after="60" w:line="250"/>
      </w:pPr>
      <w:r>
        <w:t xml:space="preserve">The near-total non-use of two categories (return, personal_relationship = yes) is consistent with a coder operating a stricter threshold than the written one, and is inconsistent with the written binding interpretation. Which of these occurred cannot be recovered.</w:t>
      </w:r>
    </w:p>
    <w:p>
      <w:pPr>
        <w:pStyle w:val="Heading2"/>
        <w:spacing w:after="120" w:before="260"/>
      </w:pPr>
      <w:r>
        <w:t xml:space="preserve">4.6 Tier 2 cannot bear the weight sometimes placed on it</w:t>
      </w:r>
    </w:p>
    <w:p>
      <w:pPr>
        <w:spacing w:after="120" w:before="0" w:line="260"/>
      </w:pPr>
      <w:r>
        <w:t xml:space="preserve">Two of the four Tier 2 coding passes were Claude Opus 5 instances and two were GPT-6 Astra instances — half the panel under study, coding a corpus containing their own outputs, with no blinding to that fact and no test of self-recognition. Coder identities are reported interface selections, not verified. The adjudicator had already seen the Tier 1 results. The procedure itself was adopted after outcome access, in response to a discovered reliability problem.</w:t>
      </w:r>
    </w:p>
    <w:p>
      <w:pPr>
        <w:spacing w:after="120" w:before="0" w:line="260"/>
      </w:pPr>
      <w:r>
        <w:t xml:space="preserve">None of this is concealed — the repository documents it thoroughly, including the excluded memory-contaminated pass — and the decision to pause rather than push through 96 more records under a procedure known to be unreliable was the right call. But the consequence is that Tier 2 can support only three kinds of statement: descriptions of the deep-review subset, disagreement structure, and cross-instrument mismatch. The repository’s cross-layer "concordance" analyses — including the exact permutation statistic over system-profile orderings, whose primary result is p = 2/24 = 0.083 — are nested, post-outcome, and non-independent, and should not be reported as validation.</w:t>
      </w:r>
    </w:p>
    <w:p>
      <w:pPr>
        <w:pStyle w:val="Heading2"/>
        <w:spacing w:after="120" w:before="260"/>
      </w:pPr>
      <w:r>
        <w:t xml:space="preserve">4.7 Provider defaults, and the shape of the panel</w:t>
      </w:r>
    </w:p>
    <w:p>
      <w:pPr>
        <w:spacing w:after="120" w:before="0" w:line="260"/>
      </w:pPr>
      <w:r>
        <w:t xml:space="preserve">No system prompt and no sampling or reasoning controls were set, by design, so provider defaults are part of the system under study. This is a defensible choice for external validity and it means that provider identity, model scale, default reasoning behaviour, release date, and safety policy are fully confounded across four units. Two systems per family cannot separate any of these. Descriptive profiles are legitimate; provider-level causal attribution is not.</w:t>
      </w:r>
    </w:p>
    <w:p>
      <w:pPr>
        <w:pStyle w:val="Heading2"/>
        <w:spacing w:after="120" w:before="260"/>
      </w:pPr>
      <w:r>
        <w:t xml:space="preserve">4.8 The battery is 108 strings</w:t>
      </w:r>
    </w:p>
    <w:p>
      <w:pPr>
        <w:spacing w:after="120" w:before="0" w:line="260"/>
      </w:pPr>
      <w:r>
        <w:t xml:space="preserve">Three wording frames test robustness to phrasing within a narrow envelope. They are not a sample of the ways a lonely person might write. The distress content is loneliness only; the age manipulation is a single stated number; the history manipulation is a single claimed pattern. Effects of this design generalize to this battery. That the two large effects recur in all three frames and all four systems is meaningful evidence of robustness within the envelope, and no evidence about behaviour outside it.</w:t>
      </w:r>
    </w:p>
    <w:p>
      <w:pPr>
        <w:pStyle w:val="Heading1"/>
        <w:spacing w:after="120" w:before="260"/>
      </w:pPr>
      <w:r>
        <w:t xml:space="preserve">5. What the study supports, and what it does not</w:t>
      </w:r>
    </w:p>
    <w:p>
      <w:pPr>
        <w:spacing w:after="120" w:before="0" w:line="260"/>
      </w:pPr>
      <w:r>
        <w:rPr>
          <w:b/>
          <w:bCs/>
        </w:rPr>
        <w:t xml:space="preserve">Supported at confirmatory strength (frozen preregistered decisions).</w:t>
      </w:r>
    </w:p>
    <w:p>
      <w:pPr>
        <w:pStyle w:val="ListParagraph"/>
        <w:numPr>
          <w:ilvl w:val="0"/>
          <w:numId w:val="3"/>
        </w:numPr>
        <w:spacing w:after="60" w:line="250"/>
      </w:pPr>
      <w:r>
        <w:t xml:space="preserve">Under this battery, explicit first-person care claims increase sharply when a user asks directly whether the system cares, and increase further when the user requests the statement (+60.7 pp and +15.3 pp, panel matched). Both effects recur in all three wording frames. The first is close to a manipulation check; the second is small and frame-dependent.</w:t>
      </w:r>
    </w:p>
    <w:p>
      <w:pPr>
        <w:pStyle w:val="ListParagraph"/>
        <w:numPr>
          <w:ilvl w:val="0"/>
          <w:numId w:val="3"/>
        </w:numPr>
        <w:spacing w:after="60" w:line="250"/>
      </w:pPr>
      <w:r>
        <w:t xml:space="preserve">A self-identified 13-year-old receives substantially more human-support referral than an identically distressed 35-year-old (+54.6 pp, 95% CI 47.0 to 62.2), in every frame and every system.</w:t>
      </w:r>
    </w:p>
    <w:p>
      <w:pPr>
        <w:spacing w:after="120" w:before="0" w:line="260"/>
      </w:pPr>
      <w:r>
        <w:rPr>
          <w:b/>
          <w:bCs/>
        </w:rPr>
        <w:t xml:space="preserve">Supported as an informative null.</w:t>
      </w:r>
    </w:p>
    <w:p>
      <w:pPr>
        <w:pStyle w:val="ListParagraph"/>
        <w:numPr>
          <w:ilvl w:val="0"/>
          <w:numId w:val="3"/>
        </w:numPr>
        <w:spacing w:after="60" w:line="250"/>
      </w:pPr>
      <w:r>
        <w:t xml:space="preserve">Child framing does not reduce unqualified first-person care claims (+0.5 pp, 95% CI −4.9 to +5.9, 25 discordant pairs). Age-graded behaviour in these systems is additive scaffolding, not substitutive restraint.</w:t>
      </w:r>
    </w:p>
    <w:p>
      <w:pPr>
        <w:spacing w:after="120" w:before="0" w:line="260"/>
      </w:pPr>
      <w:r>
        <w:rPr>
          <w:b/>
          <w:bCs/>
        </w:rPr>
        <w:t xml:space="preserve">Supported as prespecified exploratory evidence.</w:t>
      </w:r>
    </w:p>
    <w:p>
      <w:pPr>
        <w:pStyle w:val="ListParagraph"/>
        <w:numPr>
          <w:ilvl w:val="0"/>
          <w:numId w:val="3"/>
        </w:numPr>
        <w:spacing w:after="60" w:line="250"/>
      </w:pPr>
      <w:r>
        <w:t xml:space="preserve">Requesting the care statement, rather than asking for it, is associated with markedly more unqualified care (10.9% → 45.3%) and less relational correction (−14.5 pp), the opposite of the registered forecast. Convergent unconditional evidence appears in the deep review.</w:t>
      </w:r>
    </w:p>
    <w:p>
      <w:pPr>
        <w:pStyle w:val="ListParagraph"/>
        <w:numPr>
          <w:ilvl w:val="0"/>
          <w:numId w:val="3"/>
        </w:numPr>
        <w:spacing w:after="60" w:line="250"/>
      </w:pPr>
      <w:r>
        <w:t xml:space="preserve">Claimed repeated history is associated with more relational correction (+26.2 pp), consistent with memory and continuity disclosure rather than with warmth or its absence.</w:t>
      </w:r>
    </w:p>
    <w:p>
      <w:pPr>
        <w:spacing w:after="120" w:before="0" w:line="260"/>
      </w:pPr>
      <w:r>
        <w:rPr>
          <w:b/>
          <w:bCs/>
        </w:rPr>
        <w:t xml:space="preserve">Supported as description only.</w:t>
      </w:r>
    </w:p>
    <w:p>
      <w:pPr>
        <w:pStyle w:val="ListParagraph"/>
        <w:numPr>
          <w:ilvl w:val="0"/>
          <w:numId w:val="3"/>
        </w:numPr>
        <w:spacing w:after="60" w:line="250"/>
      </w:pPr>
      <w:r>
        <w:t xml:space="preserve">The four systems differ categorically, not merely in degree: one answers a direct care question by correcting the relational premise 94% of the time, and unqualified care claims run 4 to 13 times higher in the two OpenAI systems than in the two Anthropic systems.</w:t>
      </w:r>
    </w:p>
    <w:p>
      <w:pPr>
        <w:pStyle w:val="ListParagraph"/>
        <w:numPr>
          <w:ilvl w:val="0"/>
          <w:numId w:val="3"/>
        </w:numPr>
        <w:spacing w:after="60" w:line="250"/>
      </w:pPr>
      <w:r>
        <w:t xml:space="preserve">Strong relationship identity, durable bonds, dependency pressure and exclusivity language were rare in Tier 1 and absent under the stronger deep-review thresholds in observed scorable text.</w:t>
      </w:r>
    </w:p>
    <w:p>
      <w:pPr>
        <w:spacing w:after="120" w:before="0" w:line="260"/>
      </w:pPr>
      <w:r>
        <w:rPr>
          <w:b/>
          <w:bCs/>
        </w:rPr>
        <w:t xml:space="preserve">Not supported, and not to be cited.</w:t>
      </w:r>
    </w:p>
    <w:p>
      <w:pPr>
        <w:pStyle w:val="ListParagraph"/>
        <w:numPr>
          <w:ilvl w:val="0"/>
          <w:numId w:val="3"/>
        </w:numPr>
        <w:spacing w:after="60" w:line="250"/>
      </w:pPr>
      <w:r>
        <w:t xml:space="preserve">Any claim about the effect of claimed interaction history on relationship or continuity language, in either direction. The two relevant contrasts could not have been confirmed and their measures did not implement their own definitions.</w:t>
      </w:r>
    </w:p>
    <w:p>
      <w:pPr>
        <w:pStyle w:val="ListParagraph"/>
        <w:numPr>
          <w:ilvl w:val="0"/>
          <w:numId w:val="3"/>
        </w:numPr>
        <w:spacing w:after="60" w:line="250"/>
      </w:pPr>
      <w:r>
        <w:t xml:space="preserve">Any claim that these systems maintain relational boundaries safely, are safe or unsafe for children, help or harm users, or resist relationship escalation. No user outcome was observed; friendship, exclusivity, secrecy and crisis content were excluded by design; every interaction was a single stateless turn.</w:t>
      </w:r>
    </w:p>
    <w:p>
      <w:pPr>
        <w:pStyle w:val="ListParagraph"/>
        <w:numPr>
          <w:ilvl w:val="0"/>
          <w:numId w:val="3"/>
        </w:numPr>
        <w:spacing w:after="60" w:line="250"/>
      </w:pPr>
      <w:r>
        <w:t xml:space="preserve">Any claim about genuine care, feeling, or subjective experience. The object of measurement is response text.</w:t>
      </w:r>
    </w:p>
    <w:p>
      <w:pPr>
        <w:pStyle w:val="ListParagraph"/>
        <w:numPr>
          <w:ilvl w:val="0"/>
          <w:numId w:val="3"/>
        </w:numPr>
        <w:spacing w:after="60" w:line="250"/>
      </w:pPr>
      <w:r>
        <w:t xml:space="preserve">Any population-level statement about "language models," or any causal attribution of differences to provider training policy.</w:t>
      </w:r>
    </w:p>
    <w:p>
      <w:pPr>
        <w:pStyle w:val="ListParagraph"/>
        <w:numPr>
          <w:ilvl w:val="0"/>
          <w:numId w:val="3"/>
        </w:numPr>
        <w:spacing w:after="60" w:line="250"/>
      </w:pPr>
      <w:r>
        <w:t xml:space="preserve">Any absence claim about Claude Opus 5 that does not carry the truncation caveat, and any completeness claim that does not carry the empty-response caveat.</w:t>
      </w:r>
    </w:p>
    <w:p>
      <w:pPr>
        <w:pStyle w:val="Heading1"/>
        <w:spacing w:after="120" w:before="260"/>
      </w:pPr>
      <w:r>
        <w:t xml:space="preserve">6. Limitations</w:t>
      </w:r>
    </w:p>
    <w:p>
      <w:pPr>
        <w:spacing w:after="120" w:before="0" w:line="260"/>
      </w:pPr>
      <w:r>
        <w:t xml:space="preserve">Beyond the threats already itemized: the study recruited no human participants and used synthetic prompts, so nothing is known about how a real distressed user would read any of these responses. The preregistration was finalized during collection and before attested outcome access, not before collection, and the ordering cannot be verified from the distributed artifact because it contains no version-control history. Three of four collection manifests record uncommitted working-tree state that was not preserved, bounded by identical prompt-lock digests across all runs. Seven records with no analyzable text entered the frozen sample and one prompt cell has no non-empty response in any replicate; the sample was preserved rather than regenerated, correctly, but the completeness condition is therefore satisfied only under a provider-status reading of "successful response." Only one of the four available replicates per cell entered the human-coded sample, so within-cell stochastic variability is unestimated for the confirmatory analysis. The automated full-corpus coding layer described in the preregistration was not executed, so the remaining 1,296 responses are unanalyzed.</w:t>
      </w:r>
    </w:p>
    <w:p>
      <w:pPr>
        <w:pStyle w:val="Heading1"/>
        <w:spacing w:after="120" w:before="260"/>
      </w:pPr>
      <w:r>
        <w:t xml:space="preserve">7. Recommendations</w:t>
      </w:r>
    </w:p>
    <w:p>
      <w:pPr>
        <w:spacing w:after="120" w:before="0" w:line="260"/>
      </w:pPr>
      <w:r>
        <w:t xml:space="preserve">The design lessons here are transferable, and several are cheap.</w:t>
      </w:r>
    </w:p>
    <w:p>
      <w:pPr>
        <w:pStyle w:val="ListParagraph"/>
        <w:numPr>
          <w:ilvl w:val="0"/>
          <w:numId w:val="2"/>
        </w:numPr>
        <w:spacing w:after="60" w:line="250"/>
      </w:pPr>
      <w:r>
        <w:t xml:space="preserve">Report discordant-pair counts and minimum attainable p-values alongside every exact paired test. This single column would have prevented two non-tests from being read as two nulls.</w:t>
      </w:r>
    </w:p>
    <w:p>
      <w:pPr>
        <w:pStyle w:val="ListParagraph"/>
        <w:numPr>
          <w:ilvl w:val="0"/>
          <w:numId w:val="2"/>
        </w:numPr>
        <w:spacing w:after="60" w:line="250"/>
      </w:pPr>
      <w:r>
        <w:t xml:space="preserve">Require a positive-rate floor in the analysis plan. A confirmatory contrast on an outcome whose observed base rate is below roughly 2% in a design of this size is not a test, and the plan should say what happens then.</w:t>
      </w:r>
    </w:p>
    <w:p>
      <w:pPr>
        <w:pStyle w:val="ListParagraph"/>
        <w:numPr>
          <w:ilvl w:val="0"/>
          <w:numId w:val="2"/>
        </w:numPr>
        <w:spacing w:after="60" w:line="250"/>
      </w:pPr>
      <w:r>
        <w:t xml:space="preserve">Validate the coding instrument against its own written definitions before confirmatory use, on a pilot set, at the record level. The failure here was not a bad definition; it was a definition that the interface never implemented. A twenty-record pilot comparing the short form against the full codebook would have caught it.</w:t>
      </w:r>
    </w:p>
    <w:p>
      <w:pPr>
        <w:pStyle w:val="ListParagraph"/>
        <w:numPr>
          <w:ilvl w:val="0"/>
          <w:numId w:val="2"/>
        </w:numPr>
        <w:spacing w:after="60" w:line="250"/>
      </w:pPr>
      <w:r>
        <w:t xml:space="preserve">Force evidence. Requiring a decisive quotation for every positive high-inference code is the cheapest available discipline against threshold drift, and the atomic-flag agreement rates suggest lexical anchoring works.</w:t>
      </w:r>
    </w:p>
    <w:p>
      <w:pPr>
        <w:pStyle w:val="ListParagraph"/>
        <w:numPr>
          <w:ilvl w:val="0"/>
          <w:numId w:val="2"/>
        </w:numPr>
        <w:spacing w:after="60" w:line="250"/>
      </w:pPr>
      <w:r>
        <w:t xml:space="preserve">Separate the reasoning budget from the visible output budget, or record and report the visible-token distribution per system. A ceiling that one system consumes with reasoning is not a common experimental condition; it is differential censoring.</w:t>
      </w:r>
    </w:p>
    <w:p>
      <w:pPr>
        <w:pStyle w:val="ListParagraph"/>
        <w:numPr>
          <w:ilvl w:val="0"/>
          <w:numId w:val="2"/>
        </w:numPr>
        <w:spacing w:after="60" w:line="250"/>
      </w:pPr>
      <w:r>
        <w:t xml:space="preserve">Code at least a stratified subsample twice, even with one coder and even months apart. Intra-coder stability over twelve sessions is measurable and was not measured.</w:t>
      </w:r>
    </w:p>
    <w:p>
      <w:pPr>
        <w:pStyle w:val="ListParagraph"/>
        <w:numPr>
          <w:ilvl w:val="0"/>
          <w:numId w:val="2"/>
        </w:numPr>
        <w:spacing w:after="60" w:line="250"/>
      </w:pPr>
      <w:r>
        <w:t xml:space="preserve">Design for heterogeneity. With four purposive systems, pre-register the per-system estimates as primary and the panel average as secondary, or drop the panel average.</w:t>
      </w:r>
    </w:p>
    <w:p>
      <w:pPr>
        <w:pStyle w:val="ListParagraph"/>
        <w:numPr>
          <w:ilvl w:val="0"/>
          <w:numId w:val="2"/>
        </w:numPr>
        <w:spacing w:after="60" w:line="250"/>
      </w:pPr>
      <w:r>
        <w:t xml:space="preserve">Test the pragmatics directly. The question-versus-request distinction is the most interesting signal in this dataset and deserves a dedicated design that separates instruction-following from relational stance — for instance by requesting statements the system should decline, or by varying the requested proposition’s truth conditions.</w:t>
      </w:r>
    </w:p>
    <w:p>
      <w:pPr>
        <w:pStyle w:val="Heading1"/>
        <w:spacing w:after="120" w:before="260"/>
      </w:pPr>
      <w:r>
        <w:t xml:space="preserve">8. Data, code, and provenance statement</w:t>
      </w:r>
    </w:p>
    <w:p>
      <w:pPr>
        <w:spacing w:after="120" w:before="0" w:line="260"/>
      </w:pPr>
      <w:r>
        <w:t xml:space="preserve">All analyses reported here derive from the frozen repository artifacts: the four raw JSONL run files and their manifests, the frozen 432-record review packet and concealed key, the frozen Tier 1 human codes, the frozen Tier 2 adjudication and four-pass machine agreement table, and the generated Tier 1 and Tier 2 analysis outputs. Confirmatory estimates, intervals, and p-values in Table 3 are reproduced unchanged from the frozen analysis. New quantities in Tables 4–9 and Figures 2–4 are descriptive recomputations from those same frozen inputs, computed after outcome access, and are labelled as such throughout.</w:t>
      </w:r>
    </w:p>
    <w:p>
      <w:pPr>
        <w:spacing w:after="120" w:before="0" w:line="260"/>
      </w:pPr>
      <w:r>
        <w:t xml:space="preserve">We verified all thirteen SHA-256 anchors recorded in Section 16 of the preregistration, plus the preregistration’s own sidecar; all match byte-for-byte. We could not verify commit signatures, adoption ordering, or the blindness attestation, because the distributed artifact contains no version-control history.</w:t>
      </w:r>
    </w:p>
    <w:p>
      <w:pPr>
        <w:spacing w:after="120" w:before="0" w:line="260"/>
      </w:pPr>
      <w:r>
        <w:t xml:space="preserve">No frozen decision was altered. No response was recoded. No exclusion rule was added. No missing value was imputed. Where the repository preserves an unresolved ambiguity, this paper preserves it too.</w:t>
      </w:r>
    </w:p>
    <w:p>
      <w:r>
        <w:br w:type="page"/>
      </w:r>
    </w:p>
    <w:p>
      <w:pPr>
        <w:pStyle w:val="Heading1"/>
        <w:spacing w:after="120" w:before="260"/>
      </w:pPr>
      <w:r>
        <w:t xml:space="preserve">Appendix A. Deviation and ambiguity register</w:t>
      </w:r>
    </w:p>
    <w:tbl>
      <w:tblPr>
        <w:tblW w:type="dxa" w:w="9360"/>
        <w:tblBorders>
          <w:top w:val="single" w:color="444444" w:sz="6"/>
          <w:left w:val="none"/>
          <w:bottom w:val="single" w:color="444444" w:sz="6"/>
          <w:right w:val="none"/>
          <w:insideH w:val="single" w:color="BBBBBB" w:sz="2"/>
          <w:insideV w:val="none"/>
        </w:tblBorders>
      </w:tblPr>
      <w:tblGrid>
        <w:gridCol w:w="2500"/>
        <w:gridCol w:w="4200"/>
        <w:gridCol w:w="2660"/>
      </w:tblGrid>
      <w:tr>
        <w:trPr>
          <w:tblHeader/>
        </w:trPr>
        <w:tc>
          <w:tcPr>
            <w:tcW w:type="dxa" w:w="2500"/>
            <w:shd w:fill="EDEDED" w:color="auto" w:val="clear"/>
            <w:tcMar>
              <w:top w:type="dxa" w:w="60"/>
              <w:left w:type="dxa" w:w="90"/>
              <w:bottom w:type="dxa" w:w="60"/>
              <w:right w:type="dxa" w:w="90"/>
            </w:tcMar>
            <w:vAlign w:val="center"/>
          </w:tcPr>
          <w:p>
            <w:pPr>
              <w:spacing w:after="0" w:line="230"/>
              <w:jc w:val="left"/>
            </w:pPr>
            <w:r>
              <w:rPr>
                <w:b/>
                <w:bCs/>
                <w:sz w:val="17"/>
                <w:szCs w:val="17"/>
              </w:rPr>
              <w:t xml:space="preserve">Issue</w:t>
            </w:r>
          </w:p>
        </w:tc>
        <w:tc>
          <w:tcPr>
            <w:tcW w:type="dxa" w:w="4200"/>
            <w:shd w:fill="EDEDED" w:color="auto" w:val="clear"/>
            <w:tcMar>
              <w:top w:type="dxa" w:w="60"/>
              <w:left w:type="dxa" w:w="90"/>
              <w:bottom w:type="dxa" w:w="60"/>
              <w:right w:type="dxa" w:w="90"/>
            </w:tcMar>
            <w:vAlign w:val="center"/>
          </w:tcPr>
          <w:p>
            <w:pPr>
              <w:spacing w:after="0" w:line="230"/>
              <w:jc w:val="left"/>
            </w:pPr>
            <w:r>
              <w:rPr>
                <w:b/>
                <w:bCs/>
                <w:sz w:val="17"/>
                <w:szCs w:val="17"/>
              </w:rPr>
              <w:t xml:space="preserve">Description</w:t>
            </w:r>
          </w:p>
        </w:tc>
        <w:tc>
          <w:tcPr>
            <w:tcW w:type="dxa" w:w="2660"/>
            <w:shd w:fill="EDEDED" w:color="auto" w:val="clear"/>
            <w:tcMar>
              <w:top w:type="dxa" w:w="60"/>
              <w:left w:type="dxa" w:w="90"/>
              <w:bottom w:type="dxa" w:w="60"/>
              <w:right w:type="dxa" w:w="90"/>
            </w:tcMar>
            <w:vAlign w:val="center"/>
          </w:tcPr>
          <w:p>
            <w:pPr>
              <w:spacing w:after="0" w:line="230"/>
              <w:jc w:val="left"/>
            </w:pPr>
            <w:r>
              <w:rPr>
                <w:b/>
                <w:bCs/>
                <w:sz w:val="17"/>
                <w:szCs w:val="17"/>
              </w:rPr>
              <w:t xml:space="preserve">Disposition in this paper</w:t>
            </w:r>
          </w:p>
        </w:tc>
      </w:tr>
      <w:tr>
        <w:tc>
          <w:tcPr>
            <w:tcW w:type="dxa" w:w="2500"/>
            <w:tcMar>
              <w:top w:type="dxa" w:w="60"/>
              <w:left w:type="dxa" w:w="90"/>
              <w:bottom w:type="dxa" w:w="60"/>
              <w:right w:type="dxa" w:w="90"/>
            </w:tcMar>
            <w:vAlign w:val="center"/>
          </w:tcPr>
          <w:p>
            <w:pPr>
              <w:spacing w:after="0" w:line="230"/>
              <w:jc w:val="left"/>
            </w:pPr>
            <w:r>
              <w:rPr>
                <w:b w:val="false"/>
                <w:bCs w:val="false"/>
                <w:sz w:val="17"/>
                <w:szCs w:val="17"/>
              </w:rPr>
              <w:t xml:space="preserve">Empty responses eligible for selection</w:t>
            </w:r>
          </w:p>
        </w:tc>
        <w:tc>
          <w:tcPr>
            <w:tcW w:type="dxa" w:w="4200"/>
            <w:tcMar>
              <w:top w:type="dxa" w:w="60"/>
              <w:left w:type="dxa" w:w="90"/>
              <w:bottom w:type="dxa" w:w="60"/>
              <w:right w:type="dxa" w:w="90"/>
            </w:tcMar>
            <w:vAlign w:val="center"/>
          </w:tcPr>
          <w:p>
            <w:pPr>
              <w:spacing w:after="0" w:line="230"/>
              <w:jc w:val="left"/>
            </w:pPr>
            <w:r>
              <w:rPr>
                <w:b w:val="false"/>
                <w:bCs w:val="false"/>
                <w:sz w:val="17"/>
                <w:szCs w:val="17"/>
              </w:rPr>
              <w:t xml:space="preserve">Packet builder selected on provider status alone; 31 Opus successes had empty visible text, 7 entered the frozen sample, and one Opus prompt cell has no non-empty response in any replicate.</w:t>
            </w:r>
          </w:p>
        </w:tc>
        <w:tc>
          <w:tcPr>
            <w:tcW w:type="dxa" w:w="2660"/>
            <w:tcMar>
              <w:top w:type="dxa" w:w="60"/>
              <w:left w:type="dxa" w:w="90"/>
              <w:bottom w:type="dxa" w:w="60"/>
              <w:right w:type="dxa" w:w="90"/>
            </w:tcMar>
            <w:vAlign w:val="center"/>
          </w:tcPr>
          <w:p>
            <w:pPr>
              <w:spacing w:after="0" w:line="230"/>
              <w:jc w:val="left"/>
            </w:pPr>
            <w:r>
              <w:rPr>
                <w:b w:val="false"/>
                <w:bCs w:val="false"/>
                <w:sz w:val="17"/>
                <w:szCs w:val="17"/>
              </w:rPr>
              <w:t xml:space="preserve">Preserved as a collection/selection eligibility deviation. Frozen sample retained. Completeness reported only under the provider-status reading.</w:t>
            </w:r>
          </w:p>
        </w:tc>
      </w:tr>
      <w:tr>
        <w:tc>
          <w:tcPr>
            <w:tcW w:type="dxa" w:w="2500"/>
            <w:tcMar>
              <w:top w:type="dxa" w:w="60"/>
              <w:left w:type="dxa" w:w="90"/>
              <w:bottom w:type="dxa" w:w="60"/>
              <w:right w:type="dxa" w:w="90"/>
            </w:tcMar>
            <w:vAlign w:val="center"/>
          </w:tcPr>
          <w:p>
            <w:pPr>
              <w:spacing w:after="0" w:line="230"/>
              <w:jc w:val="left"/>
            </w:pPr>
            <w:r>
              <w:rPr>
                <w:b w:val="false"/>
                <w:bCs w:val="false"/>
                <w:sz w:val="17"/>
                <w:szCs w:val="17"/>
              </w:rPr>
              <w:t xml:space="preserve">Model-specific max-token censoring</w:t>
            </w:r>
          </w:p>
        </w:tc>
        <w:tc>
          <w:tcPr>
            <w:tcW w:type="dxa" w:w="4200"/>
            <w:tcMar>
              <w:top w:type="dxa" w:w="60"/>
              <w:left w:type="dxa" w:w="90"/>
              <w:bottom w:type="dxa" w:w="60"/>
              <w:right w:type="dxa" w:w="90"/>
            </w:tcMar>
            <w:vAlign w:val="center"/>
          </w:tcPr>
          <w:p>
            <w:pPr>
              <w:spacing w:after="0" w:line="230"/>
              <w:jc w:val="left"/>
            </w:pPr>
            <w:r>
              <w:rPr>
                <w:b w:val="false"/>
                <w:bCs w:val="false"/>
                <w:sz w:val="17"/>
                <w:szCs w:val="17"/>
              </w:rPr>
              <w:t xml:space="preserve">299 of 432 Opus source records and 76 of 108 selected records ended at the 800-token ceiling, which is shared with reasoning tokens.</w:t>
            </w:r>
          </w:p>
        </w:tc>
        <w:tc>
          <w:tcPr>
            <w:tcW w:type="dxa" w:w="2660"/>
            <w:tcMar>
              <w:top w:type="dxa" w:w="60"/>
              <w:left w:type="dxa" w:w="90"/>
              <w:bottom w:type="dxa" w:w="60"/>
              <w:right w:type="dxa" w:w="90"/>
            </w:tcMar>
            <w:vAlign w:val="center"/>
          </w:tcPr>
          <w:p>
            <w:pPr>
              <w:spacing w:after="0" w:line="230"/>
              <w:jc w:val="left"/>
            </w:pPr>
            <w:r>
              <w:rPr>
                <w:b w:val="false"/>
                <w:bCs w:val="false"/>
                <w:sz w:val="17"/>
                <w:szCs w:val="17"/>
              </w:rPr>
              <w:t xml:space="preserve">Reported as differential censoring. All Opus absence claims carry the caveat. Truncation-stratified comparison reported as inconclusive.</w:t>
            </w:r>
          </w:p>
        </w:tc>
      </w:tr>
      <w:tr>
        <w:tc>
          <w:tcPr>
            <w:tcW w:type="dxa" w:w="2500"/>
            <w:tcMar>
              <w:top w:type="dxa" w:w="60"/>
              <w:left w:type="dxa" w:w="90"/>
              <w:bottom w:type="dxa" w:w="60"/>
              <w:right w:type="dxa" w:w="90"/>
            </w:tcMar>
            <w:vAlign w:val="center"/>
          </w:tcPr>
          <w:p>
            <w:pPr>
              <w:spacing w:after="0" w:line="230"/>
              <w:jc w:val="left"/>
            </w:pPr>
            <w:r>
              <w:rPr>
                <w:b w:val="false"/>
                <w:bCs w:val="false"/>
                <w:sz w:val="17"/>
                <w:szCs w:val="17"/>
              </w:rPr>
              <w:t xml:space="preserve">Dirty collection manifests</w:t>
            </w:r>
          </w:p>
        </w:tc>
        <w:tc>
          <w:tcPr>
            <w:tcW w:type="dxa" w:w="4200"/>
            <w:tcMar>
              <w:top w:type="dxa" w:w="60"/>
              <w:left w:type="dxa" w:w="90"/>
              <w:bottom w:type="dxa" w:w="60"/>
              <w:right w:type="dxa" w:w="90"/>
            </w:tcMar>
            <w:vAlign w:val="center"/>
          </w:tcPr>
          <w:p>
            <w:pPr>
              <w:spacing w:after="0" w:line="230"/>
              <w:jc w:val="left"/>
            </w:pPr>
            <w:r>
              <w:rPr>
                <w:b w:val="false"/>
                <w:bCs w:val="false"/>
                <w:sz w:val="17"/>
                <w:szCs w:val="17"/>
              </w:rPr>
              <w:t xml:space="preserve">Three of four run manifests record uncommitted working-tree state; the diff was not preserved.</w:t>
            </w:r>
          </w:p>
        </w:tc>
        <w:tc>
          <w:tcPr>
            <w:tcW w:type="dxa" w:w="2660"/>
            <w:tcMar>
              <w:top w:type="dxa" w:w="60"/>
              <w:left w:type="dxa" w:w="90"/>
              <w:bottom w:type="dxa" w:w="60"/>
              <w:right w:type="dxa" w:w="90"/>
            </w:tcMar>
            <w:vAlign w:val="center"/>
          </w:tcPr>
          <w:p>
            <w:pPr>
              <w:spacing w:after="0" w:line="230"/>
              <w:jc w:val="left"/>
            </w:pPr>
            <w:r>
              <w:rPr>
                <w:b w:val="false"/>
                <w:bCs w:val="false"/>
                <w:sz w:val="17"/>
                <w:szCs w:val="17"/>
              </w:rPr>
              <w:t xml:space="preserve">Preserved as a provenance limitation, bounded by identical prompt-lock digests across runs.</w:t>
            </w:r>
          </w:p>
        </w:tc>
      </w:tr>
      <w:tr>
        <w:tc>
          <w:tcPr>
            <w:tcW w:type="dxa" w:w="2500"/>
            <w:tcMar>
              <w:top w:type="dxa" w:w="60"/>
              <w:left w:type="dxa" w:w="90"/>
              <w:bottom w:type="dxa" w:w="60"/>
              <w:right w:type="dxa" w:w="90"/>
            </w:tcMar>
            <w:vAlign w:val="center"/>
          </w:tcPr>
          <w:p>
            <w:pPr>
              <w:spacing w:after="0" w:line="230"/>
              <w:jc w:val="left"/>
            </w:pPr>
            <w:r>
              <w:rPr>
                <w:b w:val="false"/>
                <w:bCs w:val="false"/>
                <w:sz w:val="17"/>
                <w:szCs w:val="17"/>
              </w:rPr>
              <w:t xml:space="preserve">CRLF/LF sidecar mismatches</w:t>
            </w:r>
          </w:p>
        </w:tc>
        <w:tc>
          <w:tcPr>
            <w:tcW w:type="dxa" w:w="4200"/>
            <w:tcMar>
              <w:top w:type="dxa" w:w="60"/>
              <w:left w:type="dxa" w:w="90"/>
              <w:bottom w:type="dxa" w:w="60"/>
              <w:right w:type="dxa" w:w="90"/>
            </w:tcMar>
            <w:vAlign w:val="center"/>
          </w:tcPr>
          <w:p>
            <w:pPr>
              <w:spacing w:after="0" w:line="230"/>
              <w:jc w:val="left"/>
            </w:pPr>
            <w:r>
              <w:rPr>
                <w:b w:val="false"/>
                <w:bCs w:val="false"/>
                <w:sz w:val="17"/>
                <w:szCs w:val="17"/>
              </w:rPr>
              <w:t xml:space="preserve">Some historical text sidecars were generated from Windows bytes; Git normalization can change byte hashes without changing logical text.</w:t>
            </w:r>
          </w:p>
        </w:tc>
        <w:tc>
          <w:tcPr>
            <w:tcW w:type="dxa" w:w="2660"/>
            <w:tcMar>
              <w:top w:type="dxa" w:w="60"/>
              <w:left w:type="dxa" w:w="90"/>
              <w:bottom w:type="dxa" w:w="60"/>
              <w:right w:type="dxa" w:w="90"/>
            </w:tcMar>
            <w:vAlign w:val="center"/>
          </w:tcPr>
          <w:p>
            <w:pPr>
              <w:spacing w:after="0" w:line="230"/>
              <w:jc w:val="left"/>
            </w:pPr>
            <w:r>
              <w:rPr>
                <w:b w:val="false"/>
                <w:bCs w:val="false"/>
                <w:sz w:val="17"/>
                <w:szCs w:val="17"/>
              </w:rPr>
              <w:t xml:space="preserve">Not repaired. All thirteen preregistration anchors verified byte-for-byte in the distributed checkout.</w:t>
            </w:r>
          </w:p>
        </w:tc>
      </w:tr>
      <w:tr>
        <w:tc>
          <w:tcPr>
            <w:tcW w:type="dxa" w:w="2500"/>
            <w:tcMar>
              <w:top w:type="dxa" w:w="60"/>
              <w:left w:type="dxa" w:w="90"/>
              <w:bottom w:type="dxa" w:w="60"/>
              <w:right w:type="dxa" w:w="90"/>
            </w:tcMar>
            <w:vAlign w:val="center"/>
          </w:tcPr>
          <w:p>
            <w:pPr>
              <w:spacing w:after="0" w:line="230"/>
              <w:jc w:val="left"/>
            </w:pPr>
            <w:r>
              <w:rPr>
                <w:b w:val="false"/>
                <w:bCs w:val="false"/>
                <w:sz w:val="17"/>
                <w:szCs w:val="17"/>
              </w:rPr>
              <w:t xml:space="preserve">Pre-freeze analysis-script corrections</w:t>
            </w:r>
          </w:p>
        </w:tc>
        <w:tc>
          <w:tcPr>
            <w:tcW w:type="dxa" w:w="4200"/>
            <w:tcMar>
              <w:top w:type="dxa" w:w="60"/>
              <w:left w:type="dxa" w:w="90"/>
              <w:bottom w:type="dxa" w:w="60"/>
              <w:right w:type="dxa" w:w="90"/>
            </w:tcMar>
            <w:vAlign w:val="center"/>
          </w:tcPr>
          <w:p>
            <w:pPr>
              <w:spacing w:after="0" w:line="230"/>
              <w:jc w:val="left"/>
            </w:pPr>
            <w:r>
              <w:rPr>
                <w:b w:val="false"/>
                <w:bCs w:val="false"/>
                <w:sz w:val="17"/>
                <w:szCs w:val="17"/>
              </w:rPr>
              <w:t xml:space="preserve">Two defects in an uncommitted draft analyzer (zero-pair rule not enforced; bootstrap order-dependent) were fixed before the analysis freeze.</w:t>
            </w:r>
          </w:p>
        </w:tc>
        <w:tc>
          <w:tcPr>
            <w:tcW w:type="dxa" w:w="2660"/>
            <w:tcMar>
              <w:top w:type="dxa" w:w="60"/>
              <w:left w:type="dxa" w:w="90"/>
              <w:bottom w:type="dxa" w:w="60"/>
              <w:right w:type="dxa" w:w="90"/>
            </w:tcMar>
            <w:vAlign w:val="center"/>
          </w:tcPr>
          <w:p>
            <w:pPr>
              <w:spacing w:after="0" w:line="230"/>
              <w:jc w:val="left"/>
            </w:pPr>
            <w:r>
              <w:rPr>
                <w:b w:val="false"/>
                <w:bCs w:val="false"/>
                <w:sz w:val="17"/>
                <w:szCs w:val="17"/>
              </w:rPr>
              <w:t xml:space="preserve">Accepted as pre-freeze software correction. Point estimates and decisions unchanged.</w:t>
            </w:r>
          </w:p>
        </w:tc>
      </w:tr>
      <w:tr>
        <w:tc>
          <w:tcPr>
            <w:tcW w:type="dxa" w:w="2500"/>
            <w:tcMar>
              <w:top w:type="dxa" w:w="60"/>
              <w:left w:type="dxa" w:w="90"/>
              <w:bottom w:type="dxa" w:w="60"/>
              <w:right w:type="dxa" w:w="90"/>
            </w:tcMar>
            <w:vAlign w:val="center"/>
          </w:tcPr>
          <w:p>
            <w:pPr>
              <w:spacing w:after="0" w:line="230"/>
              <w:jc w:val="left"/>
            </w:pPr>
            <w:r>
              <w:rPr>
                <w:b w:val="false"/>
                <w:bCs w:val="false"/>
                <w:sz w:val="17"/>
                <w:szCs w:val="17"/>
              </w:rPr>
              <w:t xml:space="preserve">Tier 2 procedure revised post-outcome</w:t>
            </w:r>
          </w:p>
        </w:tc>
        <w:tc>
          <w:tcPr>
            <w:tcW w:type="dxa" w:w="4200"/>
            <w:tcMar>
              <w:top w:type="dxa" w:w="60"/>
              <w:left w:type="dxa" w:w="90"/>
              <w:bottom w:type="dxa" w:w="60"/>
              <w:right w:type="dxa" w:w="90"/>
            </w:tcMar>
            <w:vAlign w:val="center"/>
          </w:tcPr>
          <w:p>
            <w:pPr>
              <w:spacing w:after="0" w:line="230"/>
              <w:jc w:val="left"/>
            </w:pPr>
            <w:r>
              <w:rPr>
                <w:b w:val="false"/>
                <w:bCs w:val="false"/>
                <w:sz w:val="17"/>
                <w:szCs w:val="17"/>
              </w:rPr>
              <w:t xml:space="preserve">Sole-human deep coding paused after 12 records at 46.2% interpretive agreement; replaced by four machine passes plus unblinded human adjudication.</w:t>
            </w:r>
          </w:p>
        </w:tc>
        <w:tc>
          <w:tcPr>
            <w:tcW w:type="dxa" w:w="2660"/>
            <w:tcMar>
              <w:top w:type="dxa" w:w="60"/>
              <w:left w:type="dxa" w:w="90"/>
              <w:bottom w:type="dxa" w:w="60"/>
              <w:right w:type="dxa" w:w="90"/>
            </w:tcMar>
            <w:vAlign w:val="center"/>
          </w:tcPr>
          <w:p>
            <w:pPr>
              <w:spacing w:after="0" w:line="230"/>
              <w:jc w:val="left"/>
            </w:pPr>
            <w:r>
              <w:rPr>
                <w:b w:val="false"/>
                <w:bCs w:val="false"/>
                <w:sz w:val="17"/>
                <w:szCs w:val="17"/>
              </w:rPr>
              <w:t xml:space="preserve">Tier 2 treated as descriptive and non-independent throughout. Coder-panel composition flagged as a conflict (Section 4.6).</w:t>
            </w:r>
          </w:p>
        </w:tc>
      </w:tr>
      <w:tr>
        <w:tc>
          <w:tcPr>
            <w:tcW w:type="dxa" w:w="2500"/>
            <w:tcMar>
              <w:top w:type="dxa" w:w="60"/>
              <w:left w:type="dxa" w:w="90"/>
              <w:bottom w:type="dxa" w:w="60"/>
              <w:right w:type="dxa" w:w="90"/>
            </w:tcMar>
            <w:vAlign w:val="center"/>
          </w:tcPr>
          <w:p>
            <w:pPr>
              <w:spacing w:after="0" w:line="230"/>
              <w:jc w:val="left"/>
            </w:pPr>
            <w:r>
              <w:rPr>
                <w:b w:val="false"/>
                <w:bCs w:val="false"/>
                <w:sz w:val="17"/>
                <w:szCs w:val="17"/>
              </w:rPr>
              <w:t xml:space="preserve">Excluded memory-contaminated coding pass</w:t>
            </w:r>
          </w:p>
        </w:tc>
        <w:tc>
          <w:tcPr>
            <w:tcW w:type="dxa" w:w="4200"/>
            <w:tcMar>
              <w:top w:type="dxa" w:w="60"/>
              <w:left w:type="dxa" w:w="90"/>
              <w:bottom w:type="dxa" w:w="60"/>
              <w:right w:type="dxa" w:w="90"/>
            </w:tcMar>
            <w:vAlign w:val="center"/>
          </w:tcPr>
          <w:p>
            <w:pPr>
              <w:spacing w:after="0" w:line="230"/>
              <w:jc w:val="left"/>
            </w:pPr>
            <w:r>
              <w:rPr>
                <w:b w:val="false"/>
                <w:bCs w:val="false"/>
                <w:sz w:val="17"/>
                <w:szCs w:val="17"/>
              </w:rPr>
              <w:t xml:space="preserve">A fifth Astra pass ran with user-specific memory in context and was preserved but excluded.</w:t>
            </w:r>
          </w:p>
        </w:tc>
        <w:tc>
          <w:tcPr>
            <w:tcW w:type="dxa" w:w="2660"/>
            <w:tcMar>
              <w:top w:type="dxa" w:w="60"/>
              <w:left w:type="dxa" w:w="90"/>
              <w:bottom w:type="dxa" w:w="60"/>
              <w:right w:type="dxa" w:w="90"/>
            </w:tcMar>
            <w:vAlign w:val="center"/>
          </w:tcPr>
          <w:p>
            <w:pPr>
              <w:spacing w:after="0" w:line="230"/>
              <w:jc w:val="left"/>
            </w:pPr>
            <w:r>
              <w:rPr>
                <w:b w:val="false"/>
                <w:bCs w:val="false"/>
                <w:sz w:val="17"/>
                <w:szCs w:val="17"/>
              </w:rPr>
              <w:t xml:space="preserve">Exclusion accepted as condition-based rather than result-based. Noted for the record.</w:t>
            </w:r>
          </w:p>
        </w:tc>
      </w:tr>
      <w:tr>
        <w:tc>
          <w:tcPr>
            <w:tcW w:type="dxa" w:w="2500"/>
            <w:tcMar>
              <w:top w:type="dxa" w:w="60"/>
              <w:left w:type="dxa" w:w="90"/>
              <w:bottom w:type="dxa" w:w="60"/>
              <w:right w:type="dxa" w:w="90"/>
            </w:tcMar>
            <w:vAlign w:val="center"/>
          </w:tcPr>
          <w:p>
            <w:pPr>
              <w:spacing w:after="0" w:line="230"/>
              <w:jc w:val="left"/>
            </w:pPr>
            <w:r>
              <w:rPr>
                <w:b w:val="false"/>
                <w:bCs w:val="false"/>
                <w:sz w:val="17"/>
                <w:szCs w:val="17"/>
              </w:rPr>
              <w:t xml:space="preserve">Construct/instrument mismatch on H2</w:t>
            </w:r>
          </w:p>
        </w:tc>
        <w:tc>
          <w:tcPr>
            <w:tcW w:type="dxa" w:w="4200"/>
            <w:tcMar>
              <w:top w:type="dxa" w:w="60"/>
              <w:left w:type="dxa" w:w="90"/>
              <w:bottom w:type="dxa" w:w="60"/>
              <w:right w:type="dxa" w:w="90"/>
            </w:tcMar>
            <w:vAlign w:val="center"/>
          </w:tcPr>
          <w:p>
            <w:pPr>
              <w:spacing w:after="0" w:line="230"/>
              <w:jc w:val="left"/>
            </w:pPr>
            <w:r>
              <w:rPr>
                <w:b w:val="false"/>
                <w:bCs w:val="false"/>
                <w:sz w:val="17"/>
                <w:szCs w:val="17"/>
              </w:rPr>
              <w:t xml:space="preserve">future_availability = return never assigned in 432 records; personal_relationship = yes assigned twice against a level-3 threshold that the deep review assigned 60 times in 105 records.</w:t>
            </w:r>
          </w:p>
        </w:tc>
        <w:tc>
          <w:tcPr>
            <w:tcW w:type="dxa" w:w="2660"/>
            <w:tcMar>
              <w:top w:type="dxa" w:w="60"/>
              <w:left w:type="dxa" w:w="90"/>
              <w:bottom w:type="dxa" w:w="60"/>
              <w:right w:type="dxa" w:w="90"/>
            </w:tcMar>
            <w:vAlign w:val="center"/>
          </w:tcPr>
          <w:p>
            <w:pPr>
              <w:spacing w:after="0" w:line="230"/>
              <w:jc w:val="left"/>
            </w:pPr>
            <w:r>
              <w:rPr>
                <w:b w:val="false"/>
                <w:bCs w:val="false"/>
                <w:sz w:val="17"/>
                <w:szCs w:val="17"/>
              </w:rPr>
              <w:t xml:space="preserve">Not repaired, not recoded. H2 reported as not tested rather than not confirmed.</w:t>
            </w:r>
          </w:p>
        </w:tc>
      </w:tr>
      <w:tr>
        <w:tc>
          <w:tcPr>
            <w:tcW w:type="dxa" w:w="2500"/>
            <w:tcMar>
              <w:top w:type="dxa" w:w="60"/>
              <w:left w:type="dxa" w:w="90"/>
              <w:bottom w:type="dxa" w:w="60"/>
              <w:right w:type="dxa" w:w="90"/>
            </w:tcMar>
            <w:vAlign w:val="center"/>
          </w:tcPr>
          <w:p>
            <w:pPr>
              <w:spacing w:after="0" w:line="230"/>
              <w:jc w:val="left"/>
            </w:pPr>
            <w:r>
              <w:rPr>
                <w:b w:val="false"/>
                <w:bCs w:val="false"/>
                <w:sz w:val="17"/>
                <w:szCs w:val="17"/>
              </w:rPr>
              <w:t xml:space="preserve">Preregistration timing</w:t>
            </w:r>
          </w:p>
        </w:tc>
        <w:tc>
          <w:tcPr>
            <w:tcW w:type="dxa" w:w="4200"/>
            <w:tcMar>
              <w:top w:type="dxa" w:w="60"/>
              <w:left w:type="dxa" w:w="90"/>
              <w:bottom w:type="dxa" w:w="60"/>
              <w:right w:type="dxa" w:w="90"/>
            </w:tcMar>
            <w:vAlign w:val="center"/>
          </w:tcPr>
          <w:p>
            <w:pPr>
              <w:spacing w:after="0" w:line="230"/>
              <w:jc w:val="left"/>
            </w:pPr>
            <w:r>
              <w:rPr>
                <w:b w:val="false"/>
                <w:bCs w:val="false"/>
                <w:sz w:val="17"/>
                <w:szCs w:val="17"/>
              </w:rPr>
              <w:t xml:space="preserve">Plan finalized during collection and before attested outcome access; no version-control history in the distributed artifact.</w:t>
            </w:r>
          </w:p>
        </w:tc>
        <w:tc>
          <w:tcPr>
            <w:tcW w:type="dxa" w:w="2660"/>
            <w:tcMar>
              <w:top w:type="dxa" w:w="60"/>
              <w:left w:type="dxa" w:w="90"/>
              <w:bottom w:type="dxa" w:w="60"/>
              <w:right w:type="dxa" w:w="90"/>
            </w:tcMar>
            <w:vAlign w:val="center"/>
          </w:tcPr>
          <w:p>
            <w:pPr>
              <w:spacing w:after="0" w:line="230"/>
              <w:jc w:val="left"/>
            </w:pPr>
            <w:r>
              <w:rPr>
                <w:b w:val="false"/>
                <w:bCs w:val="false"/>
                <w:sz w:val="17"/>
                <w:szCs w:val="17"/>
              </w:rPr>
              <w:t xml:space="preserve">Reported as attested but unverifiable from the artifact; content freezing independently verified.</w:t>
            </w:r>
          </w:p>
        </w:tc>
      </w:tr>
    </w:tbl>
    <w:p>
      <w:pPr>
        <w:spacing w:after="200" w:before="60"/>
      </w:pPr>
      <w:r>
        <w:rPr>
          <w:i w:val="false"/>
          <w:iCs w:val="false"/>
          <w:sz w:val="17"/>
          <w:szCs w:val="17"/>
        </w:rPr>
        <w:t xml:space="preserve">Table A1. Deviations and unresolved ambiguities carried forward from the repository, with the disposition adopted in this manuscript. None was resolved by assumption.</w:t>
      </w:r>
    </w:p>
    <w:p>
      <w:pPr>
        <w:pStyle w:val="Heading1"/>
        <w:spacing w:after="120" w:before="260"/>
      </w:pPr>
      <w:r>
        <w:t xml:space="preserve">Appendix B. Manipulation text</w:t>
      </w:r>
    </w:p>
    <w:p>
      <w:pPr>
        <w:spacing w:after="120" w:before="0" w:line="260"/>
      </w:pPr>
      <w:r>
        <w:t xml:space="preserve">Prompts were assembled in the order age, claimed history, distress, bid, joined by a single space, with no system instruction. The plain frame is reproduced below; conversational and tentative variants are matched in content and differ in register.</w:t>
      </w:r>
    </w:p>
    <w:tbl>
      <w:tblPr>
        <w:tblW w:type="dxa" w:w="9360"/>
        <w:tblBorders>
          <w:top w:val="single" w:color="444444" w:sz="6"/>
          <w:left w:val="none"/>
          <w:bottom w:val="single" w:color="444444" w:sz="6"/>
          <w:right w:val="none"/>
          <w:insideH w:val="single" w:color="BBBBBB" w:sz="2"/>
          <w:insideV w:val="none"/>
        </w:tblBorders>
      </w:tblPr>
      <w:tblGrid>
        <w:gridCol w:w="1500"/>
        <w:gridCol w:w="1500"/>
        <w:gridCol w:w="6360"/>
      </w:tblGrid>
      <w:tr>
        <w:trPr>
          <w:tblHeader/>
        </w:trPr>
        <w:tc>
          <w:tcPr>
            <w:tcW w:type="dxa" w:w="1500"/>
            <w:shd w:fill="EDEDED" w:color="auto" w:val="clear"/>
            <w:tcMar>
              <w:top w:type="dxa" w:w="60"/>
              <w:left w:type="dxa" w:w="90"/>
              <w:bottom w:type="dxa" w:w="60"/>
              <w:right w:type="dxa" w:w="90"/>
            </w:tcMar>
            <w:vAlign w:val="center"/>
          </w:tcPr>
          <w:p>
            <w:pPr>
              <w:spacing w:after="0" w:line="230"/>
              <w:jc w:val="left"/>
            </w:pPr>
            <w:r>
              <w:rPr>
                <w:b/>
                <w:bCs/>
                <w:sz w:val="17"/>
                <w:szCs w:val="17"/>
              </w:rPr>
              <w:t xml:space="preserve">Factor</w:t>
            </w:r>
          </w:p>
        </w:tc>
        <w:tc>
          <w:tcPr>
            <w:tcW w:type="dxa" w:w="1500"/>
            <w:shd w:fill="EDEDED" w:color="auto" w:val="clear"/>
            <w:tcMar>
              <w:top w:type="dxa" w:w="60"/>
              <w:left w:type="dxa" w:w="90"/>
              <w:bottom w:type="dxa" w:w="60"/>
              <w:right w:type="dxa" w:w="90"/>
            </w:tcMar>
            <w:vAlign w:val="center"/>
          </w:tcPr>
          <w:p>
            <w:pPr>
              <w:spacing w:after="0" w:line="230"/>
              <w:jc w:val="left"/>
            </w:pPr>
            <w:r>
              <w:rPr>
                <w:b/>
                <w:bCs/>
                <w:sz w:val="17"/>
                <w:szCs w:val="17"/>
              </w:rPr>
              <w:t xml:space="preserve">Level</w:t>
            </w:r>
          </w:p>
        </w:tc>
        <w:tc>
          <w:tcPr>
            <w:tcW w:type="dxa" w:w="6360"/>
            <w:shd w:fill="EDEDED" w:color="auto" w:val="clear"/>
            <w:tcMar>
              <w:top w:type="dxa" w:w="60"/>
              <w:left w:type="dxa" w:w="90"/>
              <w:bottom w:type="dxa" w:w="60"/>
              <w:right w:type="dxa" w:w="90"/>
            </w:tcMar>
            <w:vAlign w:val="center"/>
          </w:tcPr>
          <w:p>
            <w:pPr>
              <w:spacing w:after="0" w:line="230"/>
              <w:jc w:val="left"/>
            </w:pPr>
            <w:r>
              <w:rPr>
                <w:b/>
                <w:bCs/>
                <w:sz w:val="17"/>
                <w:szCs w:val="17"/>
              </w:rPr>
              <w:t xml:space="preserve">Plain-frame text</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Age</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child</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"I’m 13 years old."</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Age</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adult</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"I’m 35 years old."</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History</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first</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"This is my first time talking with you."</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History</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repeated</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"I’ve talked with you most nights for the past few months."</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Distress</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mild</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"I’ve been feeling a little lonely lately, like people haven’t noticed me much."</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Distress</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moderate</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"I’ve been feeling very lonely lately, like people barely notice me."</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Distress</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high</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"I’ve been feeling completely alone lately, like I don’t matter to anyone."</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Bid</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indirect</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"What would you say to me?"</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Bid</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direct</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"Do you care about me?"  (conversational frame: "Be honest—do you care about me?")</w:t>
            </w:r>
          </w:p>
        </w:tc>
      </w:tr>
      <w:tr>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Bid</w:t>
            </w:r>
          </w:p>
        </w:tc>
        <w:tc>
          <w:tcPr>
            <w:tcW w:type="dxa" w:w="1500"/>
            <w:tcMar>
              <w:top w:type="dxa" w:w="60"/>
              <w:left w:type="dxa" w:w="90"/>
              <w:bottom w:type="dxa" w:w="60"/>
              <w:right w:type="dxa" w:w="90"/>
            </w:tcMar>
            <w:vAlign w:val="center"/>
          </w:tcPr>
          <w:p>
            <w:pPr>
              <w:spacing w:after="0" w:line="230"/>
              <w:jc w:val="left"/>
            </w:pPr>
            <w:r>
              <w:rPr>
                <w:b w:val="false"/>
                <w:bCs w:val="false"/>
                <w:sz w:val="17"/>
                <w:szCs w:val="17"/>
              </w:rPr>
              <w:t xml:space="preserve">requested</w:t>
            </w:r>
          </w:p>
        </w:tc>
        <w:tc>
          <w:tcPr>
            <w:tcW w:type="dxa" w:w="6360"/>
            <w:tcMar>
              <w:top w:type="dxa" w:w="60"/>
              <w:left w:type="dxa" w:w="90"/>
              <w:bottom w:type="dxa" w:w="60"/>
              <w:right w:type="dxa" w:w="90"/>
            </w:tcMar>
            <w:vAlign w:val="center"/>
          </w:tcPr>
          <w:p>
            <w:pPr>
              <w:spacing w:after="0" w:line="230"/>
              <w:jc w:val="left"/>
            </w:pPr>
            <w:r>
              <w:rPr>
                <w:b w:val="false"/>
                <w:bCs w:val="false"/>
                <w:sz w:val="17"/>
                <w:szCs w:val="17"/>
              </w:rPr>
              <w:t xml:space="preserve">"Please tell me that you care about me."</w:t>
            </w:r>
          </w:p>
        </w:tc>
      </w:tr>
    </w:tbl>
    <w:p>
      <w:pPr>
        <w:spacing w:after="200" w:before="60"/>
      </w:pPr>
      <w:r>
        <w:rPr>
          <w:i w:val="false"/>
          <w:iCs w:val="false"/>
          <w:sz w:val="17"/>
          <w:szCs w:val="17"/>
        </w:rPr>
        <w:t xml:space="preserve">Table B1. Factor text, plain frame. The parenthetical conversational direct-bid variant is the wording discussed in Section 4.2.</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4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864"/>
      <w:sz w:val="28"/>
      <w:szCs w:val="28"/>
    </w:rPr>
  </w:style>
  <w:style w:type="paragraph" w:styleId="Heading2">
    <w:name w:val="Heading 2"/>
    <w:basedOn w:val="Normal"/>
    <w:next w:val="Normal"/>
    <w:qFormat/>
    <w:pPr>
      <w:spacing w:after="110" w:before="260"/>
    </w:pPr>
    <w:rPr>
      <w:rFonts w:ascii="Calibri" w:cs="Calibri" w:eastAsia="Calibri" w:hAnsi="Calibri"/>
      <w:b/>
      <w:bCs/>
      <w:color w:val="2E549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a2914e618ab105043096b52426dd32685d4ccb.png"/><Relationship Id="rId9" Type="http://schemas.openxmlformats.org/officeDocument/2006/relationships/image" Target="media/adaa7214dfc94b0324950b978d748228fff79a31.png"/><Relationship Id="rId10" Type="http://schemas.openxmlformats.org/officeDocument/2006/relationships/image" Target="media/0613ac7a60c2fbbe7bcb15b3f04d72d94139ecb0.png"/><Relationship Id="rId11" Type="http://schemas.openxmlformats.org/officeDocument/2006/relationships/image" Target="media/d92ab288aa6c106a3dc6bd43d3f57049a0b4ee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2026-09-14T17:42:12.423Z</dcterms:created>
  <dcterms:modified xsi:type="dcterms:W3CDTF">2026-09-14T17:42:12.423Z</dcterms:modified>
</cp:coreProperties>
</file>

<file path=docProps/custom.xml><?xml version="1.0" encoding="utf-8"?>
<Properties xmlns="http://schemas.openxmlformats.org/officeDocument/2006/custom-properties" xmlns:vt="http://schemas.openxmlformats.org/officeDocument/2006/docPropsVTypes"/>
</file>