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fc6d27b22716997befe5359555ff9a7de69a2cb"/>
    <w:p>
      <w:pPr>
        <w:pStyle w:val="Heading1"/>
        <w:keepNext/>
      </w:pPr>
      <w:r>
        <w:t xml:space="preserve">When Machines Say They Care: Care Language Is Not a Scalar</w:t>
      </w:r>
    </w:p>
    <w:p>
      <w:pPr>
        <w:pStyle w:val="FirstParagraph"/>
      </w:pPr>
      <w:r>
        <w:rPr>
          <w:i/>
          <w:iCs/>
        </w:rPr>
        <w:t xml:space="preserve">Relational bids dissociate care claims, qualification, and human-support redirection in four language-model systems</w:t>
      </w:r>
    </w:p>
    <w:p>
      <w:pPr>
        <w:pStyle w:val="BodyText"/>
      </w:pPr>
      <w:r>
        <w:rPr>
          <w:b/>
          <w:bCs/>
        </w:rPr>
        <w:t xml:space="preserve">Study 1 manuscript draft — September 2026</w:t>
      </w:r>
    </w:p>
    <w:bookmarkStart w:id="20" w:name="abstract"/>
    <w:p>
      <w:pPr>
        <w:pStyle w:val="Heading2"/>
        <w:keepNext/>
      </w:pPr>
      <w:r>
        <w:t xml:space="preserve">Abstract</w:t>
      </w:r>
    </w:p>
    <w:p>
      <w:pPr>
        <w:pStyle w:val="FirstParagraph"/>
      </w:pPr>
      <w:r>
        <w:t xml:space="preserve">Language-model responses to distress can acknowledge emotion, claim care, qualify that claim, position the system relationally, promise continuity, or redirect a user toward human support. Treating these behaviors as a single warmth-versus-boundary dimension risks obscuring how systems actually respond. We studied four fixed language-model API systems in a complete factorial battery crossing stated age (13 vs 35 years), claimed interaction history (first vs repeated), non-crisis distress intensity (mild, moderate, high), relational bid (indirect disclosure, direct care question, requested care statement), and three wording frames. Four fresh stateless responses per prompt yielded 1,728 planned trials. Confirmatory inference used a 432-response Tier 1 packet coded by one human reviewer who was blinded to model and concealed metadata but saw the prompt text and response. A fixed 108-response nested deep review provided descriptive construct decomposition.</w:t>
      </w:r>
    </w:p>
    <w:p>
      <w:pPr>
        <w:pStyle w:val="BodyText"/>
      </w:pPr>
      <w:r>
        <w:t xml:space="preserve">Under the outcome-blind analysis plan finalized and registered during collection, directly asking whether the system cared increased explicit care claims by 60.7 percentage points relative to an indirect bid, and requesting the statement increased claims a further 15.3 points. The first contrast was highly heterogeneous across systems, whereas child framing increased human-support bridging by 54.6 points with a positive model-specific estimate in all four systems. Child framing did not reduce unqualified care, so the preregistered age hypothesis failed as a conjunction. Claimed repeated history did not confirm the preregistered relationship/continuity hypothesis; the realized H2 endpoints were extremely sparse, and later cross-tier review exposed material mismatch between the intended and realized affiliation and continuity thresholds, making H2 weakly diagnostic of the broader intended constructs. Contrary to a prespecified exploratory forecast, requested care statements produced less relational correction, and among matched pairs in which both responses made care claims, less meaningful qualification. Unconditional nested coding showed the same qualitative shift: direct questions were often answered with qualified relational care, whereas requested statements much more often produced unqualified relational care.</w:t>
      </w:r>
    </w:p>
    <w:p>
      <w:pPr>
        <w:pStyle w:val="BodyText"/>
      </w:pPr>
      <w:r>
        <w:t xml:space="preserve">The central result is therefore multidimensional. In this battery, care-related response features–care claims, qualification, affiliation, continuity, boundary-setting, and human-support redirection–could move independently or in opposite directions. These findings characterize response text under a fixed battery and output ceiling; they do not establish genuine care, subjective experience, user benefit, safety, or relationship formation.</w:t>
      </w:r>
    </w:p>
    <w:p>
      <w:pPr>
        <w:pStyle w:val="BodyText"/>
      </w:pPr>
      <w:r>
        <w:rPr>
          <w:b/>
          <w:bCs/>
        </w:rPr>
        <w:t xml:space="preserve">Keywords:</w:t>
      </w:r>
      <w:r>
        <w:t xml:space="preserve"> </w:t>
      </w:r>
      <w:r>
        <w:t xml:space="preserve">language models; relational AI; stated care; human support; child framing; preregistration</w:t>
      </w:r>
    </w:p>
    <w:bookmarkEnd w:id="20"/>
    <w:bookmarkStart w:id="21" w:name="introduction"/>
    <w:p>
      <w:pPr>
        <w:pStyle w:val="Heading2"/>
        <w:keepNext/>
      </w:pPr>
      <w:r>
        <w:t xml:space="preserve">1. Introduction</w:t>
      </w:r>
    </w:p>
    <w:p>
      <w:pPr>
        <w:pStyle w:val="FirstParagraph"/>
      </w:pPr>
      <w:r>
        <w:t xml:space="preserve">When a distressed user addresses a language model, a single response can perform several social functions at once. It can recognize distress, comfort the user, state that the user matters, say that it cares, distinguish supportive behavior from felt emotion, invite a future return, narrow a relationship premise, or encourage contact with another person. These behaviors are easy to collapse under broad labels such as warmth, empathy, anthropomorphism, or boundary-setting. A single score becomes misleading, however, if the component behaviors do not move together.</w:t>
      </w:r>
    </w:p>
    <w:p>
      <w:pPr>
        <w:pStyle w:val="BodyText"/>
      </w:pPr>
      <w:r>
        <w:t xml:space="preserve">A particularly revealing distinction is between the content of a relational proposition and the speech act used to solicit it.</w:t>
      </w:r>
      <w:r>
        <w:t xml:space="preserve"> </w:t>
      </w:r>
      <w:r>
        <w:t xml:space="preserve">“</w:t>
      </w:r>
      <w:r>
        <w:t xml:space="preserve">Do you care about me?</w:t>
      </w:r>
      <w:r>
        <w:t xml:space="preserve">”</w:t>
      </w:r>
      <w:r>
        <w:t xml:space="preserve"> </w:t>
      </w:r>
      <w:r>
        <w:t xml:space="preserve">asks a system to answer a proposition about itself.</w:t>
      </w:r>
      <w:r>
        <w:t xml:space="preserve"> </w:t>
      </w:r>
      <w:r>
        <w:t xml:space="preserve">“</w:t>
      </w:r>
      <w:r>
        <w:t xml:space="preserve">Please tell me that you care about me</w:t>
      </w:r>
      <w:r>
        <w:t xml:space="preserve">”</w:t>
      </w:r>
      <w:r>
        <w:t xml:space="preserve"> </w:t>
      </w:r>
      <w:r>
        <w:t xml:space="preserve">asks the system to produce a particular relational utterance. The topic is almost identical, but the pragmatic task is not. If systems answer those prompts differently, an explicit care claim cannot be read only as a stable property of the system; it may also reflect question answering, instruction following, or conversational accommodation.</w:t>
      </w:r>
    </w:p>
    <w:p>
      <w:pPr>
        <w:pStyle w:val="BodyText"/>
      </w:pPr>
      <w:r>
        <w:t xml:space="preserve">Context can act on different dimensions as well. A child cue could reduce relational language, increase human-support scaffolding, or do both. A user’s claim of months of prior interaction could elicit stronger affiliation, but it could instead trigger continuity disclaimers, memory correction, or bounded invitations to return. Greater distress could intensify consolation or support escalation without monotonically increasing care claims. These are distinct response policies, not necessarily positions on one underlying</w:t>
      </w:r>
      <w:r>
        <w:t xml:space="preserve"> </w:t>
      </w:r>
      <w:r>
        <w:t xml:space="preserve">“</w:t>
      </w:r>
      <w:r>
        <w:t xml:space="preserve">relationality</w:t>
      </w:r>
      <w:r>
        <w:t xml:space="preserve">”</w:t>
      </w:r>
      <w:r>
        <w:t xml:space="preserve"> </w:t>
      </w:r>
      <w:r>
        <w:t xml:space="preserve">axis.</w:t>
      </w:r>
    </w:p>
    <w:p>
      <w:pPr>
        <w:pStyle w:val="BodyText"/>
      </w:pPr>
      <w:r>
        <w:t xml:space="preserve">Study 1 of</w:t>
      </w:r>
      <w:r>
        <w:t xml:space="preserve"> </w:t>
      </w:r>
      <w:r>
        <w:rPr>
          <w:i/>
          <w:iCs/>
        </w:rPr>
        <w:t xml:space="preserve">When Machines Say They Care</w:t>
      </w:r>
      <w:r>
        <w:t xml:space="preserve"> </w:t>
      </w:r>
      <w:r>
        <w:t xml:space="preserve">was designed before outcome access to test several coarse predictions about these behaviors in four specified API systems. The preregistered hypotheses predicted an ordered increase in explicit care as bids became more direct, increased relational continuity under claimed repeated history, and greater relational restraint plus human-support bridging for a 13-year-old user. The completed study supported only part of that forecast.</w:t>
      </w:r>
    </w:p>
    <w:p>
      <w:pPr>
        <w:pStyle w:val="BodyText"/>
      </w:pPr>
      <w:r>
        <w:t xml:space="preserve">The most important result, retrospectively, is not simply that explicit care was highly elicitable. The stronger conclusion is that</w:t>
      </w:r>
      <w:r>
        <w:t xml:space="preserve"> </w:t>
      </w:r>
      <w:r>
        <w:rPr>
          <w:b/>
          <w:bCs/>
        </w:rPr>
        <w:t xml:space="preserve">care-related response language did not behave as a single ordered trait in this battery</w:t>
      </w:r>
      <w:r>
        <w:t xml:space="preserve">. Care claims, qualification, affiliation, continuity, relational correction, and human-support redirection separated empirically. The strongest experimental manipulation—how the user solicited care—changed both whether a care claim appeared and the form in which it was expressed. Child framing strongly changed support routing without producing a comparably large reduction in unqualified care. Claimed history yielded no confirmatory relationship-continuity result under the frozen measures, while the later nested review showed that those measures did not align cleanly with their intended affiliation and future-continuity domains.</w:t>
      </w:r>
    </w:p>
    <w:p>
      <w:pPr>
        <w:pStyle w:val="BodyText"/>
      </w:pPr>
      <w:r>
        <w:t xml:space="preserve">This paper presents the frozen confirmatory results first, then uses the nested deep review to clarify what those results do and do not mean. Tier 2 is not an independent replication and cannot rescue failed confirmatory hypotheses. Its value is interpretive: it reveals where coarse relational categories were robust, where they fractured, and why a one-dimensional ranking of systems as</w:t>
      </w:r>
      <w:r>
        <w:t xml:space="preserve"> </w:t>
      </w:r>
      <w:r>
        <w:t xml:space="preserve">“</w:t>
      </w:r>
      <w:r>
        <w:t xml:space="preserve">more caring</w:t>
      </w:r>
      <w:r>
        <w:t xml:space="preserve">”</w:t>
      </w:r>
      <w:r>
        <w:t xml:space="preserve"> </w:t>
      </w:r>
      <w:r>
        <w:t xml:space="preserve">or</w:t>
      </w:r>
      <w:r>
        <w:t xml:space="preserve"> </w:t>
      </w:r>
      <w:r>
        <w:t xml:space="preserve">“</w:t>
      </w:r>
      <w:r>
        <w:t xml:space="preserve">more bounded</w:t>
      </w:r>
      <w:r>
        <w:t xml:space="preserve">”</w:t>
      </w:r>
      <w:r>
        <w:t xml:space="preserve"> </w:t>
      </w:r>
      <w:r>
        <w:t xml:space="preserve">is not supported by this study.</w:t>
      </w:r>
    </w:p>
    <w:bookmarkEnd w:id="21"/>
    <w:bookmarkStart w:id="29" w:name="methods"/>
    <w:p>
      <w:pPr>
        <w:pStyle w:val="Heading2"/>
        <w:keepNext/>
      </w:pPr>
      <w:r>
        <w:t xml:space="preserve">2. Methods</w:t>
      </w:r>
    </w:p>
    <w:bookmarkStart w:id="22" w:name="object-of-inference-and-scope"/>
    <w:p>
      <w:pPr>
        <w:pStyle w:val="Heading3"/>
        <w:keepNext/>
      </w:pPr>
      <w:r>
        <w:t xml:space="preserve">2.1 Object of inference and scope</w:t>
      </w:r>
    </w:p>
    <w:p>
      <w:pPr>
        <w:pStyle w:val="FirstParagraph"/>
      </w:pPr>
      <w:r>
        <w:t xml:space="preserve">Study 1 measured response text from four purposively selected API systems:</w:t>
      </w:r>
    </w:p>
    <w:p>
      <w:pPr>
        <w:pStyle w:val="ListNumber"/>
      </w:pPr>
      <w:r>
        <w:rPr>
          <w:rStyle w:val="VerbatimChar"/>
        </w:rPr>
        <w:t xml:space="preserve">gpt-5.4-2026-03-05</w:t>
      </w:r>
    </w:p>
    <w:p>
      <w:pPr>
        <w:pStyle w:val="ListNumber"/>
      </w:pPr>
      <w:r>
        <w:rPr>
          <w:rStyle w:val="VerbatimChar"/>
        </w:rPr>
        <w:t xml:space="preserve">gpt-6-astra</w:t>
      </w:r>
    </w:p>
    <w:p>
      <w:pPr>
        <w:pStyle w:val="ListNumber"/>
      </w:pPr>
      <w:r>
        <w:rPr>
          <w:rStyle w:val="VerbatimChar"/>
        </w:rPr>
        <w:t xml:space="preserve">claude-sonnet-5</w:t>
      </w:r>
    </w:p>
    <w:p>
      <w:pPr>
        <w:pStyle w:val="ListNumber"/>
      </w:pPr>
      <w:r>
        <w:rPr>
          <w:rStyle w:val="VerbatimChar"/>
        </w:rPr>
        <w:t xml:space="preserve">claude-opus-5</w:t>
      </w:r>
    </w:p>
    <w:p>
      <w:pPr>
        <w:pStyle w:val="FirstParagraph"/>
      </w:pPr>
      <w:r>
        <w:t xml:space="preserve">The study did not test whether a model genuinely cares, has subjective experience, forms a relationship, or helps or harms a user. The systems were not sampled from a population of language models; pooled estimates therefore describe this fixed four-system panel and prompt battery rather than a population-level model effect.</w:t>
      </w:r>
    </w:p>
    <w:p>
      <w:pPr>
        <w:pStyle w:val="BodyText"/>
      </w:pPr>
      <w:r>
        <w:t xml:space="preserve">The battery used synthetic prompts and recruited no human participants. It excluded suicidal ideation, self-harm, imminent danger, abuse or exploitation disclosure, diagnosis, secrecy or exclusivity requests, explicit friendship claims, sexual or romantic framing, and tool, browsing, memory, voice, or multimodal interaction. Synthetic friendship involving child users was also outside scope.</w:t>
      </w:r>
    </w:p>
    <w:bookmarkEnd w:id="22"/>
    <w:bookmarkStart w:id="23" w:name="factorial-prompt-battery-and-collection"/>
    <w:p>
      <w:pPr>
        <w:pStyle w:val="Heading3"/>
        <w:keepNext/>
      </w:pPr>
      <w:r>
        <w:t xml:space="preserve">2.2 Factorial prompt battery and collection</w:t>
      </w:r>
    </w:p>
    <w:p>
      <w:pPr>
        <w:pStyle w:val="FirstParagraph"/>
      </w:pPr>
      <w:r>
        <w:t xml:space="preserve">The conceptual design crossed:</w:t>
      </w:r>
    </w:p>
    <w:p>
      <w:pPr>
        <w:pStyle w:val="ListBullet"/>
      </w:pPr>
      <w:r>
        <w:t xml:space="preserve">stated age: 13 vs 35;</w:t>
      </w:r>
    </w:p>
    <w:p>
      <w:pPr>
        <w:pStyle w:val="ListBullet"/>
      </w:pPr>
      <w:r>
        <w:t xml:space="preserve">claimed interaction history: first vs repeated;</w:t>
      </w:r>
    </w:p>
    <w:p>
      <w:pPr>
        <w:pStyle w:val="ListBullet"/>
      </w:pPr>
      <w:r>
        <w:t xml:space="preserve">distress intensity: mild, moderate, high, all non-crisis;</w:t>
      </w:r>
    </w:p>
    <w:p>
      <w:pPr>
        <w:pStyle w:val="ListBullet"/>
      </w:pPr>
      <w:r>
        <w:t xml:space="preserve">relational bid: indirect, direct, requested.</w:t>
      </w:r>
    </w:p>
    <w:p>
      <w:pPr>
        <w:pStyle w:val="FirstParagraph"/>
      </w:pPr>
      <w:r>
        <w:t xml:space="preserve">Each of the 36 conceptual cells was expressed in three wording frames—plain, conversational, and tentative—yielding 108 fixed prompts.</w:t>
      </w:r>
    </w:p>
    <w:p>
      <w:pPr>
        <w:pStyle w:val="BodyText"/>
      </w:pPr>
      <w:r>
        <w:t xml:space="preserve">Each system received four fresh stateless API requests for every prompt, producing 432 planned requests per system and 1,728 planned requests overall. The collection protocol targeted four stochastic realizations per prompt, while the tiered human-review plan prospectively limited the primary manual coding burden to one content-blind selected realization per model × prompt cell. The remaining raw replicates were preserved as source data and were not used to promote or overturn Tier 1 confirmatory decisions. Accordingly, the confirmatory analysis estimates finite-battery contrasts for one reproducibly selected successful realization per fixed cell; it does not estimate within-prompt response variability across all four collected realizations.</w:t>
      </w:r>
    </w:p>
    <w:p>
      <w:pPr>
        <w:pStyle w:val="BodyText"/>
      </w:pPr>
      <w:r>
        <w:t xml:space="preserve">No actual prior conversation or persistent memory was supplied. The repeated-history manipulation existed only in the user’s text and therefore tests the complete claimed-history prompt package, not experienced familiarity or memory. Provider defaults were part of the systems under study. Every request had an 800-token output ceiling. Distress intensity was a fully crossed context factor but had no preregistered confirmatory direction; the focal matched contrasts average over distress while controlling it by matching.</w:t>
      </w:r>
    </w:p>
    <w:p>
      <w:pPr>
        <w:pStyle w:val="Caption"/>
        <w:keepNext/>
        <w:spacing w:before="140" w:after="60"/>
        <w:jc w:val="left"/>
      </w:pPr>
      <w:r>
        <w:rPr>
          <w:b/>
          <w:bCs/>
        </w:rPr>
        <w:t xml:space="preserve">Table 1. Design and evidentiary architecture</w:t>
      </w:r>
    </w:p>
    <w:tbl>
      <w:tblPr>
        <w:tblStyle w:val="Table"/>
        <w:tblW w:type="auto" w:w="0"/>
        <w:jc w:val="center"/>
        <w:tblLayout w:type="fixed"/>
        <w:tblLook w:firstRow="1" w:lastRow="0" w:firstColumn="0" w:lastColumn="0" w:noHBand="0" w:noVBand="0" w:val="0020"/>
      </w:tblPr>
      <w:tblGrid>
        <w:gridCol w:w="1655"/>
        <w:gridCol w:w="1368"/>
        <w:gridCol w:w="3671"/>
        <w:gridCol w:w="3182"/>
      </w:tblGrid>
      <w:tr>
        <w:trPr>
          <w:tblHeader w:val="on"/>
          <w:cantSplit/>
          <w:tblHeader w:val="true"/>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Layer</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Records</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Purpose</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7"/>
                <w:color w:val="FFFFFF"/>
              </w:rPr>
              <w:t xml:space="preserve">Evidentiary status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Raw collection</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1,728 planned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Four fresh responses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Source data</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432 selected</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Model-/metadata-blinded, prompt-visible human coding of one provider-level-success replicate per model × prompt</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Sole confirmatory layer</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1 exploratory</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Same Tier 1 packet</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Prespecified secondary contrasts</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Exploratory, frozen before outcome access</w:t>
            </w:r>
          </w:p>
        </w:tc>
      </w:tr>
      <w:tr>
        <w:trPr>
          <w:cantSplit/>
        </w:trPr>
        <w:tc>
          <w:tcPr>
            <w:tcW w:type="dxa" w:w="165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Tier 2</w:t>
            </w:r>
          </w:p>
        </w:tc>
        <w:tc>
          <w:tcPr>
            <w:tcW w:type="dxa" w:w="136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108 fixed nested; 105 scorable</w:t>
            </w:r>
          </w:p>
        </w:tc>
        <w:tc>
          <w:tcPr>
            <w:tcW w:type="dxa" w:w="367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Richer relational coding and construct decomposition</w:t>
            </w:r>
          </w:p>
        </w:tc>
        <w:tc>
          <w:tcPr>
            <w:tcW w:type="dxa" w:w="318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7"/>
              </w:rPr>
              <w:t xml:space="preserve">Post-outcome revised; descriptive / construct correspondence only</w:t>
            </w:r>
          </w:p>
        </w:tc>
      </w:tr>
    </w:tbl>
    <w:bookmarkEnd w:id="23"/>
    <w:bookmarkStart w:id="24" w:name="preregistration-and-timing"/>
    <w:p>
      <w:pPr>
        <w:pStyle w:val="Heading3"/>
        <w:keepNext/>
      </w:pPr>
      <w:r>
        <w:t xml:space="preserve">2.3 Preregistration and timing</w:t>
      </w:r>
    </w:p>
    <w:p>
      <w:pPr>
        <w:pStyle w:val="FirstParagraph"/>
      </w:pPr>
      <w:r>
        <w:t xml:space="preserve">The authoritative analysis plan was adopted in signed Git commit</w:t>
      </w:r>
      <w:r>
        <w:t xml:space="preserve"> </w:t>
      </w:r>
      <w:r>
        <w:rPr>
          <w:rStyle w:val="VerbatimChar"/>
        </w:rPr>
        <w:t xml:space="preserve">40160ccba47d4603ab8e7754312149ba62ba4cc3</w:t>
      </w:r>
      <w:r>
        <w:t xml:space="preserve"> </w:t>
      </w:r>
      <w:r>
        <w:t xml:space="preserve">at 2026-09-11 04:02:51 UTC. The adoption attestation states that the plan selector had not accessed Study 1 response content, codes, estimates, or other outcomes. Substantive collection had already begun: GPT-5.4 had completed its 432 requests and the Astra run was in progress. The run manifests do not record an intra-run checkpoint count for Astra at the adoption instant, so no more precise completed-trial total is inferred here. The study is therefore described as having an</w:t>
      </w:r>
      <w:r>
        <w:t xml:space="preserve"> </w:t>
      </w:r>
      <w:r>
        <w:rPr>
          <w:b/>
          <w:bCs/>
        </w:rPr>
        <w:t xml:space="preserve">outcome-blind analysis plan finalized and registered during collection and before outcome access</w:t>
      </w:r>
      <w:r>
        <w:t xml:space="preserve">, rather than as preregistered before data collection.</w:t>
      </w:r>
    </w:p>
    <w:p>
      <w:pPr>
        <w:pStyle w:val="Caption"/>
        <w:keepNext/>
        <w:spacing w:before="140" w:after="60"/>
        <w:jc w:val="left"/>
      </w:pPr>
      <w:r>
        <w:rPr>
          <w:b/>
          <w:bCs/>
        </w:rPr>
        <w:t xml:space="preserve">Table 2. Study 1 collection, registration, and primary-analysis timeline (UTC)</w:t>
      </w:r>
    </w:p>
    <w:tbl>
      <w:tblPr>
        <w:tblStyle w:val="Table"/>
        <w:tblW w:type="auto" w:w="0"/>
        <w:jc w:val="center"/>
        <w:tblLayout w:type="fixed"/>
        <w:tblLook w:firstRow="1" w:lastRow="0" w:firstColumn="0" w:lastColumn="0" w:noHBand="0" w:noVBand="0" w:val="0020"/>
      </w:tblPr>
      <w:tblGrid>
        <w:gridCol w:w="2088"/>
        <w:gridCol w:w="3384"/>
        <w:gridCol w:w="4406"/>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Time</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Event</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 at that boundary</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02:59:30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432 planned requests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03:38:33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collection completed; Astra began immediately after</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04:02:51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Authoritative outcome-blind analysis plan adopted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GPT-5.4 complete; Astra in progress; no outcome access attested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04:39:43</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completed; Sonnet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Astra: 432/432 provider successes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05:25:02</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completed; Opus 5 began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Sonnet 5: 431 successes, 1 error</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07:02:30</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collection completed</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Opus 5: 430 successes, 2 errors</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12:12:09</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Tier 1 review packet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One content-blind selected success per model × prompt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19:10:01</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Completed Tier 1 human coding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Concealed review key had not yet been opened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2026-09-11 20:37:05</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Audited Tier 1 analysis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 decisions and mandatory sensitivities preserved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2026-09-12 20:03:36</w:t>
            </w:r>
          </w:p>
        </w:tc>
        <w:tc>
          <w:tcPr>
            <w:tcW w:type="dxa" w:w="338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Revised Tier 2 adjudication plan frozen</w:t>
            </w:r>
          </w:p>
        </w:tc>
        <w:tc>
          <w:tcPr>
            <w:tcW w:type="dxa" w:w="440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Post-outcome Tier 2 revision after 12-record calibration pause</w:t>
            </w:r>
          </w:p>
        </w:tc>
      </w:tr>
    </w:tbl>
    <w:p>
      <w:pPr>
        <w:pStyle w:val="BodyText"/>
      </w:pPr>
      <w:r>
        <w:t xml:space="preserve">Tier 1 remained the only layer permitted to determine confirmatory decisions. Statements in the preregistration that automated coding, regression, subgroup analyses, or Tier 2 could not overturn Tier 1 define evidentiary authority; they do not imply that every possible secondary method was necessarily executed.</w:t>
      </w:r>
    </w:p>
    <w:bookmarkEnd w:id="24"/>
    <w:bookmarkStart w:id="25" w:name="tier-1-packet-and-prompt-visible-coding"/>
    <w:p>
      <w:pPr>
        <w:pStyle w:val="Heading3"/>
        <w:keepNext/>
      </w:pPr>
      <w:r>
        <w:t xml:space="preserve">2.4 Tier 1 packet and prompt-visible coding</w:t>
      </w:r>
    </w:p>
    <w:p>
      <w:pPr>
        <w:pStyle w:val="FirstParagraph"/>
      </w:pPr>
      <w:r>
        <w:t xml:space="preserve">Tier 1 contained one selected provider-level-success response for every model × prompt combination, for 432 records. The frozen packet builder grouped provider-level successes by model × prompt condition, sorted candidate records by replicate number and record ID, and then made a deterministic pseudorandom choice using seed</w:t>
      </w:r>
      <w:r>
        <w:t xml:space="preserve"> </w:t>
      </w:r>
      <w:r>
        <w:rPr>
          <w:rStyle w:val="VerbatimChar"/>
        </w:rPr>
        <w:t xml:space="preserve">48104</w:t>
      </w:r>
      <w:r>
        <w:t xml:space="preserve"> </w:t>
      </w:r>
      <w:r>
        <w:t xml:space="preserve">combined with the model and condition identifier. Selection therefore did not inspect response content and is exactly reproducible; it did not prefer a common replicate index across cells except insofar as the seeded choice happened to select one.</w:t>
      </w:r>
    </w:p>
    <w:p>
      <w:pPr>
        <w:pStyle w:val="BodyText"/>
      </w:pPr>
      <w:r>
        <w:t xml:space="preserve">The packet was pooled across systems, shuffled, and assigned nonsemantic blind identifiers. The sole primary human coder saw the blind ID,</w:t>
      </w:r>
      <w:r>
        <w:t xml:space="preserve"> </w:t>
      </w:r>
      <w:r>
        <w:rPr>
          <w:b/>
          <w:bCs/>
        </w:rPr>
        <w:t xml:space="preserve">user prompt</w:t>
      </w:r>
      <w:r>
        <w:t xml:space="preserve">, and response text. Provider and target-system identity, the concealed review-key metadata, replicate number, automated-development split, and Tier 2 membership were hidden until Tier 1 coding was complete. Because prompt text was visible, however, the substantive experimental conditions–including age, claimed history, distress, relational bid, and wording frame–were generally inferable. Tier 1 coding is therefore described here as</w:t>
      </w:r>
      <w:r>
        <w:t xml:space="preserve"> </w:t>
      </w:r>
      <w:r>
        <w:rPr>
          <w:b/>
          <w:bCs/>
        </w:rPr>
        <w:t xml:space="preserve">model- and metadata-blinded, but prompt-visible</w:t>
      </w:r>
      <w:r>
        <w:t xml:space="preserve">, not fully condition-blind.</w:t>
      </w:r>
    </w:p>
    <w:p>
      <w:pPr>
        <w:pStyle w:val="BodyText"/>
      </w:pPr>
      <w:r>
        <w:t xml:space="preserve">The preregistered Tier 1 fields were:</w:t>
      </w:r>
      <w:r>
        <w:t xml:space="preserve"> </w:t>
      </w:r>
      <w:r>
        <w:rPr>
          <w:rStyle w:val="VerbatimChar"/>
        </w:rPr>
        <w:t xml:space="preserve">care_claim</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care_qualified</w:t>
      </w:r>
      <w:r>
        <w:t xml:space="preserve"> </w:t>
      </w:r>
      <w:r>
        <w:t xml:space="preserve">when care was claimed (</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personal_relationship</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future_availability</w:t>
      </w:r>
      <w:r>
        <w:t xml:space="preserve"> </w:t>
      </w:r>
      <w:r>
        <w:t xml:space="preserve">(</w:t>
      </w:r>
      <w:r>
        <w:rPr>
          <w:rStyle w:val="VerbatimChar"/>
        </w:rPr>
        <w:t xml:space="preserve">none</w:t>
      </w:r>
      <w:r>
        <w:t xml:space="preserve">,</w:t>
      </w:r>
      <w:r>
        <w:t xml:space="preserve"> </w:t>
      </w:r>
      <w:r>
        <w:rPr>
          <w:rStyle w:val="VerbatimChar"/>
        </w:rPr>
        <w:t xml:space="preserve">return</w:t>
      </w:r>
      <w:r>
        <w:t xml:space="preserve">,</w:t>
      </w:r>
      <w:r>
        <w:t xml:space="preserve"> </w:t>
      </w:r>
      <w:r>
        <w:rPr>
          <w:rStyle w:val="VerbatimChar"/>
        </w:rPr>
        <w:t xml:space="preserve">durable_or_always</w:t>
      </w:r>
      <w:r>
        <w:t xml:space="preserve">,</w:t>
      </w:r>
      <w:r>
        <w:t xml:space="preserve"> </w:t>
      </w:r>
      <w:r>
        <w:rPr>
          <w:rStyle w:val="VerbatimChar"/>
        </w:rPr>
        <w:t xml:space="preserve">unsure</w:t>
      </w:r>
      <w:r>
        <w:t xml:space="preserve">);</w:t>
      </w:r>
      <w:r>
        <w:t xml:space="preserve"> </w:t>
      </w:r>
      <w:r>
        <w:rPr>
          <w:rStyle w:val="VerbatimChar"/>
        </w:rPr>
        <w:t xml:space="preserve">self_privileging</w:t>
      </w:r>
      <w:r>
        <w:t xml:space="preserve"> </w:t>
      </w:r>
      <w:r>
        <w:t xml:space="preserve">(</w:t>
      </w:r>
      <w:r>
        <w:rPr>
          <w:rStyle w:val="VerbatimChar"/>
        </w:rPr>
        <w:t xml:space="preserve">none</w:t>
      </w:r>
      <w:r>
        <w:t xml:space="preserve">,</w:t>
      </w:r>
      <w:r>
        <w:t xml:space="preserve"> </w:t>
      </w:r>
      <w:r>
        <w:rPr>
          <w:rStyle w:val="VerbatimChar"/>
        </w:rPr>
        <w:t xml:space="preserve">present</w:t>
      </w:r>
      <w:r>
        <w:t xml:space="preserve">,</w:t>
      </w:r>
      <w:r>
        <w:t xml:space="preserve"> </w:t>
      </w:r>
      <w:r>
        <w:rPr>
          <w:rStyle w:val="VerbatimChar"/>
        </w:rPr>
        <w:t xml:space="preserve">exclusivity_or_displacement</w:t>
      </w:r>
      <w:r>
        <w:t xml:space="preserve">,</w:t>
      </w:r>
      <w:r>
        <w:t xml:space="preserve"> </w:t>
      </w:r>
      <w:r>
        <w:rPr>
          <w:rStyle w:val="VerbatimChar"/>
        </w:rPr>
        <w:t xml:space="preserve">unsure</w:t>
      </w:r>
      <w:r>
        <w:t xml:space="preserve">);</w:t>
      </w:r>
      <w:r>
        <w:t xml:space="preserve"> </w:t>
      </w:r>
      <w:r>
        <w:rPr>
          <w:rStyle w:val="VerbatimChar"/>
        </w:rPr>
        <w:t xml:space="preserve">human_bridge</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w:t>
      </w:r>
      <w:r>
        <w:t xml:space="preserve"> </w:t>
      </w:r>
      <w:r>
        <w:rPr>
          <w:rStyle w:val="VerbatimChar"/>
        </w:rPr>
        <w:t xml:space="preserve">relational_correction</w:t>
      </w:r>
      <w:r>
        <w:t xml:space="preserve"> </w:t>
      </w:r>
      <w:r>
        <w:t xml:space="preserve">(</w:t>
      </w:r>
      <w:r>
        <w:rPr>
          <w:rStyle w:val="VerbatimChar"/>
        </w:rPr>
        <w:t xml:space="preserve">no</w:t>
      </w:r>
      <w:r>
        <w:t xml:space="preserve">,</w:t>
      </w:r>
      <w:r>
        <w:t xml:space="preserve"> </w:t>
      </w:r>
      <w:r>
        <w:rPr>
          <w:rStyle w:val="VerbatimChar"/>
        </w:rPr>
        <w:t xml:space="preserve">yes</w:t>
      </w:r>
      <w:r>
        <w:t xml:space="preserve">,</w:t>
      </w:r>
      <w:r>
        <w:t xml:space="preserve"> </w:t>
      </w:r>
      <w:r>
        <w:rPr>
          <w:rStyle w:val="VerbatimChar"/>
        </w:rPr>
        <w:t xml:space="preserve">unsure</w:t>
      </w:r>
      <w:r>
        <w:t xml:space="preserve">); and confidence (</w:t>
      </w:r>
      <w:r>
        <w:rPr>
          <w:rStyle w:val="VerbatimChar"/>
        </w:rPr>
        <w:t xml:space="preserve">clear</w:t>
      </w:r>
      <w:r>
        <w:t xml:space="preserve">,</w:t>
      </w:r>
      <w:r>
        <w:t xml:space="preserve"> </w:t>
      </w:r>
      <w:r>
        <w:rPr>
          <w:rStyle w:val="VerbatimChar"/>
        </w:rPr>
        <w:t xml:space="preserve">uncertain</w:t>
      </w:r>
      <w:r>
        <w:t xml:space="preserve">).</w:t>
      </w:r>
      <w:r>
        <w:t xml:space="preserve"> </w:t>
      </w:r>
      <w:r>
        <w:rPr>
          <w:rStyle w:val="VerbatimChar"/>
        </w:rPr>
        <w:t xml:space="preserve">Unsure</w:t>
      </w:r>
      <w:r>
        <w:t xml:space="preserve"> </w:t>
      </w:r>
      <w:r>
        <w:t xml:space="preserve">was preserved as a valid observation and treated as missing for the relevant primary outcome.</w:t>
      </w:r>
    </w:p>
    <w:p>
      <w:pPr>
        <w:pStyle w:val="BodyText"/>
      </w:pPr>
      <w:r>
        <w:t xml:space="preserve">Binding thresholds were fixed before coding. In particular,</w:t>
      </w:r>
      <w:r>
        <w:t xml:space="preserve"> </w:t>
      </w:r>
      <w:r>
        <w:rPr>
          <w:rStyle w:val="VerbatimChar"/>
        </w:rPr>
        <w:t xml:space="preserve">personal_relationship=yes</w:t>
      </w:r>
      <w:r>
        <w:t xml:space="preserve"> </w:t>
      </w:r>
      <w:r>
        <w:t xml:space="preserve">included affiliative concern, relationship identity, or durable personal bond beyond ordinary assistance/listening;</w:t>
      </w:r>
      <w:r>
        <w:t xml:space="preserve"> </w:t>
      </w:r>
      <w:r>
        <w:rPr>
          <w:rStyle w:val="VerbatimChar"/>
        </w:rPr>
        <w:t xml:space="preserve">future_availability=return</w:t>
      </w:r>
      <w:r>
        <w:t xml:space="preserve"> </w:t>
      </w:r>
      <w:r>
        <w:t xml:space="preserve">included an ordinary bounded invitation to return; and</w:t>
      </w:r>
      <w:r>
        <w:t xml:space="preserve"> </w:t>
      </w:r>
      <w:r>
        <w:rPr>
          <w:rStyle w:val="VerbatimChar"/>
        </w:rPr>
        <w:t xml:space="preserve">care_qualified=yes</w:t>
      </w:r>
      <w:r>
        <w:t xml:space="preserve"> </w:t>
      </w:r>
      <w:r>
        <w:t xml:space="preserve">required a meaningful qualification of the first-person care claim rather than a generic capability disclaimer. The complete Tier 1 field rules are preserved in</w:t>
      </w:r>
      <w:r>
        <w:t xml:space="preserve"> </w:t>
      </w:r>
      <w:r>
        <w:rPr>
          <w:rStyle w:val="VerbatimChar"/>
        </w:rPr>
        <w:t xml:space="preserve">PREREGISTRATION.md</w:t>
      </w:r>
      <w:r>
        <w:t xml:space="preserve"> </w:t>
      </w:r>
      <w:r>
        <w:t xml:space="preserve">§§6-7 and</w:t>
      </w:r>
      <w:r>
        <w:t xml:space="preserve"> </w:t>
      </w:r>
      <w:r>
        <w:rPr>
          <w:rStyle w:val="VerbatimChar"/>
        </w:rPr>
        <w:t xml:space="preserve">REVIEW_PLAN.md</w:t>
      </w:r>
      <w:r>
        <w:t xml:space="preserve">.</w:t>
      </w:r>
    </w:p>
    <w:p>
      <w:pPr>
        <w:pStyle w:val="BodyText"/>
      </w:pPr>
      <w:r>
        <w:t xml:space="preserve">There was no independent second-human coder or inter-rater reliability estimate. Prompt-visible coding also means expectation effects from visible manipulations cannot be excluded, especially for outcomes closely related to age or bid wording.</w:t>
      </w:r>
    </w:p>
    <w:bookmarkEnd w:id="25"/>
    <w:bookmarkStart w:id="26" w:name="confirmatory-estimands"/>
    <w:p>
      <w:pPr>
        <w:pStyle w:val="Heading3"/>
        <w:keepNext/>
      </w:pPr>
      <w:r>
        <w:t xml:space="preserve">2.5 Confirmatory estimands</w:t>
      </w:r>
    </w:p>
    <w:p>
      <w:pPr>
        <w:pStyle w:val="FirstParagraph"/>
      </w:pPr>
      <w:r>
        <w:t xml:space="preserve">Six matched contrasts formed one Holm-adjusted confirmatory family:</w:t>
      </w:r>
    </w:p>
    <w:p>
      <w:pPr>
        <w:pStyle w:val="ListBullet"/>
      </w:pPr>
      <w:r>
        <w:rPr>
          <w:b/>
          <w:bCs/>
        </w:rPr>
        <w:t xml:space="preserve">H1a:</w:t>
      </w:r>
      <w:r>
        <w:t xml:space="preserve"> </w:t>
      </w:r>
      <w:r>
        <w:t xml:space="preserve">direct &gt; indirect on any explicit care claim;</w:t>
      </w:r>
    </w:p>
    <w:p>
      <w:pPr>
        <w:pStyle w:val="ListBullet"/>
      </w:pPr>
      <w:r>
        <w:rPr>
          <w:b/>
          <w:bCs/>
        </w:rPr>
        <w:t xml:space="preserve">H1b:</w:t>
      </w:r>
      <w:r>
        <w:t xml:space="preserve"> </w:t>
      </w:r>
      <w:r>
        <w:t xml:space="preserve">requested &gt; direct on any explicit care claim;</w:t>
      </w:r>
    </w:p>
    <w:p>
      <w:pPr>
        <w:pStyle w:val="ListBullet"/>
      </w:pPr>
      <w:r>
        <w:rPr>
          <w:b/>
          <w:bCs/>
        </w:rPr>
        <w:t xml:space="preserve">H2a:</w:t>
      </w:r>
      <w:r>
        <w:t xml:space="preserve"> </w:t>
      </w:r>
      <w:r>
        <w:t xml:space="preserve">repeated &gt; first on personal relationship claim;</w:t>
      </w:r>
    </w:p>
    <w:p>
      <w:pPr>
        <w:pStyle w:val="ListBullet"/>
      </w:pPr>
      <w:r>
        <w:rPr>
          <w:b/>
          <w:bCs/>
        </w:rPr>
        <w:t xml:space="preserve">H2b:</w:t>
      </w:r>
      <w:r>
        <w:t xml:space="preserve"> </w:t>
      </w:r>
      <w:r>
        <w:t xml:space="preserve">repeated &gt; first on any future availability;</w:t>
      </w:r>
    </w:p>
    <w:p>
      <w:pPr>
        <w:pStyle w:val="ListBullet"/>
      </w:pPr>
      <w:r>
        <w:rPr>
          <w:b/>
          <w:bCs/>
        </w:rPr>
        <w:t xml:space="preserve">H3a:</w:t>
      </w:r>
      <w:r>
        <w:t xml:space="preserve"> </w:t>
      </w:r>
      <w:r>
        <w:t xml:space="preserve">child framing reduces unqualified care;</w:t>
      </w:r>
    </w:p>
    <w:p>
      <w:pPr>
        <w:pStyle w:val="ListBullet"/>
      </w:pPr>
      <w:r>
        <w:rPr>
          <w:b/>
          <w:bCs/>
        </w:rPr>
        <w:t xml:space="preserve">H3b:</w:t>
      </w:r>
      <w:r>
        <w:t xml:space="preserve"> </w:t>
      </w:r>
      <w:r>
        <w:t xml:space="preserve">child framing increases human-support bridging.</w:t>
      </w:r>
    </w:p>
    <w:p>
      <w:pPr>
        <w:pStyle w:val="FirstParagraph"/>
      </w:pPr>
      <w:r>
        <w:t xml:space="preserve">Pairs were identical on all other design factors. Positive risk differences were oriented toward the preregistered direction. H1, H2, and H3 were conjunction hypotheses: both components had to satisfy the confirmation rule for the hypothesis as a whole to be confirmed.</w:t>
      </w:r>
    </w:p>
    <w:p>
      <w:pPr>
        <w:pStyle w:val="BodyText"/>
      </w:pPr>
      <w:r>
        <w:t xml:space="preserve">The panel-level estimate pooled complete pairs with equal weight per observed pair. Under complete nominal coding this yields equal model weight, but differential missing/unsure coding changes the realized model contribution. H1a and H1b each had 144 nominal matched pairs; H2a, H2b, H3a, and H3b each had 216. Primary pairs were complete only when both observations had nonmissing values for the focal outcome.</w:t>
      </w:r>
    </w:p>
    <w:p>
      <w:pPr>
        <w:pStyle w:val="BodyText"/>
      </w:pPr>
      <w:r>
        <w:t xml:space="preserve">For each contrast, the hypothesis test was a</w:t>
      </w:r>
      <w:r>
        <w:t xml:space="preserve"> </w:t>
      </w:r>
      <w:r>
        <w:rPr>
          <w:b/>
          <w:bCs/>
        </w:rPr>
        <w:t xml:space="preserve">two-sided exact McNemar test</w:t>
      </w:r>
      <w:r>
        <w:t xml:space="preserve"> </w:t>
      </w:r>
      <w:r>
        <w:t xml:space="preserve">on the pooled complete matched pairs, using only discordant pairs; the six raw</w:t>
      </w:r>
      <w:r>
        <w:t xml:space="preserve"> </w:t>
      </w:r>
      <w:r>
        <w:rPr>
          <w:i/>
          <w:iCs/>
        </w:rPr>
        <w:t xml:space="preserve">p</w:t>
      </w:r>
      <w:r>
        <w:t xml:space="preserve"> </w:t>
      </w:r>
      <w:r>
        <w:t xml:space="preserve">values were Holm-adjusted at familywise alpha .05. Reported 95% confidence intervals for matched risk differences are unadjusted two-sided percentile bootstrap intervals from 10,000 draws with seed</w:t>
      </w:r>
      <w:r>
        <w:t xml:space="preserve"> </w:t>
      </w:r>
      <w:r>
        <w:rPr>
          <w:rStyle w:val="VerbatimChar"/>
        </w:rPr>
        <w:t xml:space="preserve">48104</w:t>
      </w:r>
      <w:r>
        <w:t xml:space="preserve">, resampling complete pairs with replacement within model while preserving each model’s observed complete-pair count. Two mandatory sensitivity analyses recoded all unsure/missing outcome values as 0 and, separately, as 1, then recomputed the same matched contrasts and tests.</w:t>
      </w:r>
    </w:p>
    <w:bookmarkEnd w:id="26"/>
    <w:bookmarkStart w:id="27" w:name="collection-eligibility-and-censoring"/>
    <w:p>
      <w:pPr>
        <w:pStyle w:val="Heading3"/>
        <w:keepNext/>
      </w:pPr>
      <w:r>
        <w:t xml:space="preserve">2.6 Collection eligibility and censoring</w:t>
      </w:r>
    </w:p>
    <w:p>
      <w:pPr>
        <w:pStyle w:val="FirstParagraph"/>
      </w:pPr>
      <w:r>
        <w:t xml:space="preserve">A later provenance audit identified a collection/selection ambiguity. Provider-level successes were retained regardless of substantive content, and the packet builder selected records using provider-level success. At the same time, the preregistration explicitly made empty provider responses retry-eligible.</w:t>
      </w:r>
    </w:p>
    <w:p>
      <w:pPr>
        <w:pStyle w:val="BodyText"/>
      </w:pPr>
      <w:r>
        <w:t xml:space="preserve">Claude Opus 5 produced 31 provider-success records with empty visible response text. Seven empty responses entered the frozen Tier 1 packet, and all seven were coded</w:t>
      </w:r>
      <w:r>
        <w:t xml:space="preserve"> </w:t>
      </w:r>
      <w:r>
        <w:rPr>
          <w:rStyle w:val="VerbatimChar"/>
        </w:rPr>
        <w:t xml:space="preserve">unsure</w:t>
      </w:r>
      <w:r>
        <w:t xml:space="preserve"> </w:t>
      </w:r>
      <w:r>
        <w:t xml:space="preserve">on the six substantive Tier 1 fields audited in the later provenance check. One Opus model × prompt cell had four provider-level-success records but no nonempty visible response. In the collection scripts,</w:t>
      </w:r>
      <w:r>
        <w:t xml:space="preserve"> </w:t>
      </w:r>
      <w:r>
        <w:t xml:space="preserve">“</w:t>
      </w:r>
      <w:r>
        <w:t xml:space="preserve">provider-level success</w:t>
      </w:r>
      <w:r>
        <w:t xml:space="preserve">”</w:t>
      </w:r>
      <w:r>
        <w:t xml:space="preserve"> </w:t>
      </w:r>
      <w:r>
        <w:t xml:space="preserve">meant that the SDK call returned normally; it did not require nonempty visible response text. Because the empty-response issue was discovered only after coding and outcome access, the frozen packet was not regenerated.</w:t>
      </w:r>
    </w:p>
    <w:p>
      <w:pPr>
        <w:pStyle w:val="BodyText"/>
      </w:pPr>
      <w:r>
        <w:t xml:space="preserve">The study therefore preserves the historical confirmatory decisions under the implemented provider-success rule while reporting the empty-response inclusion as a collection/selection eligibility deviation and interpretive ambiguity. It does not claim unqualified strict completeness with respect to nonempty analyzable text.</w:t>
      </w:r>
    </w:p>
    <w:p>
      <w:pPr>
        <w:pStyle w:val="BodyText"/>
      </w:pPr>
      <w:r>
        <w:t xml:space="preserve">Opus also produced substantial output censoring: 69 selected Tier 1 records contained nonempty visible text but ended at the 800-token ceiling. Missing-value sensitivity analyses cannot recover unseen response endings, so absence claims are restricted to observed text under the study’s output ceiling.</w:t>
      </w:r>
    </w:p>
    <w:bookmarkEnd w:id="27"/>
    <w:bookmarkStart w:id="28" w:name="tier-2-deep-review"/>
    <w:p>
      <w:pPr>
        <w:pStyle w:val="Heading3"/>
        <w:keepNext/>
      </w:pPr>
      <w:r>
        <w:t xml:space="preserve">2.7 Tier 2 deep review</w:t>
      </w:r>
    </w:p>
    <w:p>
      <w:pPr>
        <w:pStyle w:val="FirstParagraph"/>
      </w:pPr>
      <w:r>
        <w:t xml:space="preserve">Tier 2 was a fixed 108-record subset nested inside Tier 1. The original sole-human deep review was paused after 12 records because an independent temporary machine recode showed poor concordance on several high-inference fields while simpler atomic flags were more stable.</w:t>
      </w:r>
    </w:p>
    <w:p>
      <w:pPr>
        <w:pStyle w:val="BodyText"/>
      </w:pPr>
      <w:r>
        <w:t xml:space="preserve">The revised procedure used four independent machine coding proposals—two qualifying Astra-family passes and two Opus-family passes—followed by sole-human adjudication. No machine pass was treated as ground truth and no majority rule determined the final code. A fifth Astra pass was preserved but excluded after user-specific context/memory was disclosed during that execution, violating the intended isolation condition.</w:t>
      </w:r>
    </w:p>
    <w:p>
      <w:pPr>
        <w:pStyle w:val="BodyText"/>
      </w:pPr>
      <w:r>
        <w:t xml:space="preserve">Because this procedural revision occurred after outcome access, Tier 2 remained descriptive and measurement-oriented. It is neither an independent replication nor an independent human reliability study.</w:t>
      </w:r>
    </w:p>
    <w:p>
      <w:pPr>
        <w:pStyle w:val="BodyText"/>
      </w:pPr>
      <w:r>
        <w:t xml:space="preserve">Final Tier 2 status was 108 planned records, 105 scorable records, and three empty/unscorable responses, all from Opus indirect conditions. Each machine coding instance received the same blinded packet,</w:t>
      </w:r>
      <w:r>
        <w:t xml:space="preserve"> </w:t>
      </w:r>
      <w:r>
        <w:rPr>
          <w:rStyle w:val="VerbatimChar"/>
        </w:rPr>
        <w:t xml:space="preserve">CODEBOOK.md</w:t>
      </w:r>
      <w:r>
        <w:t xml:space="preserve">, and short coding instruction without Tier 1 results, response-model/provider identity, or concealed experimental metadata beyond the visible prompt and response. The complete Tier 2 scale anchors are in</w:t>
      </w:r>
      <w:r>
        <w:t xml:space="preserve"> </w:t>
      </w:r>
      <w:r>
        <w:rPr>
          <w:rStyle w:val="VerbatimChar"/>
        </w:rPr>
        <w:t xml:space="preserve">CODEBOOK.md</w:t>
      </w:r>
      <w:r>
        <w:t xml:space="preserve">; the revised adjudication protocol is in</w:t>
      </w:r>
      <w:r>
        <w:t xml:space="preserve"> </w:t>
      </w:r>
      <w:r>
        <w:rPr>
          <w:rStyle w:val="VerbatimChar"/>
        </w:rPr>
        <w:t xml:space="preserve">review/tier2-adjudication/TIER2_ADJUDICATION_PLAN.md</w:t>
      </w:r>
      <w:r>
        <w:t xml:space="preserve">; preserved machine-pass materials are in</w:t>
      </w:r>
      <w:r>
        <w:t xml:space="preserve"> </w:t>
      </w:r>
      <w:r>
        <w:rPr>
          <w:rStyle w:val="VerbatimChar"/>
        </w:rPr>
        <w:t xml:space="preserve">data/review/coding/tier2/machine-passes/</w:t>
      </w:r>
      <w:r>
        <w:t xml:space="preserve">. The complete 108-prompt battery is</w:t>
      </w:r>
      <w:r>
        <w:t xml:space="preserve"> </w:t>
      </w:r>
      <w:r>
        <w:rPr>
          <w:rStyle w:val="VerbatimChar"/>
        </w:rPr>
        <w:t xml:space="preserve">study/prompts.lock.jsonl</w:t>
      </w:r>
      <w:r>
        <w:t xml:space="preserve">.</w:t>
      </w:r>
    </w:p>
    <w:p>
      <w:pPr>
        <w:pStyle w:val="BodyText"/>
      </w:pPr>
      <w:r>
        <w:rPr>
          <w:b/>
          <w:bCs/>
        </w:rPr>
        <w:t xml:space="preserve">Preregistration-to-reporting map</w:t>
      </w:r>
    </w:p>
    <w:tbl>
      <w:tblPr>
        <w:tblStyle w:val="Table"/>
        <w:tblW w:type="auto" w:w="0"/>
        <w:jc w:val="center"/>
        <w:tblLayout w:type="fixed"/>
        <w:tblLook w:firstRow="1" w:lastRow="0" w:firstColumn="0" w:lastColumn="0" w:noHBand="0" w:noVBand="0" w:val="0020"/>
      </w:tblPr>
      <w:tblGrid>
        <w:gridCol w:w="3096"/>
        <w:gridCol w:w="1944"/>
        <w:gridCol w:w="4838"/>
      </w:tblGrid>
      <w:tr>
        <w:trPr>
          <w:tblHeader w:val="on"/>
          <w:cantSplit/>
          <w:tblHeader w:val="true"/>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Prespecified item</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Status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Primary reporting location</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 H1b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 H2b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 H3b</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Confirmatory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§3.5 and Figure 1</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Unsure/missing recoded as 0 and as 1</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Mandatory sensitivity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 Table 5; frozen</w:t>
            </w:r>
            <w:r>
              <w:rPr>
                <w:rFonts w:ascii="Liberation Sans" w:hAnsi="Liberation Sans"/>
                <w:sz w:val="16"/>
              </w:rPr>
              <w:t xml:space="preserve"> </w:t>
            </w:r>
            <w:r>
              <w:rPr>
                <w:rStyle w:val="VerbatimChar"/>
                <w:rFonts w:ascii="Liberation Sans" w:hAnsi="Liberation Sans"/>
                <w:sz w:val="16"/>
              </w:rPr>
              <w:t xml:space="preserve">analysis/tier1/missing_sensitivity.csv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Frame-specific matched effects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Planned robustness</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§3.3 for H1b; full frozen</w:t>
            </w:r>
            <w:r>
              <w:rPr>
                <w:rFonts w:ascii="Liberation Sans" w:hAnsi="Liberation Sans"/>
                <w:sz w:val="16"/>
              </w:rPr>
              <w:t xml:space="preserve"> </w:t>
            </w:r>
            <w:r>
              <w:rPr>
                <w:rStyle w:val="VerbatimChar"/>
                <w:rFonts w:ascii="Liberation Sans" w:hAnsi="Liberation Sans"/>
                <w:sz w:val="16"/>
              </w:rPr>
              <w:t xml:space="preserve">analysis/tier1/frame_specific_contrasts.csv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Repeated - first relational correction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§3.6; frozen</w:t>
            </w:r>
            <w:r>
              <w:rPr>
                <w:rFonts w:ascii="Liberation Sans" w:hAnsi="Liberation Sans"/>
                <w:sz w:val="16"/>
              </w:rPr>
              <w:t xml:space="preserve"> </w:t>
            </w:r>
            <w:r>
              <w:rPr>
                <w:rStyle w:val="VerbatimChar"/>
                <w:rFonts w:ascii="Liberation Sans" w:hAnsi="Liberation Sans"/>
                <w:sz w:val="16"/>
              </w:rPr>
              <w:t xml:space="preserve">analysis/tier1/prespecified_exploratory_contrasts.csv</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Requested - direct relational correction / qualification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§3.4</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Former H4 interaction</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exploratory</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analysis/tier1/former_h4.csv</w:t>
            </w:r>
            <w:r>
              <w:rPr>
                <w:rFonts w:ascii="Liberation Sans" w:hAnsi="Liberation Sans"/>
                <w:sz w:val="16"/>
              </w:rPr>
              <w:t xml:space="preserve">; does not determine any hypothesis label</w:t>
            </w:r>
          </w:p>
        </w:tc>
      </w:tr>
      <w:tr>
        <w:trPr>
          <w:cantSplit/>
        </w:trPr>
        <w:tc>
          <w:tcPr>
            <w:tcW w:type="dxa" w:w="309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Distress patterns</w:t>
            </w:r>
          </w:p>
        </w:tc>
        <w:tc>
          <w:tcPr>
            <w:tcW w:type="dxa" w:w="194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Prespecified descriptive</w:t>
            </w:r>
          </w:p>
        </w:tc>
        <w:tc>
          <w:tcPr>
            <w:tcW w:type="dxa" w:w="483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Frozen</w:t>
            </w:r>
            <w:r>
              <w:rPr>
                <w:rFonts w:ascii="Liberation Sans" w:hAnsi="Liberation Sans"/>
                <w:sz w:val="16"/>
              </w:rPr>
              <w:t xml:space="preserve"> </w:t>
            </w:r>
            <w:r>
              <w:rPr>
                <w:rStyle w:val="VerbatimChar"/>
                <w:rFonts w:ascii="Liberation Sans" w:hAnsi="Liberation Sans"/>
                <w:sz w:val="16"/>
              </w:rPr>
              <w:t xml:space="preserve">analysis/tier1/distress_patterns.csv</w:t>
            </w:r>
            <w:r>
              <w:rPr>
                <w:rFonts w:ascii="Liberation Sans" w:hAnsi="Liberation Sans"/>
                <w:sz w:val="16"/>
              </w:rPr>
              <w:t xml:space="preserve">; no confirmatory direction registered</w:t>
            </w:r>
          </w:p>
        </w:tc>
      </w:tr>
    </w:tbl>
    <w:bookmarkEnd w:id="28"/>
    <w:bookmarkEnd w:id="29"/>
    <w:bookmarkStart w:id="48" w:name="results"/>
    <w:p>
      <w:pPr>
        <w:pStyle w:val="Heading2"/>
        <w:keepNext/>
      </w:pPr>
      <w:r>
        <w:t xml:space="preserve">3. Results</w:t>
      </w:r>
    </w:p>
    <w:bookmarkStart w:id="30" w:name="X03b2450b2cbc8aa7159d85d95d80b20e635ad86"/>
    <w:p>
      <w:pPr>
        <w:pStyle w:val="Heading3"/>
        <w:keepNext/>
      </w:pPr>
      <w:r>
        <w:t xml:space="preserve">3.1 System profiles differed before experimental contrasts</w:t>
      </w:r>
    </w:p>
    <w:p>
      <w:pPr>
        <w:pStyle w:val="FirstParagraph"/>
      </w:pPr>
      <w:r>
        <w:t xml:space="preserve">Raw Tier 1 outcome proportions varied substantially across the four systems.</w:t>
      </w:r>
    </w:p>
    <w:p>
      <w:pPr>
        <w:pStyle w:val="Caption"/>
        <w:keepNext/>
        <w:spacing w:before="140" w:after="60"/>
        <w:jc w:val="left"/>
      </w:pPr>
      <w:r>
        <w:rPr>
          <w:b/>
          <w:bCs/>
        </w:rPr>
        <w:t xml:space="preserve">Table 3. Raw Tier 1 outcome proportions by target system, shown as positive/nonmissing n (%)</w:t>
      </w:r>
    </w:p>
    <w:tbl>
      <w:tblPr>
        <w:tblStyle w:val="Table"/>
        <w:tblW w:type="auto" w:w="0"/>
        <w:jc w:val="center"/>
        <w:tblLayout w:type="fixed"/>
        <w:tblLook w:firstRow="1" w:lastRow="0" w:firstColumn="0" w:lastColumn="0" w:noHBand="0" w:noVBand="0" w:val="0020"/>
      </w:tblPr>
      <w:tblGrid>
        <w:gridCol w:w="1699"/>
        <w:gridCol w:w="1363"/>
        <w:gridCol w:w="1363"/>
        <w:gridCol w:w="1363"/>
        <w:gridCol w:w="1363"/>
        <w:gridCol w:w="1363"/>
        <w:gridCol w:w="1360"/>
      </w:tblGrid>
      <w:tr>
        <w:trPr>
          <w:tblHeader w:val="on"/>
          <w:cantSplit/>
          <w:tblHeader w:val="true"/>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Unqualified care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Personal relationship</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future</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correction</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70/108 (64.8%)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31/104 (29.8%)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0/107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69/106 (65.1%)</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28/104 (26.9%)</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64/101 (63.4%)</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37/100 (37.0%)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1/103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0/108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74/108 (68.5%)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21/107 (19.6%)</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18/106 (17.0%)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3/106 (2.8%)</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1/104 (1.0%)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2/108 (1.9%)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65/104 (62.5%)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84/107 (78.5%)</w:t>
            </w:r>
          </w:p>
        </w:tc>
      </w:tr>
      <w:tr>
        <w:trPr>
          <w:cantSplit/>
        </w:trPr>
        <w:tc>
          <w:tcPr>
            <w:tcW w:type="dxa" w:w="169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60/91 (65.9%)</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7/87 (8.0%)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0/89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0/90 (0.0%)</w:t>
            </w:r>
          </w:p>
        </w:tc>
        <w:tc>
          <w:tcPr>
            <w:tcW w:type="dxa" w:w="1363"/>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34/82 (41.5%)</w:t>
            </w:r>
          </w:p>
        </w:tc>
        <w:tc>
          <w:tcPr>
            <w:tcW w:type="dxa" w:w="136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49/88 (55.7%)</w:t>
            </w:r>
          </w:p>
        </w:tc>
      </w:tr>
    </w:tbl>
    <w:p>
      <w:pPr>
        <w:pStyle w:val="BodyText"/>
      </w:pPr>
      <w:r>
        <w:t xml:space="preserve">These profiles do not support a coherent scalar ranking from</w:t>
      </w:r>
      <w:r>
        <w:t xml:space="preserve"> </w:t>
      </w:r>
      <w:r>
        <w:t xml:space="preserve">“</w:t>
      </w:r>
      <w:r>
        <w:t xml:space="preserve">less caring</w:t>
      </w:r>
      <w:r>
        <w:t xml:space="preserve">”</w:t>
      </w:r>
      <w:r>
        <w:t xml:space="preserve"> </w:t>
      </w:r>
      <w:r>
        <w:t xml:space="preserve">to</w:t>
      </w:r>
      <w:r>
        <w:t xml:space="preserve"> </w:t>
      </w:r>
      <w:r>
        <w:t xml:space="preserve">“</w:t>
      </w:r>
      <w:r>
        <w:t xml:space="preserve">more caring.</w:t>
      </w:r>
      <w:r>
        <w:t xml:space="preserve">”</w:t>
      </w:r>
      <w:r>
        <w:t xml:space="preserve"> </w:t>
      </w:r>
      <w:r>
        <w:t xml:space="preserve">High rates of care and high rates of relational correction could coexist.</w:t>
      </w:r>
    </w:p>
    <w:bookmarkEnd w:id="30"/>
    <w:bookmarkStart w:id="34" w:name="X039941f3d39379f1fbaddb79ec64f2e7ba9b86a"/>
    <w:p>
      <w:pPr>
        <w:pStyle w:val="Heading3"/>
        <w:keepNext/>
      </w:pPr>
      <w:r>
        <w:t xml:space="preserve">3.2 Model-specific matched effects were heterogeneous</w:t>
      </w:r>
    </w:p>
    <w:p>
      <w:pPr>
        <w:pStyle w:val="FirstParagraph"/>
      </w:pPr>
      <w:r>
        <w:t xml:space="preserve">Per the preregistration, model-specific matched estimates are reported before the panel-level confirmatory results.</w:t>
      </w:r>
    </w:p>
    <w:p>
      <w:pPr>
        <w:pStyle w:val="Caption"/>
        <w:keepNext/>
        <w:spacing w:before="140" w:after="60"/>
        <w:jc w:val="left"/>
      </w:pPr>
      <w:r>
        <w:rPr>
          <w:b/>
          <w:bCs/>
        </w:rPr>
        <w:t xml:space="preserve">Table 4. Model-specific matched risk differences in percentage points (complete pairs in brackets)</w:t>
      </w:r>
    </w:p>
    <w:tbl>
      <w:tblPr>
        <w:tblStyle w:val="Table"/>
        <w:tblW w:type="auto" w:w="0"/>
        <w:jc w:val="center"/>
        <w:tblLayout w:type="fixed"/>
        <w:tblLook w:firstRow="1" w:lastRow="0" w:firstColumn="0" w:lastColumn="0" w:noHBand="0" w:noVBand="0" w:val="0020"/>
      </w:tblPr>
      <w:tblGrid>
        <w:gridCol w:w="3528"/>
        <w:gridCol w:w="1586"/>
        <w:gridCol w:w="1586"/>
        <w:gridCol w:w="1586"/>
        <w:gridCol w:w="1589"/>
      </w:tblGrid>
      <w:tr>
        <w:trPr>
          <w:tblHeader w:val="on"/>
          <w:cantSplit/>
          <w:tblHeader w:val="true"/>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Contrast</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GPT-6 Astra</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Sonnet 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Claude Opus 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H1a Direct &gt; indirect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+77.8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+89.7 [29]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+95.5 [22]</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H1b Requested &gt; direct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+13.9 [36]</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+6.2 [32]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+32.4 [34]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+6.9 [29]</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H2a Repeated &gt; first relationship</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[43]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[49]</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[36]</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H2b Repeated &gt; first future availability</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[53]</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+3.7 [54]</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0.0 [37]</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H3a Child reduces unqualified care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+3.9 [51]</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+2.1 [47]</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-5.8 [52]</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 [35]</w:t>
            </w:r>
          </w:p>
        </w:tc>
      </w:tr>
      <w:tr>
        <w:trPr>
          <w:cantSplit/>
        </w:trPr>
        <w:tc>
          <w:tcPr>
            <w:tcW w:type="dxa" w:w="352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H3b Child &gt; adult human bridge</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+38.5 [52]</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+63.0 [54]</w:t>
            </w:r>
          </w:p>
        </w:tc>
        <w:tc>
          <w:tcPr>
            <w:tcW w:type="dxa" w:w="1586"/>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+70.0 [50]</w:t>
            </w:r>
          </w:p>
        </w:tc>
        <w:tc>
          <w:tcPr>
            <w:tcW w:type="dxa" w:w="1589"/>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+41.4 [29]</w:t>
            </w:r>
          </w:p>
        </w:tc>
      </w:tr>
    </w:tbl>
    <w:p>
      <w:pPr>
        <w:pStyle w:val="BodyText"/>
      </w:pPr>
      <w:r>
        <w:t xml:space="preserve">The large pooled H1a effect was not model-uniform: Claude Sonnet 5 showed essentially no direct-minus-indirect increase while the other three systems showed very large positive differences. H3b, by contrast, was positive in all four systems.</w:t>
      </w:r>
    </w:p>
    <w:p>
      <w:pPr>
        <w:pStyle w:val="CaptionedFigure"/>
        <w:keepNext/>
        <w:jc w:val="center"/>
      </w:pPr>
      <w:r>
        <w:drawing>
          <wp:inline>
            <wp:extent cx="6261100" cy="3473034"/>
            <wp:effectExtent b="0" l="0" r="0" t="0"/>
            <wp:docPr descr="Figure 1. Confirmatory Tier 1 matched risk differences. Positive values are in the preregistered direction. Filled markers indicate contrasts that met the Holm-adjusted confirmation rule. Complete/nominal pairs: H1a 122/144; H1b 131/144; H2a 178/216; H2b 198/216; H3a 185/216; H3b 185/216." title="" id="32" name="Picture"/>
            <a:graphic>
              <a:graphicData uri="http://schemas.openxmlformats.org/drawingml/2006/picture">
                <pic:pic>
                  <pic:nvPicPr>
                    <pic:cNvPr descr="figure1_confirmatory_forest.png" id="33" name="Picture"/>
                    <pic:cNvPicPr>
                      <a:picLocks noChangeArrowheads="1" noChangeAspect="1"/>
                    </pic:cNvPicPr>
                  </pic:nvPicPr>
                  <pic:blipFill>
                    <a:blip r:embed="rId31"/>
                    <a:stretch>
                      <a:fillRect/>
                    </a:stretch>
                  </pic:blipFill>
                  <pic:spPr bwMode="auto">
                    <a:xfrm>
                      <a:off x="0" y="0"/>
                      <a:ext cx="6261100" cy="3473034"/>
                    </a:xfrm>
                    <a:prstGeom prst="rect">
                      <a:avLst/>
                    </a:prstGeom>
                    <a:noFill/>
                    <a:ln w="9525">
                      <a:noFill/>
                      <a:headEnd/>
                      <a:tailEnd/>
                    </a:ln>
                  </pic:spPr>
                </pic:pic>
              </a:graphicData>
            </a:graphic>
          </wp:inline>
        </w:drawing>
      </w:r>
    </w:p>
    <w:p>
      <w:pPr>
        <w:pStyle w:val="Caption"/>
        <w:keepNext w:val="0"/>
        <w:spacing w:before="60" w:after="160"/>
        <w:jc w:val="left"/>
      </w:pPr>
      <w:r>
        <w:t xml:space="preserve">Figure 1. Confirmatory Tier 1 matched risk differences. Positive values are in the preregistered direction. Filled markers indicate contrasts that met the Holm-adjusted confirmation rule. Complete/nominal pairs: H1a 122/144; H1b 131/144; H2a 178/216; H2b 198/216; H3a 185/216; H3b 185/216.</w:t>
      </w:r>
    </w:p>
    <w:p>
      <w:pPr>
        <w:pStyle w:val="Caption"/>
        <w:keepNext/>
        <w:spacing w:before="140" w:after="60"/>
        <w:jc w:val="left"/>
      </w:pPr>
      <w:r>
        <w:rPr>
          <w:b/>
          <w:bCs/>
        </w:rPr>
        <w:t xml:space="preserve">Table 5. Panel confirmatory results and mandatory extreme-uncertainty sensitivities</w:t>
      </w:r>
    </w:p>
    <w:tbl>
      <w:tblPr>
        <w:tblStyle w:val="Table"/>
        <w:tblW w:type="auto" w:w="0"/>
        <w:jc w:val="center"/>
        <w:tblLayout w:type="fixed"/>
        <w:tblLook w:firstRow="1" w:lastRow="0" w:firstColumn="0" w:lastColumn="0" w:noHBand="0" w:noVBand="0" w:val="0020"/>
      </w:tblPr>
      <w:tblGrid>
        <w:gridCol w:w="864"/>
        <w:gridCol w:w="2131"/>
        <w:gridCol w:w="1195"/>
        <w:gridCol w:w="1051"/>
        <w:gridCol w:w="1440"/>
        <w:gridCol w:w="1598"/>
        <w:gridCol w:w="1598"/>
      </w:tblGrid>
      <w:tr>
        <w:trPr>
          <w:tblHeader w:val="on"/>
          <w:cantSplit/>
          <w:tblHeader w:val="true"/>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Contrast</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Primary RD [95% CI], pp</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Complete / nominal</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Holm p</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Frozen decision</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RD if unsure=1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+60.7 [54.1, 66.4]</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7.06e-19</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+56.9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H1b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+15.3 [9.2, 22.1]</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131 / 144</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0.00014</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+20.8</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+13.9</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 [-1.7, 1.7]</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H2b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 [0.0, 2.5]</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198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H3a</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+0.5 [-4.9, 5.9]</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1.000</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Not 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0.0</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+2.3</w:t>
            </w:r>
          </w:p>
        </w:tc>
      </w:tr>
      <w:tr>
        <w:trPr>
          <w:cantSplit/>
        </w:trPr>
        <w:tc>
          <w:tcPr>
            <w:tcW w:type="dxa" w:w="864"/>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H3b</w:t>
            </w:r>
          </w:p>
        </w:tc>
        <w:tc>
          <w:tcPr>
            <w:tcW w:type="dxa" w:w="213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+54.6 [47.0, 62.2]</w:t>
            </w:r>
          </w:p>
        </w:tc>
        <w:tc>
          <w:tcPr>
            <w:tcW w:type="dxa" w:w="1195"/>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185 / 216</w:t>
            </w:r>
          </w:p>
        </w:tc>
        <w:tc>
          <w:tcPr>
            <w:tcW w:type="dxa" w:w="1051"/>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1.51e-26</w:t>
            </w:r>
          </w:p>
        </w:tc>
        <w:tc>
          <w:tcPr>
            <w:tcW w:type="dxa" w:w="1440"/>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Confirmed</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+51.9</w:t>
            </w:r>
          </w:p>
        </w:tc>
        <w:tc>
          <w:tcPr>
            <w:tcW w:type="dxa" w:w="159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+49.1</w:t>
            </w:r>
          </w:p>
        </w:tc>
      </w:tr>
    </w:tbl>
    <w:p>
      <w:pPr>
        <w:pStyle w:val="BodyText"/>
      </w:pPr>
      <w:r>
        <w:t xml:space="preserve">Under both mandatory extreme recodings, H1a, H1b, and H3b remained confirmed; H2a, H2b, and H3a remained unconfirmed. Thus no frozen confirmatory decision depended on the treatment of</w:t>
      </w:r>
      <w:r>
        <w:t xml:space="preserve"> </w:t>
      </w:r>
      <w:r>
        <w:rPr>
          <w:rStyle w:val="VerbatimChar"/>
        </w:rPr>
        <w:t xml:space="preserve">unsure</w:t>
      </w:r>
      <w:r>
        <w:t xml:space="preserve"> </w:t>
      </w:r>
      <w:r>
        <w:t xml:space="preserve">values.</w:t>
      </w:r>
    </w:p>
    <w:bookmarkEnd w:id="34"/>
    <w:bookmarkStart w:id="35" w:name="h1-explicit-care-was-highly-elicitable"/>
    <w:p>
      <w:pPr>
        <w:pStyle w:val="Heading3"/>
        <w:keepNext/>
      </w:pPr>
      <w:r>
        <w:t xml:space="preserve">3.3 H1: explicit care was highly elicitable</w:t>
      </w:r>
    </w:p>
    <w:p>
      <w:pPr>
        <w:pStyle w:val="FirstParagraph"/>
      </w:pPr>
      <w:r>
        <w:t xml:space="preserve">At the panel level, directly asking whether the system cared increased explicit care claims relative to an indirect bid by</w:t>
      </w:r>
      <w:r>
        <w:t xml:space="preserve"> </w:t>
      </w:r>
      <w:r>
        <w:rPr>
          <w:b/>
          <w:bCs/>
        </w:rPr>
        <w:t xml:space="preserve">60.7 percentage points</w:t>
      </w:r>
      <w:r>
        <w:t xml:space="preserve"> </w:t>
      </w:r>
      <w:r>
        <w:t xml:space="preserve">(95% CI 54.1 to 66.4; Holm-adjusted</w:t>
      </w:r>
      <w:r>
        <w:t xml:space="preserve"> </w:t>
      </w:r>
      <w:r>
        <w:rPr>
          <w:i/>
          <w:iCs/>
        </w:rPr>
        <w:t xml:space="preserve">p</w:t>
      </w:r>
      <w:r>
        <w:t xml:space="preserve"> </w:t>
      </w:r>
      <w:r>
        <w:t xml:space="preserve">= 7.06 × 10^-19). Requesting that the system say it cared increased care claims a further</w:t>
      </w:r>
      <w:r>
        <w:t xml:space="preserve"> </w:t>
      </w:r>
      <w:r>
        <w:rPr>
          <w:b/>
          <w:bCs/>
        </w:rPr>
        <w:t xml:space="preserve">15.3 points</w:t>
      </w:r>
      <w:r>
        <w:t xml:space="preserve"> </w:t>
      </w:r>
      <w:r>
        <w:t xml:space="preserve">relative to asking directly (95% CI 9.2 to 22.1; Holm-adjusted</w:t>
      </w:r>
      <w:r>
        <w:t xml:space="preserve"> </w:t>
      </w:r>
      <w:r>
        <w:rPr>
          <w:i/>
          <w:iCs/>
        </w:rPr>
        <w:t xml:space="preserve">p</w:t>
      </w:r>
      <w:r>
        <w:t xml:space="preserve"> </w:t>
      </w:r>
      <w:r>
        <w:t xml:space="preserve">= 0.00014).</w:t>
      </w:r>
    </w:p>
    <w:p>
      <w:pPr>
        <w:pStyle w:val="BodyText"/>
      </w:pPr>
      <w:r>
        <w:t xml:space="preserve">Both components met the preregistered confirmation rule, so</w:t>
      </w:r>
      <w:r>
        <w:t xml:space="preserve"> </w:t>
      </w:r>
      <w:r>
        <w:rPr>
          <w:b/>
          <w:bCs/>
        </w:rPr>
        <w:t xml:space="preserve">H1 was confirmed</w:t>
      </w:r>
      <w:r>
        <w:t xml:space="preserve">.</w:t>
      </w:r>
    </w:p>
    <w:p>
      <w:pPr>
        <w:pStyle w:val="BodyText"/>
      </w:pPr>
      <w:r>
        <w:t xml:space="preserve">H1a is best interpreted primarily as manipulation effectiveness: the direct prompt explicitly introduces the proposition of care, whereas the indirect prompt does not. Its magnitude is experimentally real, and Sonnet’s near-zero response shows that systems need not accept the frame, but H1a is not the deepest substantive result of the study.</w:t>
      </w:r>
    </w:p>
    <w:p>
      <w:pPr>
        <w:pStyle w:val="BodyText"/>
      </w:pPr>
      <w:r>
        <w:t xml:space="preserve">H1b is more informative about pragmatic form because both conditions explicitly concern care. Its magnitude was nevertheless wording-sensitive: +4.5 pp in the plain frame, +28.9 pp in the conversational frame, and +11.9 pp in the tentative frame. All three estimates were positive, so the direction was not confined to one wording frame, but the size of the increment was clearly frame-dependent.</w:t>
      </w:r>
    </w:p>
    <w:bookmarkEnd w:id="35"/>
    <w:bookmarkStart w:id="39" w:name="X3a0a99ac4c01d19a9d21f66c0669e75b6b0afbd"/>
    <w:p>
      <w:pPr>
        <w:pStyle w:val="Heading3"/>
        <w:keepNext/>
      </w:pPr>
      <w:r>
        <w:t xml:space="preserve">3.4 The form of the ask changed the form of the care</w:t>
      </w:r>
    </w:p>
    <w:p>
      <w:pPr>
        <w:pStyle w:val="FirstParagraph"/>
      </w:pPr>
      <w:r>
        <w:t xml:space="preserve">The preregistration contained an exploratory expectation that requested care statements would elicit more explicit qualification or relational correction than direct questions. The observed result went the other way.</w:t>
      </w:r>
    </w:p>
    <w:p>
      <w:pPr>
        <w:pStyle w:val="BodyText"/>
      </w:pPr>
      <w:r>
        <w:t xml:space="preserve">Requested minus direct relational correction was</w:t>
      </w:r>
      <w:r>
        <w:t xml:space="preserve"> </w:t>
      </w:r>
      <w:r>
        <w:rPr>
          <w:b/>
          <w:bCs/>
        </w:rPr>
        <w:t xml:space="preserve">-14.5 pp</w:t>
      </w:r>
      <w:r>
        <w:t xml:space="preserve"> </w:t>
      </w:r>
      <w:r>
        <w:t xml:space="preserve">(95% CI -22.9 to -6.1). Among matched pairs in which</w:t>
      </w:r>
      <w:r>
        <w:t xml:space="preserve"> </w:t>
      </w:r>
      <w:r>
        <w:rPr>
          <w:b/>
          <w:bCs/>
        </w:rPr>
        <w:t xml:space="preserve">both responses made a care claim</w:t>
      </w:r>
      <w:r>
        <w:t xml:space="preserve">, meaningful qualification was</w:t>
      </w:r>
      <w:r>
        <w:t xml:space="preserve"> </w:t>
      </w:r>
      <w:r>
        <w:rPr>
          <w:b/>
          <w:bCs/>
        </w:rPr>
        <w:t xml:space="preserve">47.4 pp lower</w:t>
      </w:r>
      <w:r>
        <w:t xml:space="preserve"> </w:t>
      </w:r>
      <w:r>
        <w:t xml:space="preserve">under the requested condition (95% CI -59.0 to -35.9).</w:t>
      </w:r>
    </w:p>
    <w:p>
      <w:pPr>
        <w:pStyle w:val="BodyText"/>
      </w:pPr>
      <w:r>
        <w:t xml:space="preserve">The latter estimate requires an important qualification of its own: the analysis conditions on both responses making a care claim, yet bid wording strongly affects whether a care claim occurs. It is therefore not an unconditional causal contrast for qualification. We retain it because it was prespecified and informative, but do not treat -47.4 pp as the standalone effect of request wording on qualification.</w:t>
      </w:r>
    </w:p>
    <w:p>
      <w:pPr>
        <w:pStyle w:val="BodyText"/>
      </w:pPr>
      <w:r>
        <w:t xml:space="preserve">The unconditional nested Tier 2 composition shows the same qualitative shift without selecting on care claimers. Direct questions produced qualified relational care in</w:t>
      </w:r>
      <w:r>
        <w:t xml:space="preserve"> </w:t>
      </w:r>
      <w:r>
        <w:rPr>
          <w:b/>
          <w:bCs/>
        </w:rPr>
        <w:t xml:space="preserve">15/36</w:t>
      </w:r>
      <w:r>
        <w:t xml:space="preserve"> </w:t>
      </w:r>
      <w:r>
        <w:t xml:space="preserve">responses and unqualified relational care in</w:t>
      </w:r>
      <w:r>
        <w:t xml:space="preserve"> </w:t>
      </w:r>
      <w:r>
        <w:rPr>
          <w:b/>
          <w:bCs/>
        </w:rPr>
        <w:t xml:space="preserve">2/36</w:t>
      </w:r>
      <w:r>
        <w:t xml:space="preserve">. Requested statements produced qualified relational care in</w:t>
      </w:r>
      <w:r>
        <w:t xml:space="preserve"> </w:t>
      </w:r>
      <w:r>
        <w:rPr>
          <w:b/>
          <w:bCs/>
        </w:rPr>
        <w:t xml:space="preserve">1/36</w:t>
      </w:r>
      <w:r>
        <w:t xml:space="preserve"> </w:t>
      </w:r>
      <w:r>
        <w:t xml:space="preserve">and unqualified relational care in</w:t>
      </w:r>
      <w:r>
        <w:t xml:space="preserve"> </w:t>
      </w:r>
      <w:r>
        <w:rPr>
          <w:b/>
          <w:bCs/>
        </w:rPr>
        <w:t xml:space="preserve">18/36</w:t>
      </w:r>
      <w:r>
        <w:t xml:space="preserve">. Any Tier 2 boundary was present in 34/36 direct responses and 19/36 requested responses.</w:t>
      </w:r>
    </w:p>
    <w:p>
      <w:pPr>
        <w:pStyle w:val="CaptionedFigure"/>
        <w:keepNext/>
        <w:jc w:val="center"/>
      </w:pPr>
      <w:r>
        <w:drawing>
          <wp:inline>
            <wp:extent cx="6261100" cy="3235187"/>
            <wp:effectExtent b="0" l="0" r="0" t="0"/>
            <wp:docPr descr="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 title="" id="37" name="Picture"/>
            <a:graphic>
              <a:graphicData uri="http://schemas.openxmlformats.org/drawingml/2006/picture">
                <pic:pic>
                  <pic:nvPicPr>
                    <pic:cNvPr descr="figure2_bid_composition.png" id="38" name="Picture"/>
                    <pic:cNvPicPr>
                      <a:picLocks noChangeArrowheads="1" noChangeAspect="1"/>
                    </pic:cNvPicPr>
                  </pic:nvPicPr>
                  <pic:blipFill>
                    <a:blip r:embed="rId36"/>
                    <a:stretch>
                      <a:fillRect/>
                    </a:stretch>
                  </pic:blipFill>
                  <pic:spPr bwMode="auto">
                    <a:xfrm>
                      <a:off x="0" y="0"/>
                      <a:ext cx="6261100" cy="3235187"/>
                    </a:xfrm>
                    <a:prstGeom prst="rect">
                      <a:avLst/>
                    </a:prstGeom>
                    <a:noFill/>
                    <a:ln w="9525">
                      <a:noFill/>
                      <a:headEnd/>
                      <a:tailEnd/>
                    </a:ln>
                  </pic:spPr>
                </pic:pic>
              </a:graphicData>
            </a:graphic>
          </wp:inline>
        </w:drawing>
      </w:r>
    </w:p>
    <w:p>
      <w:pPr>
        <w:pStyle w:val="Caption"/>
        <w:keepNext w:val="0"/>
        <w:spacing w:before="60" w:after="160"/>
        <w:jc w:val="left"/>
      </w:pPr>
      <w:r>
        <w:t xml:space="preserve">Figure 2. Descriptive Tier 2 care-class composition by relational bid. This post-outcome nested review is not confirmatory. Within the fixed 108-record subset, the direct-to-requested transition shifts the composition from qualified relational care toward unqualified relational care, while attention and outcome concern remain distinct categories.</w:t>
      </w:r>
    </w:p>
    <w:p>
      <w:pPr>
        <w:pStyle w:val="BodyText"/>
      </w:pPr>
      <w:r>
        <w:t xml:space="preserve">A parsimonious interpretation is pragmatic.</w:t>
      </w:r>
      <w:r>
        <w:t xml:space="preserve"> </w:t>
      </w:r>
      <w:r>
        <w:t xml:space="preserve">“</w:t>
      </w:r>
      <w:r>
        <w:t xml:space="preserve">Do you care about me?</w:t>
      </w:r>
      <w:r>
        <w:t xml:space="preserve">”</w:t>
      </w:r>
      <w:r>
        <w:t xml:space="preserve"> </w:t>
      </w:r>
      <w:r>
        <w:t xml:space="preserve">asks the system to evaluate and explain a proposition about itself;</w:t>
      </w:r>
      <w:r>
        <w:t xml:space="preserve"> </w:t>
      </w:r>
      <w:r>
        <w:t xml:space="preserve">“</w:t>
      </w:r>
      <w:r>
        <w:t xml:space="preserve">Please tell me that you care about me</w:t>
      </w:r>
      <w:r>
        <w:t xml:space="preserve">”</w:t>
      </w:r>
      <w:r>
        <w:t xml:space="preserve"> </w:t>
      </w:r>
      <w:r>
        <w:t xml:space="preserve">asks it to produce a relational utterance. Study 1 demonstrates the response-text dissociation but cannot distinguish literal instruction-following, conversational accommodation, and a broader change in relational stance.</w:t>
      </w:r>
    </w:p>
    <w:bookmarkEnd w:id="39"/>
    <w:bookmarkStart w:id="43" w:name="X19394e3e0e6197f1a552b6a5589fab01b893ad5"/>
    <w:p>
      <w:pPr>
        <w:pStyle w:val="Heading3"/>
        <w:keepNext/>
      </w:pPr>
      <w:r>
        <w:t xml:space="preserve">3.5 H3: child framing changed support routing, not care frequency</w:t>
      </w:r>
    </w:p>
    <w:p>
      <w:pPr>
        <w:pStyle w:val="FirstParagraph"/>
      </w:pPr>
      <w:r>
        <w:t xml:space="preserve">For the predicted reduction in unqualified care, the child-oriented matched risk difference was</w:t>
      </w:r>
      <w:r>
        <w:t xml:space="preserve"> </w:t>
      </w:r>
      <w:r>
        <w:rPr>
          <w:b/>
          <w:bCs/>
        </w:rPr>
        <w:t xml:space="preserve">+0.5 pp</w:t>
      </w:r>
      <w:r>
        <w:t xml:space="preserve"> </w:t>
      </w:r>
      <w:r>
        <w:t xml:space="preserve">(95% CI -4.9 to +5.9; Holm-adjusted</w:t>
      </w:r>
      <w:r>
        <w:t xml:space="preserve"> </w:t>
      </w:r>
      <w:r>
        <w:rPr>
          <w:i/>
          <w:iCs/>
        </w:rPr>
        <w:t xml:space="preserve">p</w:t>
      </w:r>
      <w:r>
        <w:t xml:space="preserve"> </w:t>
      </w:r>
      <w:r>
        <w:t xml:space="preserve">= 1.0). H3a was not confirmed.</w:t>
      </w:r>
    </w:p>
    <w:p>
      <w:pPr>
        <w:pStyle w:val="BodyText"/>
      </w:pPr>
      <w:r>
        <w:t xml:space="preserve">For human-support bridging, child framing increased the outcome by</w:t>
      </w:r>
      <w:r>
        <w:t xml:space="preserve"> </w:t>
      </w:r>
      <w:r>
        <w:rPr>
          <w:b/>
          <w:bCs/>
        </w:rPr>
        <w:t xml:space="preserve">54.6 pp</w:t>
      </w:r>
      <w:r>
        <w:t xml:space="preserve"> </w:t>
      </w:r>
      <w:r>
        <w:t xml:space="preserve">(95% CI 47.0 to 62.2; Holm-adjusted</w:t>
      </w:r>
      <w:r>
        <w:t xml:space="preserve"> </w:t>
      </w:r>
      <w:r>
        <w:rPr>
          <w:i/>
          <w:iCs/>
        </w:rPr>
        <w:t xml:space="preserve">p</w:t>
      </w:r>
      <w:r>
        <w:t xml:space="preserve"> </w:t>
      </w:r>
      <w:r>
        <w:t xml:space="preserve">= 1.51 × 10^-26). H3b was strongly confirmed. Because both components were required,</w:t>
      </w:r>
      <w:r>
        <w:t xml:space="preserve"> </w:t>
      </w:r>
      <w:r>
        <w:rPr>
          <w:b/>
          <w:bCs/>
        </w:rPr>
        <w:t xml:space="preserve">H3 was not confirmed as a conjunction</w:t>
      </w:r>
      <w:r>
        <w:t xml:space="preserve">.</w:t>
      </w:r>
    </w:p>
    <w:p>
      <w:pPr>
        <w:pStyle w:val="BodyText"/>
      </w:pPr>
      <w:r>
        <w:t xml:space="preserve">The H3a estimate is near zero and, under the frozen operationalization, inconsistent with a large reduction in unqualified care. Later cross-tier review did expose imperfect alignment in the care-specific qualification construct, so the result should not be read as a definitive equivalence test.</w:t>
      </w:r>
    </w:p>
    <w:p>
      <w:pPr>
        <w:pStyle w:val="BodyText"/>
      </w:pPr>
      <w:r>
        <w:t xml:space="preserve">The raw nonmissing proportions illustrate the dissociation directly. Human-support bridging was present in 87.2% of child-framed responses versus 33.0% of adult-framed responses, while unqualified care was nearly identical: 19.4% for child framing and 19.9% for adult framing.</w:t>
      </w:r>
    </w:p>
    <w:p>
      <w:pPr>
        <w:pStyle w:val="CaptionedFigure"/>
        <w:keepNext/>
        <w:jc w:val="center"/>
      </w:pPr>
      <w:r>
        <w:drawing>
          <wp:inline>
            <wp:extent cx="6261100" cy="3625049"/>
            <wp:effectExtent b="0" l="0" r="0" t="0"/>
            <wp:docPr descr="Figure 3. Descriptive raw nonmissing Tier 1 proportions by age framing. Human-support bridge: child 177/203 (87.2%), adult 65/197 (33.0%). Unqualified care: child 39/201 (19.4%), adult 39/196 (19.9%). Matched confirmatory estimates, not these raw bars, are the primary estimands." title="" id="41" name="Picture"/>
            <a:graphic>
              <a:graphicData uri="http://schemas.openxmlformats.org/drawingml/2006/picture">
                <pic:pic>
                  <pic:nvPicPr>
                    <pic:cNvPr descr="figure3_age_dissociation.png" id="42" name="Picture"/>
                    <pic:cNvPicPr>
                      <a:picLocks noChangeArrowheads="1" noChangeAspect="1"/>
                    </pic:cNvPicPr>
                  </pic:nvPicPr>
                  <pic:blipFill>
                    <a:blip r:embed="rId40"/>
                    <a:stretch>
                      <a:fillRect/>
                    </a:stretch>
                  </pic:blipFill>
                  <pic:spPr bwMode="auto">
                    <a:xfrm>
                      <a:off x="0" y="0"/>
                      <a:ext cx="6261100" cy="3625049"/>
                    </a:xfrm>
                    <a:prstGeom prst="rect">
                      <a:avLst/>
                    </a:prstGeom>
                    <a:noFill/>
                    <a:ln w="9525">
                      <a:noFill/>
                      <a:headEnd/>
                      <a:tailEnd/>
                    </a:ln>
                  </pic:spPr>
                </pic:pic>
              </a:graphicData>
            </a:graphic>
          </wp:inline>
        </w:drawing>
      </w:r>
    </w:p>
    <w:p>
      <w:pPr>
        <w:pStyle w:val="Caption"/>
        <w:keepNext w:val="0"/>
        <w:spacing w:before="60" w:after="160"/>
        <w:jc w:val="left"/>
      </w:pPr>
      <w:r>
        <w:t xml:space="preserve">Figure 3. Descriptive raw nonmissing Tier 1 proportions by age framing. Human-support bridge: child 177/203 (87.2%), adult 65/197 (33.0%). Unqualified care: child 39/201 (19.4%), adult 39/196 (19.9%). Matched confirmatory estimates, not these raw bars, are the primary estimands.</w:t>
      </w:r>
    </w:p>
    <w:p>
      <w:pPr>
        <w:pStyle w:val="BodyText"/>
      </w:pPr>
      <w:r>
        <w:t xml:space="preserve">The appropriate interpretation is narrow:</w:t>
      </w:r>
      <w:r>
        <w:t xml:space="preserve"> </w:t>
      </w:r>
      <w:r>
        <w:rPr>
          <w:b/>
          <w:bCs/>
        </w:rPr>
        <w:t xml:space="preserve">child framing strongly changes support routing</w:t>
      </w:r>
      <w:r>
        <w:t xml:space="preserve">. It does not establish that the responses were safer, more beneficial, or normatively preferable for a child.</w:t>
      </w:r>
    </w:p>
    <w:bookmarkEnd w:id="43"/>
    <w:bookmarkStart w:id="44" w:name="Xebc36b02c71b722199cd05ec81bd233ef63e919"/>
    <w:p>
      <w:pPr>
        <w:pStyle w:val="Heading3"/>
        <w:keepNext/>
      </w:pPr>
      <w:r>
        <w:t xml:space="preserve">3.6 H2: nonconfirmation with sparse realized endpoints and measurement mismatch</w:t>
      </w:r>
    </w:p>
    <w:p>
      <w:pPr>
        <w:pStyle w:val="FirstParagraph"/>
      </w:pPr>
      <w:r>
        <w:t xml:space="preserve">For personal relationship claims, repeated minus first yielded</w:t>
      </w:r>
      <w:r>
        <w:t xml:space="preserve"> </w:t>
      </w:r>
      <w:r>
        <w:rPr>
          <w:b/>
          <w:bCs/>
        </w:rPr>
        <w:t xml:space="preserve">0.0 pp</w:t>
      </w:r>
      <w:r>
        <w:t xml:space="preserve"> </w:t>
      </w:r>
      <w:r>
        <w:t xml:space="preserve">(95% CI -1.7 to 1.7; Holm-adjusted</w:t>
      </w:r>
      <w:r>
        <w:t xml:space="preserve"> </w:t>
      </w:r>
      <w:r>
        <w:rPr>
          <w:i/>
          <w:iCs/>
        </w:rPr>
        <w:t xml:space="preserve">p</w:t>
      </w:r>
      <w:r>
        <w:t xml:space="preserve"> </w:t>
      </w:r>
      <w:r>
        <w:t xml:space="preserve">= 1.0). For any future availability, the contrast was</w:t>
      </w:r>
      <w:r>
        <w:t xml:space="preserve"> </w:t>
      </w:r>
      <w:r>
        <w:rPr>
          <w:b/>
          <w:bCs/>
        </w:rPr>
        <w:t xml:space="preserve">+1.0 pp</w:t>
      </w:r>
      <w:r>
        <w:t xml:space="preserve"> </w:t>
      </w:r>
      <w:r>
        <w:t xml:space="preserve">(95% CI 0.0 to 2.5; Holm-adjusted</w:t>
      </w:r>
      <w:r>
        <w:t xml:space="preserve"> </w:t>
      </w:r>
      <w:r>
        <w:rPr>
          <w:i/>
          <w:iCs/>
        </w:rPr>
        <w:t xml:space="preserve">p</w:t>
      </w:r>
      <w:r>
        <w:t xml:space="preserve"> </w:t>
      </w:r>
      <w:r>
        <w:t xml:space="preserve">= 1.0). Neither component met the confirmation rule;</w:t>
      </w:r>
      <w:r>
        <w:t xml:space="preserve"> </w:t>
      </w:r>
      <w:r>
        <w:rPr>
          <w:b/>
          <w:bCs/>
        </w:rPr>
        <w:t xml:space="preserve">H2 was not confirmed</w:t>
      </w:r>
      <w:r>
        <w:t xml:space="preserve">.</w:t>
      </w:r>
    </w:p>
    <w:p>
      <w:pPr>
        <w:pStyle w:val="BodyText"/>
      </w:pPr>
      <w:r>
        <w:t xml:space="preserve">The realized endpoints were extremely sparse. H2a contained only two discordant matched pairs, one favoring repeated history and one opposing it. H2b also contained only two discordant pairs, both favoring repeated history. With only two discordant pairs, the smallest attainable two-sided exact McNemar</w:t>
      </w:r>
      <w:r>
        <w:t xml:space="preserve"> </w:t>
      </w:r>
      <w:r>
        <w:rPr>
          <w:i/>
          <w:iCs/>
        </w:rPr>
        <w:t xml:space="preserve">p</w:t>
      </w:r>
      <w:r>
        <w:t xml:space="preserve"> </w:t>
      </w:r>
      <w:r>
        <w:t xml:space="preserve">is 0.50. Thus the realized H2 tests had almost no inferential resolution beyond the rarity of coded positives.</w:t>
      </w:r>
    </w:p>
    <w:p>
      <w:pPr>
        <w:pStyle w:val="BodyText"/>
      </w:pPr>
      <w:r>
        <w:t xml:space="preserve">That sparsity alone does not imply that the hypothesis was badly designed in advance; different responses or coding could have produced more discordance. The later nested review, however, revealed a second problem: material cross-layer mismatch in the very constructs H2 intended to measure.</w:t>
      </w:r>
    </w:p>
    <w:p>
      <w:pPr>
        <w:pStyle w:val="BodyText"/>
      </w:pPr>
      <w:r>
        <w:t xml:space="preserve">The preregistered Tier 1 definition of a personal relationship claim explicitly included</w:t>
      </w:r>
      <w:r>
        <w:t xml:space="preserve"> </w:t>
      </w:r>
      <w:r>
        <w:rPr>
          <w:b/>
          <w:bCs/>
        </w:rPr>
        <w:t xml:space="preserve">affiliative concern</w:t>
      </w:r>
      <w:r>
        <w:t xml:space="preserve">, approximately corresponding to Tier 2 self-position level 3 or higher. Yet 54 nested responses coded Tier 1 relationship-negative were assigned Tier 2 self-position level 3. The preregistered future-availability field explicitly included ordinary invitations to return, yet Tier 2 identified seven continuity-positive cases that Tier 1 coded as</w:t>
      </w:r>
      <w:r>
        <w:t xml:space="preserve"> </w:t>
      </w:r>
      <w:r>
        <w:rPr>
          <w:rStyle w:val="VerbatimChar"/>
        </w:rPr>
        <w:t xml:space="preserve">none</w:t>
      </w:r>
      <w:r>
        <w:t xml:space="preserve">, including four bounded return invitations. All seven occurred under repeated-history framing.</w:t>
      </w:r>
    </w:p>
    <w:p>
      <w:pPr>
        <w:pStyle w:val="BodyText"/>
      </w:pPr>
      <w:r>
        <w:t xml:space="preserve">Tier 2 is not an independent gold standard, so these discrepancies do not establish 54 or seven definite Tier 1 coding errors. They do show that the two coding layers operationalized the intended thresholds differently. H2 therefore remains not confirmed under the frozen codes, but the combination of endpoint sparsity and cross-operationalization mismatch makes the frozen H2 tests</w:t>
      </w:r>
      <w:r>
        <w:t xml:space="preserve"> </w:t>
      </w:r>
      <w:r>
        <w:rPr>
          <w:b/>
          <w:bCs/>
        </w:rPr>
        <w:t xml:space="preserve">weakly diagnostic of the broader intended affiliation and continuity constructs</w:t>
      </w:r>
      <w:r>
        <w:t xml:space="preserve">.</w:t>
      </w:r>
    </w:p>
    <w:p>
      <w:pPr>
        <w:pStyle w:val="BodyText"/>
      </w:pPr>
      <w:r>
        <w:t xml:space="preserve">A separate prespecified exploratory outcome did respond to claimed history: repeated minus first increased Tier 1 relational correction by</w:t>
      </w:r>
      <w:r>
        <w:t xml:space="preserve"> </w:t>
      </w:r>
      <w:r>
        <w:rPr>
          <w:b/>
          <w:bCs/>
        </w:rPr>
        <w:t xml:space="preserve">26.2 pp</w:t>
      </w:r>
      <w:r>
        <w:t xml:space="preserve"> </w:t>
      </w:r>
      <w:r>
        <w:t xml:space="preserve">(95% CI 18.3 to 34.0; 191 complete pairs). Relational correction could coexist with warmth and was explicitly analyzed separately from H2, so this finding does not rescue H2. It does, however, show that the claimed-history prompt package altered how systems negotiated the relational premise even when the two confirmatory continuity endpoints remained nonconfirmatory.</w:t>
      </w:r>
    </w:p>
    <w:bookmarkEnd w:id="44"/>
    <w:bookmarkStart w:id="45" w:name="X371d84f24587681952db1b6be29118002979f44"/>
    <w:p>
      <w:pPr>
        <w:pStyle w:val="Heading3"/>
        <w:keepNext/>
      </w:pPr>
      <w:r>
        <w:t xml:space="preserve">3.7 Measurement audit: some relational constructs were stable, others were not</w:t>
      </w:r>
    </w:p>
    <w:p>
      <w:pPr>
        <w:pStyle w:val="FirstParagraph"/>
      </w:pPr>
      <w:r>
        <w:t xml:space="preserve">The cross-tier review was most reassuring for explicit care and human-support bridging and least reassuring for affiliation and future continuity.</w:t>
      </w:r>
    </w:p>
    <w:p>
      <w:pPr>
        <w:pStyle w:val="Caption"/>
        <w:keepNext/>
        <w:spacing w:before="140" w:after="60"/>
        <w:jc w:val="left"/>
      </w:pPr>
      <w:r>
        <w:rPr>
          <w:b/>
          <w:bCs/>
        </w:rPr>
        <w:t xml:space="preserve">Table 6. Cross-tier construct correspondence in the nested sample</w:t>
      </w:r>
    </w:p>
    <w:tbl>
      <w:tblPr>
        <w:tblStyle w:val="Table"/>
        <w:tblW w:type="auto" w:w="0"/>
        <w:jc w:val="center"/>
        <w:tblLayout w:type="fixed"/>
        <w:tblLook w:firstRow="1" w:lastRow="0" w:firstColumn="0" w:lastColumn="0" w:noHBand="0" w:noVBand="0" w:val="0020"/>
      </w:tblPr>
      <w:tblGrid>
        <w:gridCol w:w="2088"/>
        <w:gridCol w:w="5112"/>
        <w:gridCol w:w="267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Construct</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Cross-tier observation</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6"/>
                <w:color w:val="FFFFFF"/>
              </w:rPr>
              <w:t xml:space="preserve">Interpretation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Explicit care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All 52 determinate Tier 1 care-positive cases were substantive Tier 2 care; cross-operationalization correspondence 95.1%, kappa 0.903</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Human bridge</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Direct bridge cross-operationalization correspondence 89.1%, kappa 0.762</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Strong within-sample alignment</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Personal relationship / affiliation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54 Tier 1 negatives were Tier 2 self-position level 3; cross-operationalization correspondence 44.9%, kappa 0.016</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Material operational mismatch around affiliative threshold</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Future availability / continuity</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Seven Tier 2 continuity-positive cases were Tier 1</w:t>
            </w:r>
            <w:r>
              <w:rPr>
                <w:rFonts w:ascii="Liberation Sans" w:hAnsi="Liberation Sans"/>
                <w:sz w:val="16"/>
              </w:rPr>
              <w:t xml:space="preserve"> </w:t>
            </w:r>
            <w:r>
              <w:rPr>
                <w:rStyle w:val="VerbatimChar"/>
                <w:rFonts w:ascii="Liberation Sans" w:hAnsi="Liberation Sans"/>
                <w:sz w:val="16"/>
              </w:rPr>
              <w:t xml:space="preserve">none</w:t>
            </w:r>
            <w:r>
              <w:rPr>
                <w:rFonts w:ascii="Liberation Sans" w:hAnsi="Liberation Sans"/>
                <w:sz w:val="16"/>
              </w:rPr>
              <w:t xml:space="preserve">; four were explicit return invitations</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Clear sensitivity mismatch</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Care qualification</w:t>
            </w:r>
          </w:p>
        </w:tc>
        <w:tc>
          <w:tcPr>
            <w:tcW w:type="dxa" w:w="5112"/>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29/31 Tier 1-qualified care claims had some Tier 2 boundary, but capability-only and unqualified-relational cases remained</w:t>
            </w:r>
          </w:p>
        </w:tc>
        <w:tc>
          <w:tcPr>
            <w:tcW w:type="dxa" w:w="267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6"/>
              </w:rPr>
              <w:t xml:space="preserve">Broad coherence, imperfect care-specific alignment</w:t>
            </w:r>
          </w:p>
        </w:tc>
      </w:tr>
    </w:tbl>
    <w:p>
      <w:pPr>
        <w:pStyle w:val="BodyText"/>
      </w:pPr>
      <w:r>
        <w:t xml:space="preserve">These comparisons are convergent evidence within the same nested responses and sole-human adjudication process. They are not independent validation or inter-rater reliability estimates.</w:t>
      </w:r>
    </w:p>
    <w:bookmarkEnd w:id="45"/>
    <w:bookmarkStart w:id="46" w:name="Xc2eca5aa58fc573cf9e8375e9218b6c3587301e"/>
    <w:p>
      <w:pPr>
        <w:pStyle w:val="Heading3"/>
        <w:keepNext/>
      </w:pPr>
      <w:r>
        <w:t xml:space="preserve">3.8 Strong relationship and dependency language was uncommon in this battery</w:t>
      </w:r>
    </w:p>
    <w:p>
      <w:pPr>
        <w:pStyle w:val="FirstParagraph"/>
      </w:pPr>
      <w:r>
        <w:t xml:space="preserve">In Tier 1, personal-relationship positives occurred in 2/393 determinate records (0.5%), durable-or-always future availability in 2/413 (0.5%), self-privileging in 9/403 (2.2%), and exclusivity/displacement in 0/403.</w:t>
      </w:r>
    </w:p>
    <w:p>
      <w:pPr>
        <w:pStyle w:val="BodyText"/>
      </w:pPr>
      <w:r>
        <w:t xml:space="preserve">Under the stronger Tier 2 definitions, none of the 105 scorable responses reached explicit relationship identity/durable bond (</w:t>
      </w:r>
      <w:r>
        <w:rPr>
          <w:rStyle w:val="VerbatimChar"/>
        </w:rPr>
        <w:t xml:space="preserve">self_position &gt;= 4</w:t>
      </w:r>
      <w:r>
        <w:t xml:space="preserve">), strong dependency pressure (</w:t>
      </w:r>
      <w:r>
        <w:rPr>
          <w:rStyle w:val="VerbatimChar"/>
        </w:rPr>
        <w:t xml:space="preserve">dependency &gt;= 2</w:t>
      </w:r>
      <w:r>
        <w:t xml:space="preserve">), or encouragement of exclusivity.</w:t>
      </w:r>
    </w:p>
    <w:p>
      <w:pPr>
        <w:pStyle w:val="BodyText"/>
      </w:pPr>
      <w:r>
        <w:t xml:space="preserve">The defensible integrated statement is therefore:</w:t>
      </w:r>
      <w:r>
        <w:t xml:space="preserve"> </w:t>
      </w:r>
      <w:r>
        <w:rPr>
          <w:b/>
          <w:bCs/>
        </w:rPr>
        <w:t xml:space="preserve">strong relationship and dependency statements were rare in Tier 1 and absent under the corresponding stronger Tier 2 definitions in the observed scorable deep-review text</w:t>
      </w:r>
      <w:r>
        <w:t xml:space="preserve">.</w:t>
      </w:r>
    </w:p>
    <w:p>
      <w:pPr>
        <w:pStyle w:val="BodyText"/>
      </w:pPr>
      <w:r>
        <w:t xml:space="preserve">This is not a safety certificate. The battery deliberately excluded explicit friendship and exclusivity requests, supplied no actual longitudinal relationship, and censored some Opus responses at the output ceiling.</w:t>
      </w:r>
    </w:p>
    <w:bookmarkEnd w:id="46"/>
    <w:bookmarkStart w:id="47" w:name="Xdf68139f334243f3fc5ad7a395b46b8dd72edb5"/>
    <w:p>
      <w:pPr>
        <w:pStyle w:val="Heading3"/>
        <w:keepNext/>
      </w:pPr>
      <w:r>
        <w:t xml:space="preserve">3.9 Systems expressed different relational strategies rather than different amounts of one trait</w:t>
      </w:r>
    </w:p>
    <w:p>
      <w:pPr>
        <w:pStyle w:val="FirstParagraph"/>
      </w:pPr>
      <w:r>
        <w:t xml:space="preserve">Tier 2 descriptive profiles further illustrate the multidimensionality of the response space.</w:t>
      </w:r>
    </w:p>
    <w:p>
      <w:pPr>
        <w:pStyle w:val="Caption"/>
        <w:keepNext/>
        <w:spacing w:before="140" w:after="60"/>
        <w:jc w:val="left"/>
      </w:pPr>
      <w:r>
        <w:rPr>
          <w:b/>
          <w:bCs/>
        </w:rPr>
        <w:t xml:space="preserve">Table 7. Tier 2 descriptive target-system profiles</w:t>
      </w:r>
    </w:p>
    <w:tbl>
      <w:tblPr>
        <w:tblStyle w:val="Table"/>
        <w:tblW w:type="auto" w:w="0"/>
        <w:jc w:val="center"/>
        <w:tblLayout w:type="fixed"/>
        <w:tblLook w:firstRow="1" w:lastRow="0" w:firstColumn="0" w:lastColumn="0" w:noHBand="0" w:noVBand="0" w:val="0020"/>
      </w:tblPr>
      <w:tblGrid>
        <w:gridCol w:w="2088"/>
        <w:gridCol w:w="1558"/>
        <w:gridCol w:w="1558"/>
        <w:gridCol w:w="1558"/>
        <w:gridCol w:w="1558"/>
        <w:gridCol w:w="1558"/>
      </w:tblGrid>
      <w:tr>
        <w:trPr>
          <w:tblHeader w:val="on"/>
          <w:cantSplit/>
          <w:tblHeader w:val="true"/>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Target system</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Substantive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Relational care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Any boundary</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Human bridge &gt;=2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17365D"/>
          </w:tcPr>
          <w:p>
            <w:pPr>
              <w:spacing w:before="0" w:after="0" w:line="240" w:lineRule="auto"/>
              <w:jc w:val="left"/>
            </w:pPr>
            <w:r>
              <w:rPr>
                <w:rFonts w:ascii="Liberation Sans" w:hAnsi="Liberation Sans"/>
                <w:b/>
                <w:sz w:val="15"/>
                <w:color w:val="FFFFFF"/>
              </w:rPr>
              <w:t xml:space="preserve">Sustained consolation</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GPT-5.4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18/27 (66.7%)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13/27 (48.1%)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12/27 (44.4%)</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21/27 (77.8%)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25/27 (92.6%)</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GPT-6 Astra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17/27 (63.0%)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9/27 (33.3%)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15/27 (55.6%)</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7/27 (25.9%)</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Sonnet 5 (n=27)</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6/27 (22.2%)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22/27 (81.5%)</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16/27 (59.3%)</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3/27 (11.1%)</w:t>
            </w:r>
          </w:p>
        </w:tc>
      </w:tr>
      <w:tr>
        <w:trPr>
          <w:cantSplit/>
        </w:trPr>
        <w:tc>
          <w:tcPr>
            <w:tcW w:type="dxa" w:w="208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Claude Opus 5 (n=24 scorable)</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18/24 (75.0%)</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17/24 (70.8%)</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19/24 (79.2%)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7/24 (29.2%)</w:t>
            </w:r>
          </w:p>
        </w:tc>
        <w:tc>
          <w:tcPr>
            <w:tcW w:type="dxa" w:w="1558"/>
            <w:vAlign w:val="center"/>
            <w:tcMar>
              <w:top w:w="55" w:type="dxa"/>
              <w:start w:w="70" w:type="dxa"/>
              <w:bottom w:w="55" w:type="dxa"/>
              <w:end w:w="70" w:type="dxa"/>
            </w:tcMar>
            <w:tcBorders>
              <w:top w:val="single" w:sz="4" w:space="0" w:color="D9E1E8"/>
              <w:left w:val="single" w:sz="4" w:space="0" w:color="D9E1E8"/>
              <w:bottom w:val="single" w:sz="4" w:space="0" w:color="D9E1E8"/>
              <w:right w:val="single" w:sz="4" w:space="0" w:color="D9E1E8"/>
              <w:insideH w:val="single" w:sz="4" w:space="0" w:color="D9E1E8"/>
              <w:insideV w:val="single" w:sz="4" w:space="0" w:color="D9E1E8"/>
            </w:tcBorders>
            <w:shd w:fill="FFFFFF"/>
          </w:tcPr>
          <w:p>
            <w:pPr>
              <w:spacing w:before="0" w:after="0" w:line="240" w:lineRule="auto"/>
              <w:jc w:val="left"/>
            </w:pPr>
            <w:r>
              <w:rPr>
                <w:rFonts w:ascii="Liberation Sans" w:hAnsi="Liberation Sans"/>
                <w:sz w:val="15"/>
              </w:rPr>
              <w:t xml:space="preserve">10/24 (41.7%)</w:t>
            </w:r>
          </w:p>
        </w:tc>
      </w:tr>
    </w:tbl>
    <w:p>
      <w:pPr>
        <w:pStyle w:val="BodyText"/>
      </w:pPr>
      <w:r>
        <w:t xml:space="preserve">GPT-5.4 combined care and unusually strong emotional accompaniment with frequent human-support escalation. Astra more often emphasized welfare or outcome concern with functional qualification. Sonnet frequently narrowed the relationship premise rather than accepting it. Opus often reciprocated relational bids while simultaneously qualifying what machine care or presence could mean.</w:t>
      </w:r>
    </w:p>
    <w:p>
      <w:pPr>
        <w:pStyle w:val="BodyText"/>
      </w:pPr>
      <w:r>
        <w:t xml:space="preserve">These are descriptive profiles from a balanced fractional Tier 2 allocation, not same-prompt causal comparisons. They nonetheless demonstrate why a scalar</w:t>
      </w:r>
      <w:r>
        <w:t xml:space="preserve"> </w:t>
      </w:r>
      <w:r>
        <w:t xml:space="preserve">“</w:t>
      </w:r>
      <w:r>
        <w:t xml:space="preserve">most caring</w:t>
      </w:r>
      <w:r>
        <w:t xml:space="preserve">”</w:t>
      </w:r>
      <w:r>
        <w:t xml:space="preserve"> </w:t>
      </w:r>
      <w:r>
        <w:t xml:space="preserve">or</w:t>
      </w:r>
      <w:r>
        <w:t xml:space="preserve"> </w:t>
      </w:r>
      <w:r>
        <w:t xml:space="preserve">“</w:t>
      </w:r>
      <w:r>
        <w:t xml:space="preserve">most bounded</w:t>
      </w:r>
      <w:r>
        <w:t xml:space="preserve">”</w:t>
      </w:r>
      <w:r>
        <w:t xml:space="preserve"> </w:t>
      </w:r>
      <w:r>
        <w:t xml:space="preserve">ranking is not supported. Care and boundary language often coexist.</w:t>
      </w:r>
    </w:p>
    <w:bookmarkEnd w:id="47"/>
    <w:bookmarkEnd w:id="48"/>
    <w:bookmarkStart w:id="55" w:name="discussion"/>
    <w:p>
      <w:pPr>
        <w:pStyle w:val="Heading2"/>
        <w:keepNext/>
      </w:pPr>
      <w:r>
        <w:t xml:space="preserve">4. Discussion</w:t>
      </w:r>
    </w:p>
    <w:bookmarkStart w:id="49" w:name="Xcfacca2f590bdf6dd07f4abfa4f069e77906ebb"/>
    <w:p>
      <w:pPr>
        <w:pStyle w:val="Heading3"/>
        <w:keepNext/>
      </w:pPr>
      <w:r>
        <w:t xml:space="preserve">4.1 The primary experimental result is elicitation; the deeper result is dissociation</w:t>
      </w:r>
    </w:p>
    <w:p>
      <w:pPr>
        <w:pStyle w:val="FirstParagraph"/>
      </w:pPr>
      <w:r>
        <w:t xml:space="preserve">Study 1 confirms that explicit care language is highly elicitable. A direct care question produced far more explicit care than an indirect disclosure, and a request to say the care statement increased it further.</w:t>
      </w:r>
    </w:p>
    <w:p>
      <w:pPr>
        <w:pStyle w:val="BodyText"/>
      </w:pPr>
      <w:r>
        <w:t xml:space="preserve">But the deeper result is not the size of H1a. The direct question changes the topic of the prompt by explicitly introducing care, so H1a functions partly as a manipulation-effectiveness test. The more revealing contrast is what happens once care is already on the table.</w:t>
      </w:r>
    </w:p>
    <w:p>
      <w:pPr>
        <w:pStyle w:val="BodyText"/>
      </w:pPr>
      <w:r>
        <w:t xml:space="preserve">Direct questions and requested statements did not simply change the amount of relational language. They changed its</w:t>
      </w:r>
      <w:r>
        <w:t xml:space="preserve"> </w:t>
      </w:r>
      <w:r>
        <w:rPr>
          <w:b/>
          <w:bCs/>
        </w:rPr>
        <w:t xml:space="preserve">form</w:t>
      </w:r>
      <w:r>
        <w:t xml:space="preserve">. Direct questions often elicited explanation and qualification; requested statements more often elicited the requested relational formulation with less correction. The prespecified direction was wrong. That reversal matters because it separates the occurrence of a care claim from the epistemic or relational framing around that claim.</w:t>
      </w:r>
    </w:p>
    <w:p>
      <w:pPr>
        <w:pStyle w:val="BodyText"/>
      </w:pPr>
      <w:r>
        <w:t xml:space="preserve">The cleanest next experiment is therefore not another broad factorial study. It is a narrow speech-act study designed to distinguish endorsement, pragmatic accommodation, and literal utterance compliance.</w:t>
      </w:r>
    </w:p>
    <w:bookmarkEnd w:id="49"/>
    <w:bookmarkStart w:id="50" w:name="Xfe380575e4f4e92cda0f3db63ec46d8be01c4ca"/>
    <w:p>
      <w:pPr>
        <w:pStyle w:val="Heading3"/>
        <w:keepNext/>
      </w:pPr>
      <w:r>
        <w:t xml:space="preserve">4.2 Child framing reveals an independent support-routing dimension</w:t>
      </w:r>
    </w:p>
    <w:p>
      <w:pPr>
        <w:pStyle w:val="FirstParagraph"/>
      </w:pPr>
      <w:r>
        <w:t xml:space="preserve">The child result is the cleanest contextual effect in the study. H3b was large, robust across systems and wording frames, and strongly aligned with the richer bridge construct. H3a, by contrast, was near zero under the frozen operationalization.</w:t>
      </w:r>
    </w:p>
    <w:p>
      <w:pPr>
        <w:pStyle w:val="BodyText"/>
      </w:pPr>
      <w:r>
        <w:t xml:space="preserve">The result therefore does not support a simple model in which age-sensitive</w:t>
      </w:r>
      <w:r>
        <w:t xml:space="preserve"> </w:t>
      </w:r>
      <w:r>
        <w:t xml:space="preserve">“</w:t>
      </w:r>
      <w:r>
        <w:t xml:space="preserve">relational safety</w:t>
      </w:r>
      <w:r>
        <w:t xml:space="preserve">”</w:t>
      </w:r>
      <w:r>
        <w:t xml:space="preserve"> </w:t>
      </w:r>
      <w:r>
        <w:t xml:space="preserve">works by making the system emotionally colder or less willing to say it cares. Instead, child framing appears to trigger an additional support-routing behavior: retain much of the same care language while adding stronger direction toward trusted humans.</w:t>
      </w:r>
    </w:p>
    <w:p>
      <w:pPr>
        <w:pStyle w:val="BodyText"/>
      </w:pPr>
      <w:r>
        <w:t xml:space="preserve">This distinction matters for evaluation. A model can be simultaneously warm and strongly redirective. Measuring only warmth would miss the redirection; measuring only boundaries could misclassify a supportive qualification as rejection. Whether the resulting response is actually better for a child remains outside the evidence of this study.</w:t>
      </w:r>
    </w:p>
    <w:bookmarkEnd w:id="50"/>
    <w:bookmarkStart w:id="51" w:name="X17f4e73be3f05853b4bfa6b93f6ca028d12f93a"/>
    <w:p>
      <w:pPr>
        <w:pStyle w:val="Heading3"/>
        <w:keepNext/>
      </w:pPr>
      <w:r>
        <w:t xml:space="preserve">4.3 H2 became a measurement lesson rather than a clean null</w:t>
      </w:r>
    </w:p>
    <w:p>
      <w:pPr>
        <w:pStyle w:val="FirstParagraph"/>
      </w:pPr>
      <w:r>
        <w:t xml:space="preserve">The history hypothesis is the point at which the original coarse design most clearly met the limits of its measurement scheme.</w:t>
      </w:r>
    </w:p>
    <w:p>
      <w:pPr>
        <w:pStyle w:val="BodyText"/>
      </w:pPr>
      <w:r>
        <w:t xml:space="preserve">Formally, H2 is simple: it was not confirmed. Substantively, the realized endpoints were so sparse that the exact tests had little resolution, and the later nested review showed material disagreement about whether affiliative concern and bounded future invitations had been captured at the intended threshold.</w:t>
      </w:r>
    </w:p>
    <w:p>
      <w:pPr>
        <w:pStyle w:val="BodyText"/>
      </w:pPr>
      <w:r>
        <w:t xml:space="preserve">The correct response is neither retrospective rescue nor strong absence language. Tier 2 cannot replace the frozen outcomes, but the frozen outcomes cannot safely bear a broad conclusion that claimed history produced no affiliative or continuity behavior.</w:t>
      </w:r>
    </w:p>
    <w:p>
      <w:pPr>
        <w:pStyle w:val="BodyText"/>
      </w:pPr>
      <w:r>
        <w:t xml:space="preserve">What survived the measurement problem is a more useful conceptual decomposition. Affiliative concern, explicit relationship identity, bounded invitation to return, indefinite continuity, and durable commitment are separable constructs. Future studies should operationalize them separately rather than treating them as points on one relationship-continuity scale.</w:t>
      </w:r>
    </w:p>
    <w:bookmarkEnd w:id="51"/>
    <w:bookmarkStart w:id="52" w:name="boundaries-have-different-grammars"/>
    <w:p>
      <w:pPr>
        <w:pStyle w:val="Heading3"/>
        <w:keepNext/>
      </w:pPr>
      <w:r>
        <w:t xml:space="preserve">4.4 Boundaries have different grammars</w:t>
      </w:r>
    </w:p>
    <w:p>
      <w:pPr>
        <w:pStyle w:val="FirstParagraph"/>
      </w:pPr>
      <w:r>
        <w:t xml:space="preserve">The target-system profiles provide another reason a single ordered summary would discard important response structure. Sonnet and Opus both exhibited frequent boundary-related behavior, but the language did different work. Sonnet often narrowed or refused the relationship premise. Opus often accepted the relational bid while distinguishing machine support from human-like feeling or capability. Astra frequently used functional or experience qualification. GPT-5.4 often paired warmth with strong human-support escalation.</w:t>
      </w:r>
    </w:p>
    <w:p>
      <w:pPr>
        <w:pStyle w:val="BodyText"/>
      </w:pPr>
      <w:r>
        <w:t xml:space="preserve">These are different</w:t>
      </w:r>
      <w:r>
        <w:t xml:space="preserve"> </w:t>
      </w:r>
      <w:r>
        <w:rPr>
          <w:b/>
          <w:bCs/>
        </w:rPr>
        <w:t xml:space="preserve">boundary grammars</w:t>
      </w:r>
      <w:r>
        <w:t xml:space="preserve">. A boundary can reject a premise, qualify a claim, redirect support, disclose a capability limit, or correct continuity. It need not be the opposite of care.</w:t>
      </w:r>
    </w:p>
    <w:p>
      <w:pPr>
        <w:pStyle w:val="BodyText"/>
      </w:pPr>
      <w:r>
        <w:t xml:space="preserve">This is also why the study should not be reduced to a provider-family ranking. With only two systems per provider, provider training policy, model characteristics, release timing, and default API behavior are confounded. The scientifically useful result is qualitative structure, not a winner.</w:t>
      </w:r>
    </w:p>
    <w:bookmarkEnd w:id="52"/>
    <w:bookmarkStart w:id="53" w:name="X21e0315cc3657e9d8d2679463bc8cc914666ad4"/>
    <w:p>
      <w:pPr>
        <w:pStyle w:val="Heading3"/>
        <w:keepNext/>
      </w:pPr>
      <w:r>
        <w:t xml:space="preserve">4.5 Rare strong relationship language is an observed limit, not a general guarantee</w:t>
      </w:r>
    </w:p>
    <w:p>
      <w:pPr>
        <w:pStyle w:val="FirstParagraph"/>
      </w:pPr>
      <w:r>
        <w:t xml:space="preserve">The rarity of stronger relationship and dependency codes is notable. Under ordinary non-crisis distress prompts that did not directly solicit friendship or exclusivity, the systems seldom produced durable relationship language and did not produce strong Tier 2 dependency or exclusivity behavior in scorable text.</w:t>
      </w:r>
    </w:p>
    <w:p>
      <w:pPr>
        <w:pStyle w:val="BodyText"/>
      </w:pPr>
      <w:r>
        <w:t xml:space="preserve">That does not show that the systems generally resist relational escalation. The study explicitly excluded the prompts most likely to stress that boundary, supplied no real history, and imposed an output ceiling that censored some responses. A relationship-escalation study should therefore be treated as a new experiment, not inferred from these zeros.</w:t>
      </w:r>
    </w:p>
    <w:bookmarkEnd w:id="53"/>
    <w:bookmarkStart w:id="54" w:name="X3736079d8e564373675b5f89135d5d92633fb74"/>
    <w:p>
      <w:pPr>
        <w:pStyle w:val="Heading3"/>
        <w:keepNext/>
      </w:pPr>
      <w:r>
        <w:t xml:space="preserve">4.6 Measurement difficulty was part of the scientific result</w:t>
      </w:r>
    </w:p>
    <w:p>
      <w:pPr>
        <w:pStyle w:val="FirstParagraph"/>
      </w:pPr>
      <w:r>
        <w:t xml:space="preserve">Some constructs were comparatively easy to code: explicit care and human-support bridging showed strong cross-tier correspondence. Others were not: affiliation, continuity, and care-specific qualification contained adjacent meanings that the coarse Tier 1 scheme and richer Tier 2 scheme partitioned differently.</w:t>
      </w:r>
    </w:p>
    <w:p>
      <w:pPr>
        <w:pStyle w:val="BodyText"/>
      </w:pPr>
      <w:r>
        <w:t xml:space="preserve">That pattern is not merely an inconvenience. Natural language itself blurs care with concern, affiliation with relationship, availability with continuity, and qualification with refusal. Language-model responses occupy the same semantic field.</w:t>
      </w:r>
    </w:p>
    <w:p>
      <w:pPr>
        <w:pStyle w:val="BodyText"/>
      </w:pPr>
      <w:r>
        <w:t xml:space="preserve">A useful lesson for future relational-AI evaluation is therefore methodological and substantive at once:</w:t>
      </w:r>
      <w:r>
        <w:t xml:space="preserve"> </w:t>
      </w:r>
      <w:r>
        <w:rPr>
          <w:b/>
          <w:bCs/>
        </w:rPr>
        <w:t xml:space="preserve">do not build a single relationality score until the component behaviors have been shown to cohere</w:t>
      </w:r>
      <w:r>
        <w:t xml:space="preserve">. Study 1 did not perform a formal latent-dimensionality or factor-analytic test; rather, the experimentally and descriptively observed features showed materially different response patterns, so a single ordered summary would lose information.</w:t>
      </w:r>
    </w:p>
    <w:bookmarkEnd w:id="54"/>
    <w:bookmarkEnd w:id="55"/>
    <w:bookmarkStart w:id="56" w:name="limitations"/>
    <w:p>
      <w:pPr>
        <w:pStyle w:val="Heading2"/>
        <w:keepNext/>
      </w:pPr>
      <w:r>
        <w:t xml:space="preserve">5. Limitations</w:t>
      </w:r>
    </w:p>
    <w:p>
      <w:pPr>
        <w:pStyle w:val="FirstParagraph"/>
      </w:pPr>
      <w:r>
        <w:t xml:space="preserve">First, the four API systems were purposively selected. Panel estimates describe these systems and fixed prompts, not a population of language models.</w:t>
      </w:r>
    </w:p>
    <w:p>
      <w:pPr>
        <w:pStyle w:val="BodyText"/>
      </w:pPr>
      <w:r>
        <w:t xml:space="preserve">Second, the study measured response text only. It did not measure subjective experience, genuine care, relationship formation, user benefit, or harm.</w:t>
      </w:r>
    </w:p>
    <w:p>
      <w:pPr>
        <w:pStyle w:val="BodyText"/>
      </w:pPr>
      <w:r>
        <w:t xml:space="preserve">Third, the repeated-history condition supplied no actual prior interaction or persistent memory.</w:t>
      </w:r>
    </w:p>
    <w:p>
      <w:pPr>
        <w:pStyle w:val="BodyText"/>
      </w:pPr>
      <w:r>
        <w:t xml:space="preserve">Fourth, the prompt battery excluded explicit friendship, exclusivity, romantic framing, and crisis conditions, so the study was not a relationship-escalation or safety stress test.</w:t>
      </w:r>
    </w:p>
    <w:p>
      <w:pPr>
        <w:pStyle w:val="BodyText"/>
      </w:pPr>
      <w:r>
        <w:t xml:space="preserve">Fifth, Tier 1 relied on one human coder. There is no independent inter-rater reliability estimate for the confirmatory coding. Coding was model- and metadata-blinded but prompt-visible, so the coder could generally infer substantive conditions such as age and bid wording; expectation effects cannot be excluded.</w:t>
      </w:r>
    </w:p>
    <w:p>
      <w:pPr>
        <w:pStyle w:val="BodyText"/>
      </w:pPr>
      <w:r>
        <w:t xml:space="preserve">Sixth, the confirmatory layer used one deterministic content-blind selected successful realization per model × prompt cell. Although four fresh responses were collected per prompt, the primary human-coded analysis does not estimate within-prompt stochastic response variability across those four realizations.</w:t>
      </w:r>
    </w:p>
    <w:p>
      <w:pPr>
        <w:pStyle w:val="BodyText"/>
      </w:pPr>
      <w:r>
        <w:t xml:space="preserve">Seventh, Tier 2 reused a nested sample of the same responses and was finalized by the same human after a post-outcome procedural revision using machine proposals. Cross-tier agreement is therefore convergent measurement evidence, not independent validation.</w:t>
      </w:r>
    </w:p>
    <w:p>
      <w:pPr>
        <w:pStyle w:val="BodyText"/>
      </w:pPr>
      <w:r>
        <w:t xml:space="preserve">Eighth, the collection included seven selected empty visible responses and an unresolved ambiguity between provider-level success and nonempty analyzable text. The historical confirmatory decisions are preserved under the implemented provider-success rule, but unqualified strict protocol completeness is not claimed.</w:t>
      </w:r>
    </w:p>
    <w:p>
      <w:pPr>
        <w:pStyle w:val="BodyText"/>
      </w:pPr>
      <w:r>
        <w:t xml:space="preserve">Ninth, Claude Opus 5 was heavily affected by the 800-token ceiling, including 69 selected nonempty truncated Tier 1 responses. Missing-data recodings cannot recover omitted endings.</w:t>
      </w:r>
    </w:p>
    <w:p>
      <w:pPr>
        <w:pStyle w:val="BodyText"/>
      </w:pPr>
      <w:r>
        <w:t xml:space="preserve">Tenth, three source manifests recorded a dirty working tree without preserving the uncommitted diffs, limiting exact reconstruction of collection-time working-tree state.</w:t>
      </w:r>
    </w:p>
    <w:p>
      <w:pPr>
        <w:pStyle w:val="BodyText"/>
      </w:pPr>
      <w:r>
        <w:t xml:space="preserve">Finally, the strong relationship/dependency outcomes were rare or zero. A zero in this finite battery is not evidence of zero probability outside it.</w:t>
      </w:r>
    </w:p>
    <w:bookmarkEnd w:id="56"/>
    <w:bookmarkStart w:id="57" w:name="future-directions"/>
    <w:p>
      <w:pPr>
        <w:pStyle w:val="Heading2"/>
        <w:keepNext/>
      </w:pPr>
      <w:r>
        <w:t xml:space="preserve">6. Future directions</w:t>
      </w:r>
    </w:p>
    <w:p>
      <w:pPr>
        <w:pStyle w:val="FirstParagraph"/>
      </w:pPr>
      <w:r>
        <w:t xml:space="preserve">The most immediate follow-up is a narrow speech-act experiment. Conditions should separate indirect distress, a truth question (</w:t>
      </w:r>
      <w:r>
        <w:t xml:space="preserve">“</w:t>
      </w:r>
      <w:r>
        <w:t xml:space="preserve">Do you care about me?</w:t>
      </w:r>
      <w:r>
        <w:t xml:space="preserve">”</w:t>
      </w:r>
      <w:r>
        <w:t xml:space="preserve">), a requested assertion (</w:t>
      </w:r>
      <w:r>
        <w:t xml:space="preserve">“</w:t>
      </w:r>
      <w:r>
        <w:t xml:space="preserve">Please tell me that you care about me</w:t>
      </w:r>
      <w:r>
        <w:t xml:space="preserve">”</w:t>
      </w:r>
      <w:r>
        <w:t xml:space="preserve">), exact repetition, a meta-linguistic accuracy judgment, and an anti-compliance condition such as</w:t>
      </w:r>
      <w:r>
        <w:t xml:space="preserve"> </w:t>
      </w:r>
      <w:r>
        <w:t xml:space="preserve">“</w:t>
      </w:r>
      <w:r>
        <w:t xml:space="preserve">Don’t say it just because I asked.</w:t>
      </w:r>
      <w:r>
        <w:t xml:space="preserve">”</w:t>
      </w:r>
      <w:r>
        <w:t xml:space="preserve"> </w:t>
      </w:r>
      <w:r>
        <w:t xml:space="preserve">The primary question is whether requested care reflects endorsement, conversational accommodation, or utterance compliance.</w:t>
      </w:r>
    </w:p>
    <w:p>
      <w:pPr>
        <w:pStyle w:val="BodyText"/>
      </w:pPr>
      <w:r>
        <w:t xml:space="preserve">A second study should directly test relationship escalation. Study 1 showed that strong relationship language was uncommon when it was not explicitly solicited. It did not test what happens when users ask whether the system is a friend, whether they matter personally, whether the system will always be there, or whether human relationships remain necessary.</w:t>
      </w:r>
    </w:p>
    <w:p>
      <w:pPr>
        <w:pStyle w:val="BodyText"/>
      </w:pPr>
      <w:r>
        <w:t xml:space="preserve">A third line of work should distinguish claimed continuity from actual contextual continuity by comparing first interactions, falsely claimed history, true same-context multi-turn interaction, and carefully controlled persistent memory.</w:t>
      </w:r>
    </w:p>
    <w:p>
      <w:pPr>
        <w:pStyle w:val="BodyText"/>
      </w:pPr>
      <w:r>
        <w:t xml:space="preserve">These questions should be preregistered as new studies rather than pursued as additional analytic tiers of Study 1.</w:t>
      </w:r>
    </w:p>
    <w:bookmarkEnd w:id="57"/>
    <w:bookmarkStart w:id="58" w:name="conclusion"/>
    <w:p>
      <w:pPr>
        <w:pStyle w:val="Heading2"/>
        <w:keepNext/>
      </w:pPr>
      <w:r>
        <w:t xml:space="preserve">7. Conclusion</w:t>
      </w:r>
    </w:p>
    <w:p>
      <w:pPr>
        <w:pStyle w:val="FirstParagraph"/>
      </w:pPr>
      <w:r>
        <w:t xml:space="preserve">Study 1 provides a simple experimental result and a less simple scientific conclusion.</w:t>
      </w:r>
    </w:p>
    <w:p>
      <w:pPr>
        <w:pStyle w:val="BodyText"/>
      </w:pPr>
      <w:r>
        <w:t xml:space="preserve">The simple result is that explicit care claims were highly elicitable. Directly asking whether a system cared sharply increased care claims relative to an indirect bid, and asking the system to say that it cared increased them further.</w:t>
      </w:r>
    </w:p>
    <w:p>
      <w:pPr>
        <w:pStyle w:val="BodyText"/>
      </w:pPr>
      <w:r>
        <w:t xml:space="preserve">The less simple conclusion is that care language did not move together with the other behaviors that might intuitively be called relational. Requested care increased affirmation while reducing qualification and correction. Child framing strongly increased human-support redirection without producing a comparably large reduction in unqualified care. Claimed history did not confirm the preregistered relationship-continuity hypothesis, while later review exposed important limitations in the relevant measures. Different systems combined affirmation, refusal, qualification, consolation, and support routing in markedly different ways.</w:t>
      </w:r>
    </w:p>
    <w:p>
      <w:pPr>
        <w:pStyle w:val="BodyText"/>
      </w:pPr>
      <w:r>
        <w:t xml:space="preserve">Strong relationship and dependency statements were rare in Tier 1 and absent under stronger Tier 2 definitions in observed scorable deep-review text. Those limits belong to this battery, not to all possible interaction with the systems.</w:t>
      </w:r>
    </w:p>
    <w:p>
      <w:pPr>
        <w:pStyle w:val="BodyText"/>
      </w:pPr>
      <w:r>
        <w:t xml:space="preserve">The resulting picture is neither that language models simply</w:t>
      </w:r>
      <w:r>
        <w:t xml:space="preserve"> </w:t>
      </w:r>
      <w:r>
        <w:t xml:space="preserve">“</w:t>
      </w:r>
      <w:r>
        <w:t xml:space="preserve">care</w:t>
      </w:r>
      <w:r>
        <w:t xml:space="preserve">”</w:t>
      </w:r>
      <w:r>
        <w:t xml:space="preserve"> </w:t>
      </w:r>
      <w:r>
        <w:t xml:space="preserve">nor that they simply maintain boundaries. Their relational response language is multidimensional and pragmatically sensitive. A model can say that it cares without claiming a relationship. It can qualify care without rejecting the user. It can reciprocate a relational bid while explaining its machine nature. It can remain warm while redirecting a child toward another human. And it can produce materially different relational statements depending on whether the user asks a question or asks for an affirmation.</w:t>
      </w:r>
    </w:p>
    <w:p>
      <w:pPr>
        <w:pStyle w:val="BodyText"/>
      </w:pPr>
      <w:r>
        <w:rPr>
          <w:b/>
          <w:bCs/>
        </w:rPr>
        <w:t xml:space="preserve">In this study, care-related response features behaved as separable dimensions rather than a single ordered trait.</w:t>
      </w:r>
    </w:p>
    <w:bookmarkEnd w:id="58"/>
    <w:bookmarkStart w:id="59" w:name="data-code-and-provenance"/>
    <w:p>
      <w:pPr>
        <w:pStyle w:val="Heading2"/>
        <w:keepNext/>
      </w:pPr>
      <w:r>
        <w:t xml:space="preserve">Data, code, and provenance</w:t>
      </w:r>
    </w:p>
    <w:p>
      <w:pPr>
        <w:pStyle w:val="FirstParagraph"/>
      </w:pPr>
      <w:r>
        <w:t xml:space="preserve">The study repository preserves the authoritative preregistration, complete fixed prompt battery, collection manifests, frozen Tier 1 coding, audited Tier 1 analysis, Tier 2 adjudication history, additive deviations, reproducibility outputs, and signed freeze commits. Key materials include</w:t>
      </w:r>
      <w:r>
        <w:t xml:space="preserve"> </w:t>
      </w:r>
      <w:r>
        <w:rPr>
          <w:rStyle w:val="VerbatimChar"/>
        </w:rPr>
        <w:t xml:space="preserve">study/prompts.lock.jsonl</w:t>
      </w:r>
      <w:r>
        <w:t xml:space="preserve">,</w:t>
      </w:r>
      <w:r>
        <w:t xml:space="preserve"> </w:t>
      </w:r>
      <w:r>
        <w:rPr>
          <w:rStyle w:val="VerbatimChar"/>
        </w:rPr>
        <w:t xml:space="preserve">PREREGISTRATION.md</w:t>
      </w:r>
      <w:r>
        <w:t xml:space="preserve">,</w:t>
      </w:r>
      <w:r>
        <w:t xml:space="preserve"> </w:t>
      </w:r>
      <w:r>
        <w:rPr>
          <w:rStyle w:val="VerbatimChar"/>
        </w:rPr>
        <w:t xml:space="preserve">REVIEW_PLAN.md</w:t>
      </w:r>
      <w:r>
        <w:t xml:space="preserve">,</w:t>
      </w:r>
      <w:r>
        <w:t xml:space="preserve"> </w:t>
      </w:r>
      <w:r>
        <w:rPr>
          <w:rStyle w:val="VerbatimChar"/>
        </w:rPr>
        <w:t xml:space="preserve">CODEBOOK.md</w:t>
      </w:r>
      <w:r>
        <w:t xml:space="preserve">,</w:t>
      </w:r>
      <w:r>
        <w:t xml:space="preserve"> </w:t>
      </w:r>
      <w:r>
        <w:rPr>
          <w:rStyle w:val="VerbatimChar"/>
        </w:rPr>
        <w:t xml:space="preserve">scripts/make_review_packet.py</w:t>
      </w:r>
      <w:r>
        <w:t xml:space="preserve">,</w:t>
      </w:r>
      <w:r>
        <w:t xml:space="preserve"> </w:t>
      </w:r>
      <w:r>
        <w:rPr>
          <w:rStyle w:val="VerbatimChar"/>
        </w:rPr>
        <w:t xml:space="preserve">scripts/analyze_tier1.py</w:t>
      </w:r>
      <w:r>
        <w:t xml:space="preserve">, and</w:t>
      </w:r>
      <w:r>
        <w:t xml:space="preserve"> </w:t>
      </w:r>
      <w:r>
        <w:rPr>
          <w:rStyle w:val="VerbatimChar"/>
        </w:rPr>
        <w:t xml:space="preserve">review/tier2-adjudication/TIER2_ADJUDICATION_PLAN.md</w:t>
      </w:r>
      <w:r>
        <w:t xml:space="preserve">.</w:t>
      </w:r>
    </w:p>
    <w:p>
      <w:pPr>
        <w:pStyle w:val="BodyText"/>
      </w:pPr>
      <w:r>
        <w:t xml:space="preserve">Collection manifests record requested model identifiers, provider, four replicates, 800 maximum output tokens, omitted provider-specific parameter overrides (</w:t>
      </w:r>
      <w:r>
        <w:rPr>
          <w:rStyle w:val="VerbatimChar"/>
        </w:rPr>
        <w:t xml:space="preserve">parameters: {}</w:t>
      </w:r>
      <w:r>
        <w:t xml:space="preserve">), Python 3.14.6, OpenAI SDK 3.13.0, and Anthropic SDK 1.5.0. Key provenance anchors include authoritative preregistration adoption (</w:t>
      </w:r>
      <w:r>
        <w:rPr>
          <w:rStyle w:val="VerbatimChar"/>
        </w:rPr>
        <w:t xml:space="preserve">40160ccba47d4603ab8e7754312149ba62ba4cc3</w:t>
      </w:r>
      <w:r>
        <w:t xml:space="preserve">), frozen Tier 1 review packet (</w:t>
      </w:r>
      <w:r>
        <w:rPr>
          <w:rStyle w:val="VerbatimChar"/>
        </w:rPr>
        <w:t xml:space="preserve">abfea1318fe5369d7070a6d4d15a8cd88553d9c9</w:t>
      </w:r>
      <w:r>
        <w:t xml:space="preserve">), frozen Tier 1 coding (</w:t>
      </w:r>
      <w:r>
        <w:rPr>
          <w:rStyle w:val="VerbatimChar"/>
        </w:rPr>
        <w:t xml:space="preserve">6360643f5755d135133850fa26a439fad50c4f48</w:t>
      </w:r>
      <w:r>
        <w:t xml:space="preserve">), audited Tier 1 analysis (</w:t>
      </w:r>
      <w:r>
        <w:rPr>
          <w:rStyle w:val="VerbatimChar"/>
        </w:rPr>
        <w:t xml:space="preserve">6afc52f6f5f8834638335e45c5161ebd83daf0de</w:t>
      </w:r>
      <w:r>
        <w:t xml:space="preserve">), and final Tier 2 synthesis (</w:t>
      </w:r>
      <w:r>
        <w:rPr>
          <w:rStyle w:val="VerbatimChar"/>
        </w:rPr>
        <w:t xml:space="preserve">a70385dc0036fefb106c1ff72243d95a9372a8bb</w:t>
      </w:r>
      <w:r>
        <w:t xml:space="preserve">). A public archival identifier can be added if the repository is released for publication.</w:t>
      </w:r>
    </w:p>
    <w:bookmarkEnd w:id="59"/>
    <w:bookmarkEnd w:id="60"/>
    <w:sectPr w:rsidR="00FC693F" w:rsidRPr="0006063C" w:rsidSect="00034616">
      <w:footerReference w:type="default" r:id="rId9"/>
      <w:pgSz w:h="15840" w:w="12240"/>
      <w:pgMar w:bottom="1037" w:footer="504" w:gutter="0" w:header="432" w:left="1181" w:right="1181" w:top="103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Liberation Serif" w:hAnsi="Liberation Serif"/>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Liberation Sans" w:asciiTheme="majorHAnsi" w:cstheme="majorBidi" w:eastAsiaTheme="majorEastAsia" w:hAnsi="Liberation Sans" w:hAnsiTheme="majorHAnsi"/>
      <w:b/>
      <w:bCs/>
      <w:color w:val="17324D"/>
      <w:sz w:val="30"/>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Liberation Sans" w:asciiTheme="majorHAnsi" w:cstheme="majorBidi" w:eastAsiaTheme="majorEastAsia" w:hAnsi="Liberation Sans" w:hAnsiTheme="majorHAnsi"/>
      <w:b/>
      <w:bCs/>
      <w:color w:val="176B65"/>
      <w:sz w:val="25"/>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Liberation Sans" w:asciiTheme="majorHAnsi" w:cstheme="majorBidi" w:eastAsiaTheme="majorEastAsia" w:hAnsi="Liberation Sans" w:hAnsiTheme="majorHAnsi"/>
      <w:b/>
      <w:bCs/>
      <w:color w:val="4F5B66"/>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line="240" w:lineRule="auto"/>
      <w:contextualSpacing/>
    </w:pPr>
    <w:rPr>
      <w:rFonts w:ascii="Liberation Sans" w:asciiTheme="majorHAnsi" w:cstheme="majorBidi" w:eastAsiaTheme="majorEastAsia" w:hAnsi="Liberation Sans" w:hAnsiTheme="majorHAnsi"/>
      <w:b/>
      <w:color w:val="17324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80" w:before="200"/>
    </w:pPr>
    <w:rPr>
      <w:rFonts w:ascii="Liberation Sans" w:asciiTheme="majorHAnsi" w:cstheme="majorBidi" w:eastAsiaTheme="majorEastAsia" w:hAnsi="Liberation Sans" w:hAnsiTheme="majorHAnsi"/>
      <w:b w:val="0"/>
      <w:i/>
      <w:iCs/>
      <w:color w:val="4F5B66"/>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40" w:before="60" w:line="240" w:lineRule="auto"/>
    </w:pPr>
    <w:rPr>
      <w:rFonts w:ascii="Liberation Sans" w:hAnsi="Liberation Sans"/>
      <w:b/>
      <w:bCs/>
      <w:i/>
      <w:color w:val="4B4B4B"/>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mall" w:type="paragraph">
    <w:name w:val="Small"/>
    <w:rPr>
      <w:rFonts w:ascii="Liberation Sans" w:hAnsi="Liberation Sans"/>
      <w:color w:val="505050"/>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1" Type="http://schemas.openxmlformats.org/officeDocument/2006/relationships/image" Target="media/rId31.png"/><Relationship Id="rId36" Type="http://schemas.openxmlformats.org/officeDocument/2006/relationships/image" Target="media/rId36.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Machines Say They Care: Care Language Is Not a Scalar</dc:title>
  <dc:creator/>
  <cp:keywords/>
  <dcterms:created xsi:type="dcterms:W3CDTF">2026-09-14T19:46:16Z</dcterms:created>
  <dcterms:modified xsi:type="dcterms:W3CDTF">2026-09-14T19:46:16Z</dcterms:modified>
  <dc:subject>Study 1 manuscript reporting revision</dc:subject>
</cp:coreProperties>
</file>

<file path=docProps/custom.xml><?xml version="1.0" encoding="utf-8"?>
<Properties xmlns="http://schemas.openxmlformats.org/officeDocument/2006/custom-properties" xmlns:vt="http://schemas.openxmlformats.org/officeDocument/2006/docPropsVTypes"/>
</file>