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9A5B13"/>
          <w:spacing w:val="20"/>
          <w:sz w:val="20"/>
          <w:szCs w:val="20"/>
        </w:rPr>
        <w:t xml:space="preserve">COST CALCULATIONS</w:t>
      </w:r>
    </w:p>
    <w:p>
      <w:pPr>
        <w:spacing w:after="100"/>
      </w:pPr>
      <w:r>
        <w:rPr>
          <w:rFonts w:ascii="Calibri" w:cs="Calibri" w:eastAsia="Calibri" w:hAnsi="Calibri"/>
          <w:b/>
          <w:bCs/>
          <w:color w:val="1F2933"/>
          <w:sz w:val="44"/>
          <w:szCs w:val="44"/>
        </w:rPr>
        <w:t xml:space="preserve">Running 8,000 Prompts — Gemini vs. ChatGPT</w:t>
      </w:r>
    </w:p>
    <w:p>
      <w:pPr>
        <w:spacing w:after="300"/>
      </w:pPr>
      <w:r>
        <w:rPr>
          <w:rFonts w:ascii="Calibri" w:cs="Calibri" w:eastAsia="Calibri" w:hAnsi="Calibri"/>
          <w:i/>
          <w:iCs/>
          <w:color w:val="52606D"/>
          <w:sz w:val="21"/>
          <w:szCs w:val="21"/>
        </w:rPr>
        <w:t xml:space="preserve">Cron cadence cost comparison and 2-month storage check, priced against the official documentation cited in ENGINE-APIS.md (verified 22 Aug 2026).</w:t>
      </w:r>
    </w:p>
    <w:p>
      <w:pPr>
        <w:pBdr>
          <w:bottom w:val="single" w:color="1B5E92" w:sz="8" w:space="6"/>
        </w:pBdr>
        <w:spacing w:after="300"/>
      </w:pPr>
      <w:r>
        <w:rPr>
          <w:rFonts w:ascii="Calibri" w:cs="Calibri" w:eastAsia="Calibri" w:hAnsi="Calibri"/>
          <w:color w:val="52606D"/>
          <w:sz w:val="19"/>
          <w:szCs w:val="19"/>
        </w:rPr>
        <w:t xml:space="preserve">Prepared 27 Aug 2026</w:t>
      </w:r>
    </w:p>
    <w:p>
      <w:pPr>
        <w:spacing w:after="120" w:before="0"/>
      </w:pPr>
      <w:r>
        <w:rPr>
          <w:rFonts w:ascii="Calibri" w:cs="Calibri" w:eastAsia="Calibri" w:hAnsi="Calibri"/>
          <w:i/>
          <w:iCs/>
          <w:color w:val="52606D"/>
          <w:sz w:val="20"/>
          <w:szCs w:val="20"/>
        </w:rPr>
        <w:t xml:space="preserve">Every number below is either (a) an official price already cited with a source link in ENGINE-APIS.md, or (b) a clearly labeled ASSUMPTION — token counts, fan-out rate, row sizes — that ENGINE-APIS.md does not measure. Swap the assumptions for real numbers once a handful of live calls have been made; the rest of the math updates the same way.</w:t>
      </w:r>
    </w:p>
    <w:p>
      <w:pPr>
        <w:pStyle w:val="Heading1"/>
        <w:pBdr>
          <w:bottom w:val="single" w:color="1B5E92" w:sz="6" w:space="4"/>
        </w:pBdr>
        <w:spacing w:after="160" w:before="400"/>
      </w:pPr>
      <w:r>
        <w:rPr>
          <w:rFonts w:ascii="Calibri" w:cs="Calibri" w:eastAsia="Calibri" w:hAnsi="Calibri"/>
          <w:b/>
          <w:bCs/>
          <w:color w:val="1B5E92"/>
          <w:sz w:val="30"/>
          <w:szCs w:val="30"/>
        </w:rPr>
        <w:t xml:space="preserve">0.  What's Actually Being Priced</w:t>
      </w:r>
    </w:p>
    <w:p>
      <w:pPr>
        <w:spacing w:after="120" w:before="0"/>
      </w:pPr>
      <w:r>
        <w:rPr>
          <w:rFonts w:ascii="Calibri" w:cs="Calibri" w:eastAsia="Calibri" w:hAnsi="Calibri"/>
          <w:color w:val="1F2933"/>
          <w:sz w:val="21"/>
          <w:szCs w:val="21"/>
        </w:rPr>
        <w:t xml:space="preserve">Two different companies, so two real model names — not generic "3.7" / "5.6" versions, but what this repo is actually configured to call:</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1800"/>
        <w:gridCol w:w="2600"/>
        <w:gridCol w:w="5680"/>
      </w:tblGrid>
      <w:tr>
        <w:trPr>
          <w:tblHeader/>
        </w:trPr>
        <w:tc>
          <w:tcPr>
            <w:tcW w:type="dxa" w:w="18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Engine</w:t>
            </w:r>
          </w:p>
        </w:tc>
        <w:tc>
          <w:tcPr>
            <w:tcW w:type="dxa" w:w="26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Model</w:t>
            </w:r>
          </w:p>
        </w:tc>
        <w:tc>
          <w:tcPr>
            <w:tcW w:type="dxa" w:w="56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Where it's set / status</w:t>
            </w:r>
          </w:p>
        </w:tc>
      </w:tr>
      <w:tr>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Gemini</w:t>
            </w:r>
          </w:p>
        </w:tc>
        <w:tc>
          <w:tcPr>
            <w:tcW w:type="dxa" w:w="2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gemini-3.6-flash</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config.py — also runs the classifier call for EVERY prompt, on both engines</w:t>
            </w:r>
          </w:p>
        </w:tc>
      </w:tr>
      <w:tr>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ChatGPT</w:t>
            </w:r>
          </w:p>
        </w:tc>
        <w:tc>
          <w:tcPr>
            <w:tcW w:type="dxa" w:w="2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gpt-5.6-luna (cheapest of 3 GPT-5.6 tiers)</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Not wired up yet — today's stand-in is OpenRouter's gpt-4o-mini, currently blocked (out of credits). This prices the real direct-OpenAI integration from ENGINE-APIS.md §4/§10.</w:t>
            </w:r>
          </w:p>
        </w:tc>
      </w:tr>
    </w:tbl>
    <w:p>
      <w:pPr>
        <w:spacing w:after="160"/>
      </w:pPr>
    </w:p>
    <w:p>
      <w:pPr>
        <w:pStyle w:val="Heading2"/>
        <w:spacing w:after="120" w:before="280"/>
      </w:pPr>
      <w:r>
        <w:rPr>
          <w:rFonts w:ascii="Calibri" w:cs="Calibri" w:eastAsia="Calibri" w:hAnsi="Calibri"/>
          <w:b/>
          <w:bCs/>
          <w:color w:val="1F2933"/>
          <w:sz w:val="24"/>
          <w:szCs w:val="24"/>
        </w:rPr>
        <w:t xml:space="preserve">Reading "8,000 prompts"</w:t>
      </w:r>
    </w:p>
    <w:p>
      <w:pPr>
        <w:spacing w:after="120" w:before="0"/>
      </w:pPr>
      <w:r>
        <w:rPr>
          <w:rFonts w:ascii="Calibri" w:cs="Calibri" w:eastAsia="Calibri" w:hAnsi="Calibri"/>
          <w:color w:val="1F2933"/>
          <w:sz w:val="21"/>
          <w:szCs w:val="21"/>
        </w:rPr>
        <w:t xml:space="preserve">The fetch pipeline runs every active prompt against every connected engine each cycle (tasks.py — one task per prompt × engine). So one "run" of the 8,000-prompt corpus means:</w:t>
      </w:r>
    </w:p>
    <w:p>
      <w:pPr>
        <w:pStyle w:val="ListParagraph"/>
        <w:numPr>
          <w:ilvl w:val="0"/>
          <w:numId w:val="2"/>
        </w:numPr>
        <w:spacing w:after="80"/>
      </w:pPr>
      <w:r>
        <w:rPr>
          <w:rFonts w:ascii="Calibri" w:cs="Calibri" w:eastAsia="Calibri" w:hAnsi="Calibri"/>
          <w:color w:val="1F2933"/>
          <w:sz w:val="21"/>
          <w:szCs w:val="21"/>
        </w:rPr>
        <w:t xml:space="preserve">8,000 Gemini grounded-answer calls</w:t>
      </w:r>
    </w:p>
    <w:p>
      <w:pPr>
        <w:pStyle w:val="ListParagraph"/>
        <w:numPr>
          <w:ilvl w:val="0"/>
          <w:numId w:val="2"/>
        </w:numPr>
        <w:spacing w:after="80"/>
      </w:pPr>
      <w:r>
        <w:rPr>
          <w:rFonts w:ascii="Calibri" w:cs="Calibri" w:eastAsia="Calibri" w:hAnsi="Calibri"/>
          <w:color w:val="1F2933"/>
          <w:sz w:val="21"/>
          <w:szCs w:val="21"/>
        </w:rPr>
        <w:t xml:space="preserve">8,000 ChatGPT grounded-answer calls</w:t>
      </w:r>
    </w:p>
    <w:p>
      <w:pPr>
        <w:pStyle w:val="ListParagraph"/>
        <w:numPr>
          <w:ilvl w:val="0"/>
          <w:numId w:val="2"/>
        </w:numPr>
        <w:spacing w:after="80"/>
      </w:pPr>
      <w:r>
        <w:rPr>
          <w:rFonts w:ascii="Calibri" w:cs="Calibri" w:eastAsia="Calibri" w:hAnsi="Calibri"/>
          <w:b w:val="false"/>
          <w:bCs w:val="false"/>
          <w:color w:val="1F2933"/>
          <w:sz w:val="21"/>
          <w:szCs w:val="21"/>
        </w:rPr>
        <w:t xml:space="preserve">16,000 Gemini classifier calls — one per answer produced, from either engine, because classifier.py always classifies via Gemini regardless of which engine wrote the answer. Every ChatGPT run still adds to the GEMINI bill, not the OpenAI bill.</w:t>
      </w:r>
    </w:p>
    <w:p>
      <w:pPr>
        <w:spacing w:after="160"/>
      </w:pPr>
    </w:p>
    <w:p>
      <w:pPr>
        <w:pStyle w:val="Heading1"/>
        <w:pBdr>
          <w:bottom w:val="single" w:color="1B5E92" w:sz="6" w:space="4"/>
        </w:pBdr>
        <w:spacing w:after="160" w:before="400"/>
      </w:pPr>
      <w:r>
        <w:rPr>
          <w:rFonts w:ascii="Calibri" w:cs="Calibri" w:eastAsia="Calibri" w:hAnsi="Calibri"/>
          <w:b/>
          <w:bCs/>
          <w:color w:val="1B5E92"/>
          <w:sz w:val="30"/>
          <w:szCs w:val="30"/>
        </w:rPr>
        <w:t xml:space="preserve">1.  Assumptions (Not Yet Measured)</w:t>
      </w:r>
    </w:p>
    <w:p>
      <w:pPr>
        <w:spacing w:after="120" w:before="0"/>
      </w:pPr>
      <w:r>
        <w:rPr>
          <w:rFonts w:ascii="Calibri" w:cs="Calibri" w:eastAsia="Calibri" w:hAnsi="Calibri"/>
          <w:color w:val="1F2933"/>
          <w:sz w:val="21"/>
          <w:szCs w:val="21"/>
        </w:rPr>
        <w:t xml:space="preserve">ENGINE-APIS.md is explicit that real payloads have only been captured for Gemini — OpenAI's shape is documentation-only. Per-call token counts here are reasonable estimates for a short brand-visibility Q&amp;A. Two fan-out scenarios carry through every table below, since that is the single biggest cost lever per ENGINE-APIS.md §8's own warning.</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3400"/>
        <w:gridCol w:w="1800"/>
        <w:gridCol w:w="4880"/>
      </w:tblGrid>
      <w:tr>
        <w:trPr>
          <w:tblHeader/>
        </w:trPr>
        <w:tc>
          <w:tcPr>
            <w:tcW w:type="dxa" w:w="34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Assumption</w:t>
            </w:r>
          </w:p>
        </w:tc>
        <w:tc>
          <w:tcPr>
            <w:tcW w:type="dxa" w:w="18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Value</w:t>
            </w:r>
          </w:p>
        </w:tc>
        <w:tc>
          <w:tcPr>
            <w:tcW w:type="dxa" w:w="48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Why</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Grounded-answer input tokens</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300</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short prompt + system instructions</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Grounded-answer output tokens</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350</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~250-word answer</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Classifier input tokens</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500</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answer text + schema + brand/topic lists</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Classifier output tokens</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120</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compact structured JSON, no grounding</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OpenAI page-content read, per search</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700 input tok</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"page content it reads billed as normal input tokens" — ENGINE-APIS.md §4</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LOW fan-out</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 search / prompt</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floor case, no re-querying</w:t>
            </w:r>
          </w:p>
        </w:tc>
      </w:tr>
      <w:tr>
        <w:tc>
          <w:tcPr>
            <w:tcW w:type="dxa" w:w="3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HIGH fan-out</w:t>
            </w:r>
          </w:p>
        </w:tc>
        <w:tc>
          <w:tcPr>
            <w:tcW w:type="dxa" w:w="1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6 searches / prompt</w:t>
            </w:r>
          </w:p>
        </w:tc>
        <w:tc>
          <w:tcPr>
            <w:tcW w:type="dxa" w:w="48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ENGINE-APIS.md §8's own real MEASURED average</w:t>
            </w:r>
          </w:p>
        </w:tc>
      </w:tr>
    </w:tbl>
    <w:p>
      <w:pPr>
        <w:spacing w:after="160"/>
      </w:pPr>
    </w:p>
    <w:p>
      <w:pPr>
        <w:pStyle w:val="Heading1"/>
        <w:pBdr>
          <w:bottom w:val="single" w:color="1B5E92" w:sz="6" w:space="4"/>
        </w:pBdr>
        <w:spacing w:after="160" w:before="400"/>
      </w:pPr>
      <w:r>
        <w:rPr>
          <w:rFonts w:ascii="Calibri" w:cs="Calibri" w:eastAsia="Calibri" w:hAnsi="Calibri"/>
          <w:b/>
          <w:bCs/>
          <w:color w:val="1B5E92"/>
          <w:sz w:val="30"/>
          <w:szCs w:val="30"/>
        </w:rPr>
        <w:t xml:space="preserve">2.  Per-Call Cost (the Building Block)</w:t>
      </w:r>
    </w:p>
    <w:p>
      <w:pPr>
        <w:spacing w:after="120" w:before="0"/>
      </w:pPr>
      <w:r>
        <w:rPr>
          <w:rFonts w:ascii="Calibri" w:cs="Calibri" w:eastAsia="Calibri" w:hAnsi="Calibri"/>
          <w:color w:val="1F2933"/>
          <w:sz w:val="21"/>
          <w:szCs w:val="21"/>
        </w:rPr>
        <w:t xml:space="preserve">Prices from ENGINE-APIS.md §3/§4, at today's intro rate (Gemini 3.6 Flash's discounted rate runs through 31 Dec 2026).</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2400"/>
        <w:gridCol w:w="1680"/>
        <w:gridCol w:w="1680"/>
        <w:gridCol w:w="1760"/>
        <w:gridCol w:w="2560"/>
      </w:tblGrid>
      <w:tr>
        <w:trPr>
          <w:tblHeader/>
        </w:trPr>
        <w:tc>
          <w:tcPr>
            <w:tcW w:type="dxa" w:w="24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Call</w:t>
            </w:r>
          </w:p>
        </w:tc>
        <w:tc>
          <w:tcPr>
            <w:tcW w:type="dxa" w:w="16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Input</w:t>
            </w:r>
          </w:p>
        </w:tc>
        <w:tc>
          <w:tcPr>
            <w:tcW w:type="dxa" w:w="16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Output</w:t>
            </w:r>
          </w:p>
        </w:tc>
        <w:tc>
          <w:tcPr>
            <w:tcW w:type="dxa" w:w="176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Token cost</w:t>
            </w:r>
          </w:p>
        </w:tc>
        <w:tc>
          <w:tcPr>
            <w:tcW w:type="dxa" w:w="256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Search / tool cost</w:t>
            </w:r>
          </w:p>
        </w:tc>
      </w:tr>
      <w:tr>
        <w:tc>
          <w:tcPr>
            <w:tcW w:type="dxa" w:w="2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Gemini grounded fetch</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300 tok × $0.75/1M</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350 tok × $3.75/1M</w:t>
            </w:r>
          </w:p>
        </w:tc>
        <w:tc>
          <w:tcPr>
            <w:tcW w:type="dxa" w:w="1760"/>
            <w:tcMar>
              <w:top w:type="dxa" w:w="50"/>
              <w:left w:type="dxa" w:w="100"/>
              <w:bottom w:type="dxa" w:w="50"/>
              <w:right w:type="dxa" w:w="100"/>
            </w:tcMar>
          </w:tcPr>
          <w:p>
            <w:pPr>
              <w:jc w:val="right"/>
            </w:pPr>
            <w:r>
              <w:rPr>
                <w:rFonts w:ascii="Calibri" w:cs="Calibri" w:eastAsia="Calibri" w:hAnsi="Calibri"/>
                <w:b w:val="false"/>
                <w:bCs w:val="false"/>
                <w:color w:val="1F2933"/>
                <w:sz w:val="19"/>
                <w:szCs w:val="19"/>
              </w:rPr>
              <w:t xml:space="preserve">$0.001538</w:t>
            </w:r>
          </w:p>
        </w:tc>
        <w:tc>
          <w:tcPr>
            <w:tcW w:type="dxa" w:w="256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$0.014 × searches/prompt</w:t>
            </w:r>
          </w:p>
        </w:tc>
      </w:tr>
      <w:tr>
        <w:tc>
          <w:tcPr>
            <w:tcW w:type="dxa" w:w="2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Gemini classifier</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500 tok × $0.75/1M</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120 tok × $3.75/1M</w:t>
            </w:r>
          </w:p>
        </w:tc>
        <w:tc>
          <w:tcPr>
            <w:tcW w:type="dxa" w:w="1760"/>
            <w:tcMar>
              <w:top w:type="dxa" w:w="50"/>
              <w:left w:type="dxa" w:w="100"/>
              <w:bottom w:type="dxa" w:w="50"/>
              <w:right w:type="dxa" w:w="100"/>
            </w:tcMar>
          </w:tcPr>
          <w:p>
            <w:pPr>
              <w:jc w:val="right"/>
            </w:pPr>
            <w:r>
              <w:rPr>
                <w:rFonts w:ascii="Calibri" w:cs="Calibri" w:eastAsia="Calibri" w:hAnsi="Calibri"/>
                <w:b w:val="false"/>
                <w:bCs w:val="false"/>
                <w:color w:val="1F2933"/>
                <w:sz w:val="19"/>
                <w:szCs w:val="19"/>
              </w:rPr>
              <w:t xml:space="preserve">$0.000825</w:t>
            </w:r>
          </w:p>
        </w:tc>
        <w:tc>
          <w:tcPr>
            <w:tcW w:type="dxa" w:w="256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 (ungrounded)</w:t>
            </w:r>
          </w:p>
        </w:tc>
      </w:tr>
      <w:tr>
        <w:tc>
          <w:tcPr>
            <w:tcW w:type="dxa" w:w="24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ChatGPT (gpt-5.6-luna) fetch</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300 tok × $0.20/1M</w:t>
            </w:r>
          </w:p>
        </w:tc>
        <w:tc>
          <w:tcPr>
            <w:tcW w:type="dxa" w:w="1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350 tok × $1.20/1M</w:t>
            </w:r>
          </w:p>
        </w:tc>
        <w:tc>
          <w:tcPr>
            <w:tcW w:type="dxa" w:w="1760"/>
            <w:tcMar>
              <w:top w:type="dxa" w:w="50"/>
              <w:left w:type="dxa" w:w="100"/>
              <w:bottom w:type="dxa" w:w="50"/>
              <w:right w:type="dxa" w:w="100"/>
            </w:tcMar>
          </w:tcPr>
          <w:p>
            <w:pPr>
              <w:jc w:val="right"/>
            </w:pPr>
            <w:r>
              <w:rPr>
                <w:rFonts w:ascii="Calibri" w:cs="Calibri" w:eastAsia="Calibri" w:hAnsi="Calibri"/>
                <w:b w:val="false"/>
                <w:bCs w:val="false"/>
                <w:color w:val="1F2933"/>
                <w:sz w:val="19"/>
                <w:szCs w:val="19"/>
              </w:rPr>
              <w:t xml:space="preserve">$0.00048</w:t>
            </w:r>
          </w:p>
        </w:tc>
        <w:tc>
          <w:tcPr>
            <w:tcW w:type="dxa" w:w="256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$0.01 × searches + (700 tok × searches × $0.20/1M)</w:t>
            </w:r>
          </w:p>
        </w:tc>
      </w:tr>
    </w:tbl>
    <w:p>
      <w:pPr>
        <w:spacing w:after="160"/>
      </w:pPr>
    </w:p>
    <w:p>
      <w:pPr>
        <w:pStyle w:val="Heading2"/>
        <w:spacing w:after="120" w:before="280"/>
      </w:pPr>
      <w:r>
        <w:rPr>
          <w:rFonts w:ascii="Calibri" w:cs="Calibri" w:eastAsia="Calibri" w:hAnsi="Calibri"/>
          <w:b/>
          <w:bCs/>
          <w:color w:val="1F2933"/>
          <w:sz w:val="24"/>
          <w:szCs w:val="24"/>
        </w:rPr>
        <w:t xml:space="preserve">Per-prompt totals</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3600"/>
        <w:gridCol w:w="3240"/>
        <w:gridCol w:w="3240"/>
      </w:tblGrid>
      <w:tr>
        <w:trPr>
          <w:tblHeader/>
        </w:trPr>
        <w:tc>
          <w:tcPr>
            <w:tcW w:type="dxa" w:w="360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
            </w:r>
          </w:p>
        </w:tc>
        <w:tc>
          <w:tcPr>
            <w:tcW w:type="dxa" w:w="324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LOW fan-out (1 search)</w:t>
            </w:r>
          </w:p>
        </w:tc>
        <w:tc>
          <w:tcPr>
            <w:tcW w:type="dxa" w:w="3240"/>
            <w:shd w:fill="F1E6D6" w:color="auto" w:val="clear"/>
            <w:tcMar>
              <w:top w:type="dxa" w:w="60"/>
              <w:left w:type="dxa" w:w="100"/>
              <w:bottom w:type="dxa" w:w="60"/>
              <w:right w:type="dxa" w:w="100"/>
            </w:tcMar>
          </w:tcPr>
          <w:p>
            <w:r>
              <w:rPr>
                <w:rFonts w:ascii="Calibri" w:cs="Calibri" w:eastAsia="Calibri" w:hAnsi="Calibri"/>
                <w:b/>
                <w:bCs/>
                <w:color w:val="9A5B13"/>
                <w:sz w:val="19"/>
                <w:szCs w:val="19"/>
              </w:rPr>
              <w:t xml:space="preserve">HIGH fan-out (6 searches)</w:t>
            </w:r>
          </w:p>
        </w:tc>
      </w:tr>
      <w:tr>
        <w:tc>
          <w:tcPr>
            <w:tcW w:type="dxa" w:w="3600"/>
            <w:tcMar>
              <w:top w:type="dxa" w:w="50"/>
              <w:left w:type="dxa" w:w="100"/>
              <w:bottom w:type="dxa" w:w="50"/>
              <w:right w:type="dxa" w:w="100"/>
            </w:tcMar>
          </w:tcPr>
          <w:p>
            <w:pPr>
              <w:jc w:val="left"/>
            </w:pPr>
            <w:r>
              <w:rPr>
                <w:rFonts w:ascii="Calibri" w:cs="Calibri" w:eastAsia="Calibri" w:hAnsi="Calibri"/>
                <w:color w:val="1F2933"/>
                <w:sz w:val="19"/>
                <w:szCs w:val="19"/>
              </w:rPr>
              <w:t xml:space="preserve">Gemini engine call</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$0.001538 + $0.014 = $0.01554</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$0.001538 + $0.084 = $0.08554</w:t>
            </w:r>
          </w:p>
        </w:tc>
      </w:tr>
      <w:tr>
        <w:tc>
          <w:tcPr>
            <w:tcW w:type="dxa" w:w="3600"/>
            <w:tcMar>
              <w:top w:type="dxa" w:w="50"/>
              <w:left w:type="dxa" w:w="100"/>
              <w:bottom w:type="dxa" w:w="50"/>
              <w:right w:type="dxa" w:w="100"/>
            </w:tcMar>
          </w:tcPr>
          <w:p>
            <w:pPr>
              <w:jc w:val="left"/>
            </w:pPr>
            <w:r>
              <w:rPr>
                <w:rFonts w:ascii="Calibri" w:cs="Calibri" w:eastAsia="Calibri" w:hAnsi="Calibri"/>
                <w:color w:val="1F2933"/>
                <w:sz w:val="19"/>
                <w:szCs w:val="19"/>
              </w:rPr>
              <w:t xml:space="preserve">Gemini classifier call</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$0.000825 (flat)</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$0.000825 (flat)</w:t>
            </w:r>
          </w:p>
        </w:tc>
      </w:tr>
      <w:tr>
        <w:tc>
          <w:tcPr>
            <w:tcW w:type="dxa" w:w="3600"/>
            <w:tcMar>
              <w:top w:type="dxa" w:w="50"/>
              <w:left w:type="dxa" w:w="100"/>
              <w:bottom w:type="dxa" w:w="50"/>
              <w:right w:type="dxa" w:w="100"/>
            </w:tcMar>
          </w:tcPr>
          <w:p>
            <w:pPr>
              <w:jc w:val="left"/>
            </w:pPr>
            <w:r>
              <w:rPr>
                <w:rFonts w:ascii="Calibri" w:cs="Calibri" w:eastAsia="Calibri" w:hAnsi="Calibri"/>
                <w:color w:val="1F2933"/>
                <w:sz w:val="19"/>
                <w:szCs w:val="19"/>
              </w:rPr>
              <w:t xml:space="preserve">ChatGPT engine call</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$0.00048 + $0.01 + $0.00014 = $0.01062</w:t>
            </w:r>
          </w:p>
        </w:tc>
        <w:tc>
          <w:tcPr>
            <w:tcW w:type="dxa" w:w="3240"/>
            <w:tcMar>
              <w:top w:type="dxa" w:w="50"/>
              <w:left w:type="dxa" w:w="100"/>
              <w:bottom w:type="dxa" w:w="50"/>
              <w:right w:type="dxa" w:w="100"/>
            </w:tcMar>
          </w:tcPr>
          <w:p>
            <w:pPr>
              <w:jc w:val="left"/>
            </w:pPr>
            <w:r>
              <w:rPr>
                <w:rFonts w:ascii="Calibri" w:cs="Calibri" w:eastAsia="Calibri" w:hAnsi="Calibri"/>
                <w:color w:val="1F2933"/>
                <w:sz w:val="19"/>
                <w:szCs w:val="19"/>
              </w:rPr>
              <w:t xml:space="preserve">$0.00048 + $0.06 + $0.00084 = $0.06130</w:t>
            </w:r>
          </w:p>
        </w:tc>
      </w:tr>
    </w:tbl>
    <w:p>
      <w:pPr>
        <w:spacing w:after="160"/>
      </w:pPr>
    </w:p>
    <w:p>
      <w:pPr>
        <w:pStyle w:val="Heading1"/>
        <w:pBdr>
          <w:bottom w:val="single" w:color="1B5E92" w:sz="6" w:space="4"/>
        </w:pBdr>
        <w:spacing w:after="160" w:before="400"/>
      </w:pPr>
      <w:r>
        <w:rPr>
          <w:rFonts w:ascii="Calibri" w:cs="Calibri" w:eastAsia="Calibri" w:hAnsi="Calibri"/>
          <w:b/>
          <w:bCs/>
          <w:color w:val="1B5E92"/>
          <w:sz w:val="30"/>
          <w:szCs w:val="30"/>
        </w:rPr>
        <w:t xml:space="preserve">3.  One Full Run of the 8,000-Prompt Corpus</w:t>
      </w:r>
    </w:p>
    <w:p>
      <w:pPr>
        <w:spacing w:after="120" w:before="0"/>
      </w:pPr>
      <w:r>
        <w:rPr>
          <w:rFonts w:ascii="Calibri" w:cs="Calibri" w:eastAsia="Calibri" w:hAnsi="Calibri"/>
          <w:color w:val="1F2933"/>
          <w:sz w:val="21"/>
          <w:szCs w:val="21"/>
        </w:rPr>
        <w:t xml:space="preserve">8,000 Gemini calls + 8,000 ChatGPT calls + 16,000 classifier calls (8,000 for each engine's answers).</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4200"/>
        <w:gridCol w:w="2940"/>
        <w:gridCol w:w="2940"/>
      </w:tblGrid>
      <w:tr>
        <w:trPr>
          <w:tblHeader/>
        </w:trPr>
        <w:tc>
          <w:tcPr>
            <w:tcW w:type="dxa" w:w="42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Vendor bill</w:t>
            </w:r>
          </w:p>
        </w:tc>
        <w:tc>
          <w:tcPr>
            <w:tcW w:type="dxa" w:w="29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Low fan-out</w:t>
            </w:r>
          </w:p>
        </w:tc>
        <w:tc>
          <w:tcPr>
            <w:tcW w:type="dxa" w:w="294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High fan-out</w:t>
            </w:r>
          </w:p>
        </w:tc>
      </w:tr>
      <w:tr>
        <w:tc>
          <w:tcPr>
            <w:tcW w:type="dxa" w:w="4200"/>
            <w:tcMar>
              <w:top w:type="dxa" w:w="50"/>
              <w:left w:type="dxa" w:w="100"/>
              <w:bottom w:type="dxa" w:w="50"/>
              <w:right w:type="dxa" w:w="100"/>
            </w:tcMar>
          </w:tcPr>
          <w:p>
            <w:pPr>
              <w:jc w:val="left"/>
            </w:pPr>
            <w:r>
              <w:rPr>
                <w:rFonts w:ascii="Calibri" w:cs="Calibri" w:eastAsia="Calibri" w:hAnsi="Calibri"/>
                <w:color w:val="1F2933"/>
                <w:sz w:val="19"/>
                <w:szCs w:val="19"/>
              </w:rPr>
              <w:t xml:space="preserve">Gemini = 8,000 × $0.01554 (engine) + 16,000 × $0.000825 (classifier, both engines)</w:t>
            </w:r>
          </w:p>
        </w:tc>
        <w:tc>
          <w:tcPr>
            <w:tcW w:type="dxa" w:w="2940"/>
            <w:tcMar>
              <w:top w:type="dxa" w:w="50"/>
              <w:left w:type="dxa" w:w="100"/>
              <w:bottom w:type="dxa" w:w="50"/>
              <w:right w:type="dxa" w:w="100"/>
            </w:tcMar>
          </w:tcPr>
          <w:p>
            <w:pPr>
              <w:jc w:val="left"/>
            </w:pPr>
            <w:r>
              <w:rPr>
                <w:rFonts w:ascii="Calibri" w:cs="Calibri" w:eastAsia="Calibri" w:hAnsi="Calibri"/>
                <w:color w:val="1F2933"/>
                <w:sz w:val="19"/>
                <w:szCs w:val="19"/>
              </w:rPr>
              <w:t xml:space="preserve">$124.30 + $13.20 = $137.50</w:t>
            </w:r>
          </w:p>
        </w:tc>
        <w:tc>
          <w:tcPr>
            <w:tcW w:type="dxa" w:w="2940"/>
            <w:tcMar>
              <w:top w:type="dxa" w:w="50"/>
              <w:left w:type="dxa" w:w="100"/>
              <w:bottom w:type="dxa" w:w="50"/>
              <w:right w:type="dxa" w:w="100"/>
            </w:tcMar>
          </w:tcPr>
          <w:p>
            <w:pPr>
              <w:jc w:val="left"/>
            </w:pPr>
            <w:r>
              <w:rPr>
                <w:rFonts w:ascii="Calibri" w:cs="Calibri" w:eastAsia="Calibri" w:hAnsi="Calibri"/>
                <w:color w:val="1F2933"/>
                <w:sz w:val="19"/>
                <w:szCs w:val="19"/>
              </w:rPr>
              <w:t xml:space="preserve">$684.30 + $13.20 = $697.50</w:t>
            </w:r>
          </w:p>
        </w:tc>
      </w:tr>
      <w:tr>
        <w:tc>
          <w:tcPr>
            <w:tcW w:type="dxa" w:w="4200"/>
            <w:tcMar>
              <w:top w:type="dxa" w:w="50"/>
              <w:left w:type="dxa" w:w="100"/>
              <w:bottom w:type="dxa" w:w="50"/>
              <w:right w:type="dxa" w:w="100"/>
            </w:tcMar>
          </w:tcPr>
          <w:p>
            <w:pPr>
              <w:jc w:val="left"/>
            </w:pPr>
            <w:r>
              <w:rPr>
                <w:rFonts w:ascii="Calibri" w:cs="Calibri" w:eastAsia="Calibri" w:hAnsi="Calibri"/>
                <w:color w:val="1F2933"/>
                <w:sz w:val="19"/>
                <w:szCs w:val="19"/>
              </w:rPr>
              <w:t xml:space="preserve">OpenAI = 8,000 × ChatGPT engine call</w:t>
            </w:r>
          </w:p>
        </w:tc>
        <w:tc>
          <w:tcPr>
            <w:tcW w:type="dxa" w:w="2940"/>
            <w:tcMar>
              <w:top w:type="dxa" w:w="50"/>
              <w:left w:type="dxa" w:w="100"/>
              <w:bottom w:type="dxa" w:w="50"/>
              <w:right w:type="dxa" w:w="100"/>
            </w:tcMar>
          </w:tcPr>
          <w:p>
            <w:pPr>
              <w:jc w:val="left"/>
            </w:pPr>
            <w:r>
              <w:rPr>
                <w:rFonts w:ascii="Calibri" w:cs="Calibri" w:eastAsia="Calibri" w:hAnsi="Calibri"/>
                <w:color w:val="1F2933"/>
                <w:sz w:val="19"/>
                <w:szCs w:val="19"/>
              </w:rPr>
              <w:t xml:space="preserve">$84.96</w:t>
            </w:r>
          </w:p>
        </w:tc>
        <w:tc>
          <w:tcPr>
            <w:tcW w:type="dxa" w:w="2940"/>
            <w:tcMar>
              <w:top w:type="dxa" w:w="50"/>
              <w:left w:type="dxa" w:w="100"/>
              <w:bottom w:type="dxa" w:w="50"/>
              <w:right w:type="dxa" w:w="100"/>
            </w:tcMar>
          </w:tcPr>
          <w:p>
            <w:pPr>
              <w:jc w:val="left"/>
            </w:pPr>
            <w:r>
              <w:rPr>
                <w:rFonts w:ascii="Calibri" w:cs="Calibri" w:eastAsia="Calibri" w:hAnsi="Calibri"/>
                <w:color w:val="1F2933"/>
                <w:sz w:val="19"/>
                <w:szCs w:val="19"/>
              </w:rPr>
              <w:t xml:space="preserve">$490.40</w:t>
            </w:r>
          </w:p>
        </w:tc>
      </w:tr>
      <w:tr>
        <w:tc>
          <w:tcPr>
            <w:tcW w:type="dxa" w:w="4200"/>
            <w:shd w:fill="F4F6F7" w:color="auto" w:val="clear"/>
            <w:tcMar>
              <w:top w:type="dxa" w:w="50"/>
              <w:left w:type="dxa" w:w="100"/>
              <w:bottom w:type="dxa" w:w="50"/>
              <w:right w:type="dxa" w:w="100"/>
            </w:tcMar>
          </w:tcPr>
          <w:p>
            <w:pPr>
              <w:jc w:val="left"/>
            </w:pPr>
            <w:r>
              <w:rPr>
                <w:rFonts w:ascii="Calibri" w:cs="Calibri" w:eastAsia="Calibri" w:hAnsi="Calibri"/>
                <w:b/>
                <w:bCs/>
                <w:color w:val="1F2933"/>
                <w:sz w:val="19"/>
                <w:szCs w:val="19"/>
              </w:rPr>
              <w:t xml:space="preserve">COMBINED, ONE RUN</w:t>
            </w:r>
          </w:p>
        </w:tc>
        <w:tc>
          <w:tcPr>
            <w:tcW w:type="dxa" w:w="2940"/>
            <w:shd w:fill="F4F6F7" w:color="auto" w:val="clear"/>
            <w:tcMar>
              <w:top w:type="dxa" w:w="50"/>
              <w:left w:type="dxa" w:w="100"/>
              <w:bottom w:type="dxa" w:w="50"/>
              <w:right w:type="dxa" w:w="100"/>
            </w:tcMar>
          </w:tcPr>
          <w:p>
            <w:pPr>
              <w:jc w:val="left"/>
            </w:pPr>
            <w:r>
              <w:rPr>
                <w:rFonts w:ascii="Calibri" w:cs="Calibri" w:eastAsia="Calibri" w:hAnsi="Calibri"/>
                <w:b/>
                <w:bCs/>
                <w:color w:val="1F2933"/>
                <w:sz w:val="19"/>
                <w:szCs w:val="19"/>
              </w:rPr>
              <w:t xml:space="preserve">$222.46</w:t>
            </w:r>
          </w:p>
        </w:tc>
        <w:tc>
          <w:tcPr>
            <w:tcW w:type="dxa" w:w="2940"/>
            <w:shd w:fill="F4F6F7" w:color="auto" w:val="clear"/>
            <w:tcMar>
              <w:top w:type="dxa" w:w="50"/>
              <w:left w:type="dxa" w:w="100"/>
              <w:bottom w:type="dxa" w:w="50"/>
              <w:right w:type="dxa" w:w="100"/>
            </w:tcMar>
          </w:tcPr>
          <w:p>
            <w:pPr>
              <w:jc w:val="left"/>
            </w:pPr>
            <w:r>
              <w:rPr>
                <w:rFonts w:ascii="Calibri" w:cs="Calibri" w:eastAsia="Calibri" w:hAnsi="Calibri"/>
                <w:b/>
                <w:bCs/>
                <w:color w:val="1F2933"/>
                <w:sz w:val="19"/>
                <w:szCs w:val="19"/>
              </w:rPr>
              <w:t xml:space="preserve">$1,187.90</w:t>
            </w:r>
          </w:p>
        </w:tc>
      </w:tr>
    </w:tbl>
    <w:p>
      <w:pPr>
        <w:spacing w:after="100"/>
      </w:pPr>
    </w:p>
    <w:p>
      <w:pPr>
        <w:spacing w:after="120" w:before="0"/>
      </w:pPr>
      <w:r>
        <w:rPr>
          <w:rFonts w:ascii="Calibri" w:cs="Calibri" w:eastAsia="Calibri" w:hAnsi="Calibri"/>
          <w:i/>
          <w:iCs/>
          <w:color w:val="52606D"/>
          <w:sz w:val="20"/>
          <w:szCs w:val="20"/>
        </w:rPr>
        <w:t xml:space="preserve">That's $0.0106–$0.0871 per prompt on Gemini and $0.0106–$0.0613 per prompt on ChatGPT, all-in.</w:t>
      </w:r>
    </w:p>
    <w:p>
      <w:pPr>
        <w:pBdr>
          <w:left w:val="single" w:color="1B5E92" w:sz="12" w:space="8"/>
        </w:pBdr>
        <w:spacing w:after="200" w:before="40"/>
        <w:ind w:left="360"/>
      </w:pPr>
      <w:r>
        <w:rPr>
          <w:rFonts w:ascii="Calibri" w:cs="Calibri" w:eastAsia="Calibri" w:hAnsi="Calibri"/>
          <w:i/>
          <w:iCs/>
          <w:color w:val="52606D"/>
          <w:sz w:val="19"/>
          <w:szCs w:val="19"/>
        </w:rPr>
        <w:t xml:space="preserve">Gemini's paid tier includes 5,000 grounding searches/month before the $14/1,000 rate applies. At this volume that allowance is worth ≤$70/month credit — under 1% of any total below — noted but not threaded through every cell.
The free tier (500 grounded requests/day on paper) is irrelevant regardless: classifier.py's own comment records the REAL OBSERVED daily cap as 20 requests/day, and ENGINE-APIS.md §9 confirms grounded calls currently 429 persistently even inside the documented allowance. Budget paid billing from the start.</w:t>
      </w:r>
    </w:p>
    <w:p>
      <w:pPr>
        <w:pStyle w:val="Heading1"/>
        <w:pBdr>
          <w:bottom w:val="single" w:color="1B5E92" w:sz="6" w:space="4"/>
        </w:pBdr>
        <w:spacing w:after="160" w:before="400"/>
      </w:pPr>
      <w:r>
        <w:rPr>
          <w:rFonts w:ascii="Calibri" w:cs="Calibri" w:eastAsia="Calibri" w:hAnsi="Calibri"/>
          <w:b/>
          <w:bCs/>
          <w:color w:val="1B5E92"/>
          <w:sz w:val="30"/>
          <w:szCs w:val="30"/>
        </w:rPr>
        <w:t xml:space="preserve">4.  Cost by Cron Schedule</w:t>
      </w:r>
    </w:p>
    <w:p>
      <w:pPr>
        <w:spacing w:after="120" w:before="0"/>
      </w:pPr>
      <w:r>
        <w:rPr>
          <w:rFonts w:ascii="Calibri" w:cs="Calibri" w:eastAsia="Calibri" w:hAnsi="Calibri"/>
          <w:color w:val="1F2933"/>
          <w:sz w:val="21"/>
          <w:szCs w:val="21"/>
        </w:rPr>
        <w:t xml:space="preserve">Runs/month assume a 30-day month; 2-month = 61 days. One run = the full 8,000-prompt corpus re-queried against both engines.</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1600"/>
        <w:gridCol w:w="900"/>
        <w:gridCol w:w="900"/>
        <w:gridCol w:w="1670"/>
        <w:gridCol w:w="1670"/>
        <w:gridCol w:w="1670"/>
        <w:gridCol w:w="1670"/>
      </w:tblGrid>
      <w:tr>
        <w:trPr>
          <w:tblHeader/>
        </w:trPr>
        <w:tc>
          <w:tcPr>
            <w:tcW w:type="dxa" w:w="16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Cadence</w:t>
            </w:r>
          </w:p>
        </w:tc>
        <w:tc>
          <w:tcPr>
            <w:tcW w:type="dxa" w:w="9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Runs/mo</w:t>
            </w:r>
          </w:p>
        </w:tc>
        <w:tc>
          <w:tcPr>
            <w:tcW w:type="dxa" w:w="9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Runs/2mo</w:t>
            </w:r>
          </w:p>
        </w:tc>
        <w:tc>
          <w:tcPr>
            <w:tcW w:type="dxa" w:w="167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Monthly (low)</w:t>
            </w:r>
          </w:p>
        </w:tc>
        <w:tc>
          <w:tcPr>
            <w:tcW w:type="dxa" w:w="167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Monthly (high)</w:t>
            </w:r>
          </w:p>
        </w:tc>
        <w:tc>
          <w:tcPr>
            <w:tcW w:type="dxa" w:w="167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(low)</w:t>
            </w:r>
          </w:p>
        </w:tc>
        <w:tc>
          <w:tcPr>
            <w:tcW w:type="dxa" w:w="167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(high)</w:t>
            </w:r>
          </w:p>
        </w:tc>
      </w:tr>
      <w:tr>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Daily</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30</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60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$6,673.80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$35,637.00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$13,347.60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$71,274.00</w:t>
            </w:r>
          </w:p>
        </w:tc>
      </w:tr>
      <w:tr>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Every 2 days</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15</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$3,336.90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$17,818.50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$6,673.80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$35,637.00</w:t>
            </w:r>
          </w:p>
        </w:tc>
      </w:tr>
      <w:tr>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Every 3 days</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10</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$2,224.60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$11,879.00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$4,449.20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$23,758.00</w:t>
            </w:r>
          </w:p>
        </w:tc>
      </w:tr>
      <w:tr>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Weekly</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4.29</w:t>
            </w:r>
          </w:p>
        </w:tc>
        <w:tc>
          <w:tcPr>
            <w:tcW w:type="dxa" w:w="9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8.57</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$953.40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$5,091.00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$1,906.80</w:t>
            </w:r>
          </w:p>
        </w:tc>
        <w:tc>
          <w:tcPr>
            <w:tcW w:type="dxa" w:w="167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$10,182.00</w:t>
            </w:r>
          </w:p>
        </w:tc>
      </w:tr>
    </w:tbl>
    <w:p>
      <w:pPr>
        <w:spacing w:after="160"/>
      </w:pPr>
    </w:p>
    <w:p>
      <w:pPr>
        <w:pStyle w:val="Heading2"/>
        <w:spacing w:after="120" w:before="280"/>
      </w:pPr>
      <w:r>
        <w:rPr>
          <w:rFonts w:ascii="Calibri" w:cs="Calibri" w:eastAsia="Calibri" w:hAnsi="Calibri"/>
          <w:b/>
          <w:bCs/>
          <w:color w:val="1F2933"/>
          <w:sz w:val="24"/>
          <w:szCs w:val="24"/>
        </w:rPr>
        <w:t xml:space="preserve">Split by vendor (2-month)</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2280"/>
        <w:gridCol w:w="1950"/>
        <w:gridCol w:w="1950"/>
        <w:gridCol w:w="1950"/>
        <w:gridCol w:w="1950"/>
      </w:tblGrid>
      <w:tr>
        <w:trPr>
          <w:tblHeader/>
        </w:trPr>
        <w:tc>
          <w:tcPr>
            <w:tcW w:type="dxa" w:w="22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Cadence</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Gemini (low)</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Gemini (high)</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OpenAI (low)</w:t>
            </w:r>
          </w:p>
        </w:tc>
        <w:tc>
          <w:tcPr>
            <w:tcW w:type="dxa" w:w="195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OpenAI (high)</w:t>
            </w:r>
          </w:p>
        </w:tc>
      </w:tr>
      <w:tr>
        <w:tc>
          <w:tcPr>
            <w:tcW w:type="dxa" w:w="22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Daily</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$8,250.00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$41,850.00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$5,097.60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$29,424.00</w:t>
            </w:r>
          </w:p>
        </w:tc>
      </w:tr>
      <w:tr>
        <w:tc>
          <w:tcPr>
            <w:tcW w:type="dxa" w:w="22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Every 2 days</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$4,125.00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$20,925.00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$2,548.80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$14,712.00</w:t>
            </w:r>
          </w:p>
        </w:tc>
      </w:tr>
      <w:tr>
        <w:tc>
          <w:tcPr>
            <w:tcW w:type="dxa" w:w="22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Every 3 days</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$2,750.00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$13,950.00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$1,699.20</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$9,808.00</w:t>
            </w:r>
          </w:p>
        </w:tc>
      </w:tr>
      <w:tr>
        <w:tc>
          <w:tcPr>
            <w:tcW w:type="dxa" w:w="22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Weekly</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$1,178.57</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$5,978.57</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$728.23</w:t>
            </w:r>
          </w:p>
        </w:tc>
        <w:tc>
          <w:tcPr>
            <w:tcW w:type="dxa" w:w="195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$4,203.43</w:t>
            </w:r>
          </w:p>
        </w:tc>
      </w:tr>
    </w:tbl>
    <w:p>
      <w:pPr>
        <w:spacing w:after="100"/>
      </w:pPr>
    </w:p>
    <w:p>
      <w:pPr>
        <w:spacing w:after="120" w:before="0"/>
      </w:pPr>
      <w:r>
        <w:rPr>
          <w:rFonts w:ascii="Calibri" w:cs="Calibri" w:eastAsia="Calibri" w:hAnsi="Calibri"/>
          <w:i/>
          <w:iCs/>
          <w:color w:val="52606D"/>
          <w:sz w:val="20"/>
          <w:szCs w:val="20"/>
        </w:rPr>
        <w:t xml:space="preserve">Read this as: the fan-out assumption (1 vs. 6 searches/prompt) swings the total by ~5.3×. That single number — how many mini-searches a real prompt actually fires — matters more than which cadence you pick. Measure it from real calls before committing to a schedule.</w:t>
      </w:r>
    </w:p>
    <w:p>
      <w:pPr>
        <w:pStyle w:val="Heading1"/>
        <w:pBdr>
          <w:bottom w:val="single" w:color="1B5E92" w:sz="6" w:space="4"/>
        </w:pBdr>
        <w:spacing w:after="160" w:before="400"/>
      </w:pPr>
      <w:r>
        <w:rPr>
          <w:rFonts w:ascii="Calibri" w:cs="Calibri" w:eastAsia="Calibri" w:hAnsi="Calibri"/>
          <w:b/>
          <w:bCs/>
          <w:color w:val="1B5E92"/>
          <w:sz w:val="30"/>
          <w:szCs w:val="30"/>
        </w:rPr>
        <w:t xml:space="preserve">5.  Can 2 Months of Data Fit on a Free Storage Plan?</w:t>
      </w:r>
    </w:p>
    <w:p>
      <w:pPr>
        <w:spacing w:after="120" w:before="0"/>
      </w:pPr>
      <w:r>
        <w:rPr>
          <w:rFonts w:ascii="Calibri" w:cs="Calibri" w:eastAsia="Calibri" w:hAnsi="Calibri"/>
          <w:color w:val="1F2933"/>
          <w:sz w:val="21"/>
          <w:szCs w:val="21"/>
        </w:rPr>
        <w:t xml:space="preserve">Two separate "free plan" questions — your own database (Supabase), and whether the AI vendors themselves are a place to keep this data. Short answer to both: no.</w:t>
      </w:r>
    </w:p>
    <w:p>
      <w:pPr>
        <w:pStyle w:val="Heading2"/>
        <w:spacing w:after="120" w:before="280"/>
      </w:pPr>
      <w:r>
        <w:rPr>
          <w:rFonts w:ascii="Calibri" w:cs="Calibri" w:eastAsia="Calibri" w:hAnsi="Calibri"/>
          <w:b/>
          <w:bCs/>
          <w:color w:val="1F2933"/>
          <w:sz w:val="24"/>
          <w:szCs w:val="24"/>
        </w:rPr>
        <w:t xml:space="preserve">5a.  Your own database (Supabase free tier)</w:t>
      </w:r>
    </w:p>
    <w:p>
      <w:pPr>
        <w:spacing w:after="120" w:before="0"/>
      </w:pPr>
      <w:r>
        <w:rPr>
          <w:rFonts w:ascii="Calibri" w:cs="Calibri" w:eastAsia="Calibri" w:hAnsi="Calibri"/>
          <w:color w:val="1F2933"/>
          <w:sz w:val="21"/>
          <w:szCs w:val="21"/>
        </w:rPr>
        <w:t xml:space="preserve">Confirmed from supabase.com/pricing: the Free plan caps out at 500 MB database size, 1 GB file storage, and pauses the project after 1 week of inactivity (not a risk here since it'd run constantly).</w:t>
      </w:r>
    </w:p>
    <w:p>
      <w:pPr>
        <w:spacing w:after="120" w:before="0"/>
      </w:pPr>
      <w:r>
        <w:rPr>
          <w:rFonts w:ascii="Calibri" w:cs="Calibri" w:eastAsia="Calibri" w:hAnsi="Calibri"/>
          <w:color w:val="1F2933"/>
          <w:sz w:val="21"/>
          <w:szCs w:val="21"/>
        </w:rPr>
        <w:t xml:space="preserve">Every fetch writes the AI's entire raw API response verbatim — store.py inserts result.raw_json into raw_responses.raw_response jsonb, not a trimmed summary — plus one row per citation in the citations table (0001_init.sql).</w:t>
      </w: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2800"/>
        <w:gridCol w:w="1600"/>
        <w:gridCol w:w="5680"/>
      </w:tblGrid>
      <w:tr>
        <w:trPr>
          <w:tblHeader/>
        </w:trPr>
        <w:tc>
          <w:tcPr>
            <w:tcW w:type="dxa" w:w="28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Row type</w:t>
            </w:r>
          </w:p>
        </w:tc>
        <w:tc>
          <w:tcPr>
            <w:tcW w:type="dxa" w:w="16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Assumption</w:t>
            </w:r>
          </w:p>
        </w:tc>
        <w:tc>
          <w:tcPr>
            <w:tcW w:type="dxa" w:w="56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Why</w:t>
            </w:r>
          </w:p>
        </w:tc>
      </w:tr>
      <w:tr>
        <w:tc>
          <w:tcPr>
            <w:tcW w:type="dxa" w:w="2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raw_responses (Gemini)</w:t>
            </w:r>
          </w:p>
        </w:tc>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~7 KB</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full payload: webSearchQueries[], groundingChunks[], groundingSupports[] (doc's real captured example had 23 of these), usageMetadata, answer text</w:t>
            </w:r>
          </w:p>
        </w:tc>
      </w:tr>
      <w:tr>
        <w:tc>
          <w:tcPr>
            <w:tcW w:type="dxa" w:w="2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raw_responses (OpenAI)</w:t>
            </w:r>
          </w:p>
        </w:tc>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~9 KB</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larger once web_search_call.action.sources is opted in (§10 recommendation #7) — that's the whole point of adding it</w:t>
            </w:r>
          </w:p>
        </w:tc>
      </w:tr>
      <w:tr>
        <w:tc>
          <w:tcPr>
            <w:tcW w:type="dxa" w:w="2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citations rows</w:t>
            </w:r>
          </w:p>
        </w:tc>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~350 B each</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Gemini ~8 cited domains/prompt, OpenAI ~15 once read-but-not-used sources are captured</w:t>
            </w:r>
          </w:p>
        </w:tc>
      </w:tr>
      <w:tr>
        <w:tc>
          <w:tcPr>
            <w:tcW w:type="dxa" w:w="28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Index / TOAST overhead</w:t>
            </w:r>
          </w:p>
        </w:tc>
        <w:tc>
          <w:tcPr>
            <w:tcW w:type="dxa" w:w="160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×1.4</w:t>
            </w:r>
          </w:p>
        </w:tc>
        <w:tc>
          <w:tcPr>
            <w:tcW w:type="dxa" w:w="5680"/>
            <w:tcMar>
              <w:top w:type="dxa" w:w="50"/>
              <w:left w:type="dxa" w:w="100"/>
              <w:bottom w:type="dxa" w:w="50"/>
              <w:right w:type="dxa" w:w="100"/>
            </w:tcMar>
          </w:tcPr>
          <w:p>
            <w:pPr>
              <w:jc w:val="left"/>
            </w:pPr>
            <w:r>
              <w:rPr>
                <w:rFonts w:ascii="Calibri" w:cs="Calibri" w:eastAsia="Calibri" w:hAnsi="Calibri"/>
                <w:b w:val="false"/>
                <w:bCs w:val="false"/>
                <w:color w:val="1F2933"/>
                <w:sz w:val="19"/>
                <w:szCs w:val="19"/>
              </w:rPr>
              <w:t xml:space="preserve">Postgres counts indexes toward the 500 MB quota too — citations alone carries 3</w:t>
            </w:r>
          </w:p>
        </w:tc>
      </w:tr>
    </w:tbl>
    <w:p>
      <w:pPr>
        <w:spacing w:after="100"/>
      </w:pPr>
    </w:p>
    <w:p>
      <w:pPr>
        <w:spacing w:after="120" w:before="0"/>
      </w:pPr>
      <w:r>
        <w:rPr>
          <w:rFonts w:ascii="Calibri" w:cs="Calibri" w:eastAsia="Calibri" w:hAnsi="Calibri"/>
          <w:b/>
          <w:bCs/>
          <w:color w:val="1F2933"/>
          <w:sz w:val="21"/>
          <w:szCs w:val="21"/>
        </w:rPr>
        <w:t xml:space="preserve">Per prompt, both engines, indexed: ~15–34 KB. Per full 8,000-prompt run: ~120–265 MB.</w:t>
      </w:r>
    </w:p>
    <w:p>
      <w:pPr>
        <w:spacing w:after="80"/>
      </w:pPr>
    </w:p>
    <w:tbl>
      <w:tblPr>
        <w:tblW w:type="dxa" w:w="10080"/>
        <w:tblBorders>
          <w:top w:val="single" w:color="B0BEC5" w:sz="4"/>
          <w:left w:val="single" w:color="B0BEC5" w:sz="4"/>
          <w:bottom w:val="single" w:color="B0BEC5" w:sz="4"/>
          <w:right w:val="single" w:color="B0BEC5" w:sz="4"/>
          <w:insideH w:val="single" w:color="D3DAE0" w:sz="2"/>
          <w:insideV w:val="single" w:color="D3DAE0" w:sz="2"/>
        </w:tblBorders>
      </w:tblPr>
      <w:tblGrid>
        <w:gridCol w:w="2280"/>
        <w:gridCol w:w="2700"/>
        <w:gridCol w:w="2700"/>
        <w:gridCol w:w="2400"/>
      </w:tblGrid>
      <w:tr>
        <w:trPr>
          <w:tblHeader/>
        </w:trPr>
        <w:tc>
          <w:tcPr>
            <w:tcW w:type="dxa" w:w="228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Cadence</w:t>
            </w:r>
          </w:p>
        </w:tc>
        <w:tc>
          <w:tcPr>
            <w:tcW w:type="dxa" w:w="27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storage (low)</w:t>
            </w:r>
          </w:p>
        </w:tc>
        <w:tc>
          <w:tcPr>
            <w:tcW w:type="dxa" w:w="27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2-mo storage (high)</w:t>
            </w:r>
          </w:p>
        </w:tc>
        <w:tc>
          <w:tcPr>
            <w:tcW w:type="dxa" w:w="2400"/>
            <w:shd w:fill="E7EEF3" w:color="auto" w:val="clear"/>
            <w:tcMar>
              <w:top w:type="dxa" w:w="60"/>
              <w:left w:type="dxa" w:w="100"/>
              <w:bottom w:type="dxa" w:w="60"/>
              <w:right w:type="dxa" w:w="100"/>
            </w:tcMar>
          </w:tcPr>
          <w:p>
            <w:r>
              <w:rPr>
                <w:rFonts w:ascii="Calibri" w:cs="Calibri" w:eastAsia="Calibri" w:hAnsi="Calibri"/>
                <w:b/>
                <w:bCs/>
                <w:color w:val="1B5E92"/>
                <w:sz w:val="19"/>
                <w:szCs w:val="19"/>
              </w:rPr>
              <w:t xml:space="preserve">vs. 500 MB free cap</w:t>
            </w:r>
          </w:p>
        </w:tc>
      </w:tr>
      <w:tr>
        <w:tc>
          <w:tcPr>
            <w:tcW w:type="dxa" w:w="228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Daily</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7.2 GB</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15.8 GB</w:t>
            </w:r>
          </w:p>
        </w:tc>
        <w:tc>
          <w:tcPr>
            <w:tcW w:type="dxa" w:w="24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14–32× over</w:t>
            </w:r>
          </w:p>
        </w:tc>
      </w:tr>
      <w:tr>
        <w:tc>
          <w:tcPr>
            <w:tcW w:type="dxa" w:w="228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Every 2 days</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3.6 GB</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7.9 GB</w:t>
            </w:r>
          </w:p>
        </w:tc>
        <w:tc>
          <w:tcPr>
            <w:tcW w:type="dxa" w:w="24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7–16× over</w:t>
            </w:r>
          </w:p>
        </w:tc>
      </w:tr>
      <w:tr>
        <w:tc>
          <w:tcPr>
            <w:tcW w:type="dxa" w:w="228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Every 3 days</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2.4 GB</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5.3 GB</w:t>
            </w:r>
          </w:p>
        </w:tc>
        <w:tc>
          <w:tcPr>
            <w:tcW w:type="dxa" w:w="24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5–11× over</w:t>
            </w:r>
          </w:p>
        </w:tc>
      </w:tr>
      <w:tr>
        <w:tc>
          <w:tcPr>
            <w:tcW w:type="dxa" w:w="228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Weekly</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~1.03 GB</w:t>
            </w:r>
          </w:p>
        </w:tc>
        <w:tc>
          <w:tcPr>
            <w:tcW w:type="dxa" w:w="27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2.26 GB</w:t>
            </w:r>
          </w:p>
        </w:tc>
        <w:tc>
          <w:tcPr>
            <w:tcW w:type="dxa" w:w="2400"/>
            <w:shd w:fill="FBEFE0" w:color="auto" w:val="clear"/>
            <w:tcMar>
              <w:top w:type="dxa" w:w="50"/>
              <w:left w:type="dxa" w:w="100"/>
              <w:bottom w:type="dxa" w:w="50"/>
              <w:right w:type="dxa" w:w="100"/>
            </w:tcMar>
          </w:tcPr>
          <w:p>
            <w:pPr>
              <w:jc w:val="left"/>
            </w:pPr>
            <w:r>
              <w:rPr>
                <w:rFonts w:ascii="Calibri" w:cs="Calibri" w:eastAsia="Calibri" w:hAnsi="Calibri"/>
                <w:color w:val="1F2933"/>
                <w:sz w:val="19"/>
                <w:szCs w:val="19"/>
              </w:rPr>
              <w:t xml:space="preserve">2–4.5× over</w:t>
            </w:r>
          </w:p>
        </w:tc>
      </w:tr>
    </w:tbl>
    <w:p>
      <w:pPr>
        <w:spacing w:after="100"/>
      </w:pPr>
    </w:p>
    <w:p>
      <w:pPr>
        <w:spacing w:after="120" w:before="0"/>
      </w:pPr>
      <w:r>
        <w:rPr>
          <w:rFonts w:ascii="Calibri" w:cs="Calibri" w:eastAsia="Calibri" w:hAnsi="Calibri"/>
          <w:b/>
          <w:bCs/>
          <w:color w:val="1F2933"/>
          <w:sz w:val="21"/>
          <w:szCs w:val="21"/>
        </w:rPr>
        <w:t xml:space="preserve">Even the gentlest combination — weekly cadence, lean payload estimate — still needs twice the free tier's 500 MB. A single run at the richer estimate (~265 MB) is already more than half the entire free-tier database on its own. There is no cadence in this list that fits 2 months of 8,000-prompt data on Supabase's free plan; the alternative is the Pro tier, or pruning/aggregating old raw payloads instead of keeping them all.</w:t>
      </w:r>
    </w:p>
    <w:p>
      <w:pPr>
        <w:pStyle w:val="Heading2"/>
        <w:spacing w:after="120" w:before="280"/>
      </w:pPr>
      <w:r>
        <w:rPr>
          <w:rFonts w:ascii="Calibri" w:cs="Calibri" w:eastAsia="Calibri" w:hAnsi="Calibri"/>
          <w:b/>
          <w:bCs/>
          <w:color w:val="1F2933"/>
          <w:sz w:val="24"/>
          <w:szCs w:val="24"/>
        </w:rPr>
        <w:t xml:space="preserve">5b.  The AI vendors' own "free" data retention</w:t>
      </w:r>
    </w:p>
    <w:p>
      <w:pPr>
        <w:spacing w:after="120" w:before="0"/>
      </w:pPr>
      <w:r>
        <w:rPr>
          <w:rFonts w:ascii="Calibri" w:cs="Calibri" w:eastAsia="Calibri" w:hAnsi="Calibri"/>
          <w:color w:val="1F2933"/>
          <w:sz w:val="21"/>
          <w:szCs w:val="21"/>
        </w:rPr>
        <w:t xml:space="preserve">Neither company offers this as a place to durably keep 2 months of results — they're not a database, and their retention policies point the other way:</w:t>
      </w:r>
    </w:p>
    <w:p>
      <w:pPr>
        <w:pStyle w:val="ListParagraph"/>
        <w:numPr>
          <w:ilvl w:val="0"/>
          <w:numId w:val="2"/>
        </w:numPr>
        <w:spacing w:after="80"/>
      </w:pPr>
      <w:r>
        <w:rPr>
          <w:rFonts w:ascii="Calibri" w:cs="Calibri" w:eastAsia="Calibri" w:hAnsi="Calibri"/>
          <w:color w:val="1F2933"/>
          <w:sz w:val="21"/>
          <w:szCs w:val="21"/>
        </w:rPr>
        <w:t xml:space="preserve">Gemini free tier (ai.google.dev/gemini-api/terms): no fixed retention window is published; Google may use free-tier prompts/responses "to provide, improve, and develop" its products, with human review possible. The paid tier is the opposite — Google does NOT use paid data to improve products, and only logs it briefly (30 days, named for grounding debugging/abuse detection) before discarding it.</w:t>
      </w:r>
    </w:p>
    <w:p>
      <w:pPr>
        <w:pStyle w:val="ListParagraph"/>
        <w:numPr>
          <w:ilvl w:val="0"/>
          <w:numId w:val="2"/>
        </w:numPr>
        <w:spacing w:after="80"/>
      </w:pPr>
      <w:r>
        <w:rPr>
          <w:rFonts w:ascii="Calibri" w:cs="Calibri" w:eastAsia="Calibri" w:hAnsi="Calibri"/>
          <w:color w:val="1F2933"/>
          <w:sz w:val="21"/>
          <w:szCs w:val="21"/>
        </w:rPr>
        <w:t xml:space="preserve">OpenAI: no free tier at all for the API (confirmed — ENGINE-APIS.md §4 and OpenAI's own data-controls docs). Whatever tier you're on, API data isn't used for training by default, and abuse-monitoring logs are kept "up to 30 days," not 2 months.</w:t>
      </w:r>
    </w:p>
    <w:p>
      <w:pPr>
        <w:spacing w:after="80"/>
      </w:pPr>
    </w:p>
    <w:p>
      <w:pPr>
        <w:spacing w:after="120" w:before="0"/>
      </w:pPr>
      <w:r>
        <w:rPr>
          <w:rFonts w:ascii="Calibri" w:cs="Calibri" w:eastAsia="Calibri" w:hAnsi="Calibri"/>
          <w:i/>
          <w:iCs/>
          <w:color w:val="52606D"/>
          <w:sz w:val="21"/>
          <w:szCs w:val="21"/>
        </w:rPr>
        <w:t xml:space="preserve">Practical takeaway: the 2-month retention has to live in your own Supabase (or wherever you land after outgrowing the free tier) — neither vendor is going to hold it for you either.</w:t>
      </w:r>
    </w:p>
    <w:p>
      <w:pPr>
        <w:pStyle w:val="Heading1"/>
        <w:pBdr>
          <w:bottom w:val="single" w:color="1B5E92" w:sz="6" w:space="4"/>
        </w:pBdr>
        <w:spacing w:after="160" w:before="400"/>
      </w:pPr>
      <w:r>
        <w:rPr>
          <w:rFonts w:ascii="Calibri" w:cs="Calibri" w:eastAsia="Calibri" w:hAnsi="Calibri"/>
          <w:b/>
          <w:bCs/>
          <w:color w:val="1B5E92"/>
          <w:sz w:val="30"/>
          <w:szCs w:val="30"/>
        </w:rPr>
        <w:t xml:space="preserve">6.  What to Verify Before Trusting This for Budgeting</w:t>
      </w:r>
    </w:p>
    <w:p>
      <w:pPr>
        <w:pStyle w:val="ListParagraph"/>
        <w:numPr>
          <w:ilvl w:val="0"/>
          <w:numId w:val="3"/>
        </w:numPr>
        <w:spacing w:after="100"/>
      </w:pPr>
      <w:r>
        <w:rPr>
          <w:rFonts w:ascii="Calibri" w:cs="Calibri" w:eastAsia="Calibri" w:hAnsi="Calibri"/>
          <w:color w:val="1F2933"/>
          <w:sz w:val="21"/>
          <w:szCs w:val="21"/>
        </w:rPr>
        <w:t xml:space="preserve">Real fan-out per prompt, both engines — the single biggest lever (§4's 5.3× swing). Log webSearchQueries.length (Gemini) and web_search_call count (OpenAI) on the next handful of live calls.</w:t>
      </w:r>
    </w:p>
    <w:p>
      <w:pPr>
        <w:pStyle w:val="ListParagraph"/>
        <w:numPr>
          <w:ilvl w:val="0"/>
          <w:numId w:val="3"/>
        </w:numPr>
        <w:spacing w:after="100"/>
      </w:pPr>
      <w:r>
        <w:rPr>
          <w:rFonts w:ascii="Calibri" w:cs="Calibri" w:eastAsia="Calibri" w:hAnsi="Calibri"/>
          <w:color w:val="1F2933"/>
          <w:sz w:val="21"/>
          <w:szCs w:val="21"/>
        </w:rPr>
        <w:t xml:space="preserve">Real average answer length — swap the 300/350-token assumption for the actual usageMetadata once Gemini grounded calls are unblocked (ENGINE-APIS.md §9/§10 recommendation #1: enable billing on the Google Cloud project first).</w:t>
      </w:r>
    </w:p>
    <w:p>
      <w:pPr>
        <w:pStyle w:val="ListParagraph"/>
        <w:numPr>
          <w:ilvl w:val="0"/>
          <w:numId w:val="3"/>
        </w:numPr>
        <w:spacing w:after="100"/>
      </w:pPr>
      <w:r>
        <w:rPr>
          <w:rFonts w:ascii="Calibri" w:cs="Calibri" w:eastAsia="Calibri" w:hAnsi="Calibri"/>
          <w:color w:val="1F2933"/>
          <w:sz w:val="21"/>
          <w:szCs w:val="21"/>
        </w:rPr>
        <w:t xml:space="preserve">Real raw_response row size — select pg_column_size(raw_response) from raw_responses against existing rows gives an exact number instead of the ~7–9 KB estimate above.</w:t>
      </w:r>
    </w:p>
    <w:p>
      <w:pPr>
        <w:pStyle w:val="ListParagraph"/>
        <w:numPr>
          <w:ilvl w:val="0"/>
          <w:numId w:val="3"/>
        </w:numPr>
        <w:spacing w:after="100"/>
      </w:pPr>
      <w:r>
        <w:rPr>
          <w:rFonts w:ascii="Calibri" w:cs="Calibri" w:eastAsia="Calibri" w:hAnsi="Calibri"/>
          <w:color w:val="1F2933"/>
          <w:sz w:val="21"/>
          <w:szCs w:val="21"/>
        </w:rPr>
        <w:t xml:space="preserve">Which GPT-5.6 tier is actually wanted — this used gpt-5.6-luna (cheapest). Swapping to gpt-5.6-terra multiplies the OpenAI columns by ~10×, gpt-5.6-sol by ~20×.</w:t>
      </w:r>
    </w:p>
    <w:p>
      <w:pPr>
        <w:spacing w:after="160"/>
      </w:pPr>
    </w:p>
    <w:p>
      <w:pPr>
        <w:pStyle w:val="Heading1"/>
        <w:pBdr>
          <w:bottom w:val="single" w:color="1B5E92" w:sz="6" w:space="4"/>
        </w:pBdr>
        <w:spacing w:after="160" w:before="400"/>
      </w:pPr>
      <w:r>
        <w:rPr>
          <w:rFonts w:ascii="Calibri" w:cs="Calibri" w:eastAsia="Calibri" w:hAnsi="Calibri"/>
          <w:b/>
          <w:bCs/>
          <w:color w:val="1B5E92"/>
          <w:sz w:val="30"/>
          <w:szCs w:val="30"/>
        </w:rPr>
        <w:t xml:space="preserve">Sources</w:t>
      </w:r>
    </w:p>
    <w:p>
      <w:pPr>
        <w:spacing w:after="80" w:before="0"/>
      </w:pPr>
      <w:r>
        <w:rPr>
          <w:rFonts w:ascii="Calibri" w:cs="Calibri" w:eastAsia="Calibri" w:hAnsi="Calibri"/>
          <w:color w:val="1F2933"/>
          <w:sz w:val="21"/>
          <w:szCs w:val="21"/>
        </w:rPr>
        <w:t xml:space="preserve">Same as ENGINE-APIS.md §3/§4 (pricing), plus:</w:t>
      </w:r>
    </w:p>
    <w:p>
      <w:pPr>
        <w:pStyle w:val="ListParagraph"/>
        <w:numPr>
          <w:ilvl w:val="0"/>
          <w:numId w:val="2"/>
        </w:numPr>
        <w:spacing w:after="80"/>
      </w:pPr>
      <w:r>
        <w:rPr>
          <w:rFonts w:ascii="Calibri" w:cs="Calibri" w:eastAsia="Calibri" w:hAnsi="Calibri"/>
          <w:color w:val="1F2933"/>
          <w:sz w:val="21"/>
          <w:szCs w:val="21"/>
        </w:rPr>
        <w:t xml:space="preserve">Supabase pricing — supabase.com/pricing — Free plan limits</w:t>
      </w:r>
    </w:p>
    <w:p>
      <w:pPr>
        <w:pStyle w:val="ListParagraph"/>
        <w:numPr>
          <w:ilvl w:val="0"/>
          <w:numId w:val="2"/>
        </w:numPr>
        <w:spacing w:after="80"/>
      </w:pPr>
      <w:r>
        <w:rPr>
          <w:rFonts w:ascii="Calibri" w:cs="Calibri" w:eastAsia="Calibri" w:hAnsi="Calibri"/>
          <w:color w:val="1F2933"/>
          <w:sz w:val="21"/>
          <w:szCs w:val="21"/>
        </w:rPr>
        <w:t xml:space="preserve">Gemini API terms — ai.google.dev/gemini-api/terms — free vs. paid data usage</w:t>
      </w:r>
    </w:p>
    <w:p>
      <w:pPr>
        <w:pStyle w:val="ListParagraph"/>
        <w:numPr>
          <w:ilvl w:val="0"/>
          <w:numId w:val="2"/>
        </w:numPr>
        <w:spacing w:after="80"/>
      </w:pPr>
      <w:r>
        <w:rPr>
          <w:rFonts w:ascii="Calibri" w:cs="Calibri" w:eastAsia="Calibri" w:hAnsi="Calibri"/>
          <w:color w:val="1F2933"/>
          <w:sz w:val="21"/>
          <w:szCs w:val="21"/>
        </w:rPr>
        <w:t xml:space="preserve">OpenAI API data controls — developers.openai.com/api/docs/guides/your-data — retention, no free tier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r>
      <w:rPr>
        <w:rFonts w:ascii="Calibri" w:cs="Calibri" w:eastAsia="Calibri" w:hAnsi="Calibri"/>
        <w:color w:val="52606D"/>
        <w:sz w:val="16"/>
        <w:szCs w:val="16"/>
      </w:rPr>
      <w:t xml:space="preserve"> of </w:t>
    </w:r>
    <w:r>
      <w:rPr>
        <w:rFonts w:ascii="Calibri" w:cs="Calibri" w:eastAsia="Calibri" w:hAnsi="Calibri"/>
        <w:color w:val="5260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AE0" w:sz="4" w:space="4"/>
      </w:pBdr>
      <w:jc w:val="right"/>
    </w:pPr>
    <w:r>
      <w:rPr>
        <w:rFonts w:ascii="Calibri" w:cs="Calibri" w:eastAsia="Calibri" w:hAnsi="Calibri"/>
        <w:color w:val="52606D"/>
        <w:sz w:val="16"/>
        <w:szCs w:val="16"/>
      </w:rPr>
      <w:t xml:space="preserve">Citelytics — Engine Cost Calculations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2026-08-27T08:21:13.879Z</dcterms:created>
  <dcterms:modified xsi:type="dcterms:W3CDTF">2026-08-27T08:21:13.880Z</dcterms:modified>
</cp:coreProperties>
</file>

<file path=docProps/custom.xml><?xml version="1.0" encoding="utf-8"?>
<Properties xmlns="http://schemas.openxmlformats.org/officeDocument/2006/custom-properties" xmlns:vt="http://schemas.openxmlformats.org/officeDocument/2006/docPropsVTypes"/>
</file>