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选题一</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default" w:ascii="Times New Roman" w:hAnsi="Times New Roman" w:eastAsia="宋体" w:cs="Times New Roman"/>
          <w:b/>
          <w:bCs/>
          <w:color w:val="2E75B6" w:themeColor="accent1" w:themeShade="BF"/>
          <w:sz w:val="28"/>
          <w:szCs w:val="22"/>
          <w:u w:val="single"/>
          <w:lang w:val="en-US" w:eastAsia="zh-CN"/>
        </w:rPr>
      </w:pPr>
      <w:r>
        <w:rPr>
          <w:rFonts w:hint="default" w:ascii="Times New Roman" w:hAnsi="Times New Roman" w:eastAsia="宋体" w:cs="Times New Roman"/>
          <w:b/>
          <w:bCs/>
          <w:color w:val="2E75B6" w:themeColor="accent1" w:themeShade="BF"/>
          <w:sz w:val="28"/>
          <w:szCs w:val="22"/>
          <w:u w:val="single"/>
          <w:lang w:val="en-US" w:eastAsia="zh-CN"/>
        </w:rPr>
        <w:t>肝脏</w:t>
      </w:r>
      <w:r>
        <w:rPr>
          <w:rFonts w:hint="eastAsia" w:ascii="Times New Roman" w:hAnsi="Times New Roman" w:eastAsia="宋体" w:cs="Times New Roman"/>
          <w:b/>
          <w:bCs/>
          <w:color w:val="2E75B6" w:themeColor="accent1" w:themeShade="BF"/>
          <w:sz w:val="28"/>
          <w:szCs w:val="22"/>
          <w:u w:val="single"/>
          <w:lang w:val="en-US" w:eastAsia="zh-CN"/>
        </w:rPr>
        <w:t>基因</w:t>
      </w:r>
      <w:r>
        <w:rPr>
          <w:rFonts w:hint="default" w:ascii="Times New Roman" w:hAnsi="Times New Roman" w:eastAsia="宋体" w:cs="Times New Roman"/>
          <w:b/>
          <w:bCs/>
          <w:color w:val="2E75B6" w:themeColor="accent1" w:themeShade="BF"/>
          <w:sz w:val="28"/>
          <w:szCs w:val="22"/>
          <w:u w:val="single"/>
          <w:lang w:val="en-US" w:eastAsia="zh-CN"/>
        </w:rPr>
        <w:t>表达谱芯片分析(人)</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HMG-CoA还原酶抑制剂(他汀类药物)的使用与潜在糖尿病危险因素(如肥胖、高血压和血脂异常)患者的糖尿病发病之间有一定的关系。</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GEO数据库： </w:t>
      </w:r>
      <w:r>
        <w:rPr>
          <w:rFonts w:hint="default" w:ascii="Times New Roman" w:hAnsi="Times New Roman" w:cs="Times New Roman"/>
          <w:b w:val="0"/>
          <w:bCs w:val="0"/>
          <w:lang w:val="en-US" w:eastAsia="zh-CN"/>
        </w:rPr>
        <w:fldChar w:fldCharType="begin"/>
      </w:r>
      <w:r>
        <w:rPr>
          <w:rFonts w:hint="default" w:ascii="Times New Roman" w:hAnsi="Times New Roman" w:cs="Times New Roman"/>
          <w:b w:val="0"/>
          <w:bCs w:val="0"/>
          <w:lang w:val="en-US" w:eastAsia="zh-CN"/>
        </w:rPr>
        <w:instrText xml:space="preserve"> HYPERLINK "https://www.ncbi.nlm.nih.gov/geo/query/acc.cgi?acc=GSE130991" </w:instrText>
      </w:r>
      <w:r>
        <w:rPr>
          <w:rFonts w:hint="default" w:ascii="Times New Roman" w:hAnsi="Times New Roman" w:cs="Times New Roman"/>
          <w:b w:val="0"/>
          <w:bCs w:val="0"/>
          <w:lang w:val="en-US" w:eastAsia="zh-CN"/>
        </w:rPr>
        <w:fldChar w:fldCharType="separate"/>
      </w:r>
      <w:r>
        <w:rPr>
          <w:rStyle w:val="11"/>
          <w:rFonts w:hint="default" w:ascii="Times New Roman" w:hAnsi="Times New Roman" w:cs="Times New Roman"/>
          <w:b w:val="0"/>
          <w:bCs w:val="0"/>
          <w:lang w:val="en-US" w:eastAsia="zh-CN"/>
        </w:rPr>
        <w:t>https://www.ncbi.nlm.nih.gov/geo/query/acc.cgi?acc=GSE130991</w:t>
      </w:r>
      <w:r>
        <w:rPr>
          <w:rFonts w:hint="default" w:ascii="Times New Roman" w:hAnsi="Times New Roman" w:cs="Times New Roman"/>
          <w:b w:val="0"/>
          <w:bCs w:val="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部分已经整理好的数据链接：</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"https://jbox.sjtu.edu.cn/l/pn3myf"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https://jbox.sjtu.edu.cn/l/pn3myf</w:t>
      </w:r>
      <w:r>
        <w:rPr>
          <w:rFonts w:hint="eastAsia" w:ascii="Times New Roman" w:hAnsi="Times New Roman" w:cs="Times New Roman"/>
          <w:b w:val="0"/>
          <w:bCs w:val="0"/>
          <w:lang w:val="en-US" w:eastAsia="zh-CN"/>
        </w:rPr>
        <w:fldChar w:fldCharType="end"/>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default" w:ascii="Times New Roman" w:hAnsi="Times New Roman" w:eastAsia="宋体" w:cs="Times New Roman"/>
          <w:b w:val="0"/>
          <w:bCs w:val="0"/>
          <w:sz w:val="22"/>
          <w:szCs w:val="20"/>
          <w:highlight w:val="lightGray"/>
          <w:u w:val="none"/>
          <w:lang w:val="en-US" w:eastAsia="zh-CN"/>
        </w:rPr>
        <w:t>数据介绍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本数据来自910名表现出不同程度肥胖和葡萄糖耐受性的受试者的肝脏组织样本的全基因组转录组谱，研究了他汀类药物治疗与葡萄糖稳态的关系。</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每个受试者采集了一些临床数据，这些数据如下图所示：</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2722880" cy="1701165"/>
            <wp:effectExtent l="9525" t="9525" r="1079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722880" cy="1701165"/>
                    </a:xfrm>
                    <a:prstGeom prst="rect">
                      <a:avLst/>
                    </a:prstGeom>
                    <a:noFill/>
                    <a:ln>
                      <a:solidFill>
                        <a:schemeClr val="bg1">
                          <a:lumMod val="65000"/>
                        </a:schemeClr>
                      </a:solidFill>
                    </a:ln>
                  </pic:spPr>
                </pic:pic>
              </a:graphicData>
            </a:graphic>
          </wp:inline>
        </w:drawing>
      </w:r>
    </w:p>
    <w:p>
      <w:pPr>
        <w:jc w:val="center"/>
        <w:rPr>
          <w:rFonts w:hint="default"/>
          <w:lang w:val="en-US" w:eastAsia="zh-CN"/>
        </w:rPr>
      </w:pPr>
      <w:r>
        <w:rPr>
          <w:rFonts w:hint="default"/>
          <w:lang w:val="en-US" w:eastAsia="zh-CN"/>
        </w:rPr>
        <w:t>图1. 受试者临床数据示例</w:t>
      </w:r>
    </w:p>
    <w:p>
      <w:pPr>
        <w:keepNext w:val="0"/>
        <w:keepLines w:val="0"/>
        <w:pageBreakBefore w:val="0"/>
        <w:widowControl w:val="0"/>
        <w:kinsoku/>
        <w:wordWrap/>
        <w:overflowPunct/>
        <w:topLinePunct w:val="0"/>
        <w:autoSpaceDE/>
        <w:autoSpaceDN/>
        <w:bidi w:val="0"/>
        <w:adjustRightInd/>
        <w:snapToGrid/>
        <w:spacing w:before="240" w:after="240" w:line="360" w:lineRule="auto"/>
        <w:ind w:left="420" w:leftChars="0" w:firstLine="420" w:firstLineChars="0"/>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每个受试者对肝脏组织样本利用</w:t>
      </w:r>
      <w:r>
        <w:rPr>
          <w:rFonts w:hint="default" w:ascii="Times New Roman" w:hAnsi="Times New Roman" w:eastAsia="宋体" w:cs="Times New Roman"/>
          <w:sz w:val="21"/>
          <w:szCs w:val="21"/>
        </w:rPr>
        <w:t>[HTA-2_0] Affymetrix Human Transcriptome Array 2.0</w:t>
      </w:r>
      <w:r>
        <w:rPr>
          <w:rFonts w:hint="default" w:ascii="Times New Roman" w:hAnsi="Times New Roman" w:eastAsia="宋体" w:cs="Times New Roman"/>
          <w:sz w:val="21"/>
          <w:szCs w:val="21"/>
          <w:lang w:val="en-US" w:eastAsia="zh-CN"/>
        </w:rPr>
        <w:t>基因芯片检测了基因的表达信息，该芯片平台的详细信息见：</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"https://www.ncbi.nlm.nih.gov/geo/query/acc.cgi?mode=raw&amp;is_datatable=true&amp;acc=GPL20265&amp;id=7661&amp;db=GeoDb_blob128" </w:instrText>
      </w:r>
      <w:r>
        <w:rPr>
          <w:rFonts w:hint="default" w:ascii="Times New Roman" w:hAnsi="Times New Roman" w:eastAsia="宋体" w:cs="Times New Roman"/>
          <w:sz w:val="21"/>
          <w:szCs w:val="21"/>
          <w:lang w:val="en-US" w:eastAsia="zh-CN"/>
        </w:rPr>
        <w:fldChar w:fldCharType="separate"/>
      </w:r>
      <w:r>
        <w:rPr>
          <w:rStyle w:val="11"/>
          <w:rFonts w:hint="default" w:ascii="Times New Roman" w:hAnsi="Times New Roman" w:eastAsia="宋体" w:cs="Times New Roman"/>
          <w:sz w:val="21"/>
          <w:szCs w:val="21"/>
          <w:lang w:val="en-US" w:eastAsia="zh-CN"/>
        </w:rPr>
        <w:t>链接</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360" w:lineRule="auto"/>
        <w:ind w:left="420" w:leftChars="0" w:firstLine="420" w:firstLineChars="0"/>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对该数据的更多信息请阅读</w:t>
      </w:r>
      <w:r>
        <w:rPr>
          <w:rFonts w:hint="default" w:ascii="Times New Roman" w:hAnsi="Times New Roman" w:eastAsia="宋体" w:cs="Times New Roman"/>
          <w:b w:val="0"/>
          <w:bCs w:val="0"/>
          <w:sz w:val="21"/>
          <w:szCs w:val="21"/>
          <w:u w:val="single"/>
          <w:lang w:val="en-US" w:eastAsia="zh-CN"/>
        </w:rPr>
        <w:t>参考文献</w:t>
      </w:r>
      <w:r>
        <w:rPr>
          <w:rFonts w:hint="default"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"https://bmcmedgenomics.biomedcentral.com/articles/10.1186/s12920-019-0536-1" </w:instrText>
      </w:r>
      <w:r>
        <w:rPr>
          <w:rFonts w:hint="default" w:ascii="Times New Roman" w:hAnsi="Times New Roman" w:eastAsia="宋体" w:cs="Times New Roman"/>
          <w:b w:val="0"/>
          <w:bCs w:val="0"/>
          <w:sz w:val="21"/>
          <w:szCs w:val="21"/>
          <w:lang w:val="en-US" w:eastAsia="zh-CN"/>
        </w:rPr>
        <w:fldChar w:fldCharType="separate"/>
      </w:r>
      <w:r>
        <w:rPr>
          <w:rStyle w:val="11"/>
          <w:rFonts w:hint="default" w:ascii="Times New Roman" w:hAnsi="Times New Roman" w:eastAsia="宋体" w:cs="Times New Roman"/>
          <w:b w:val="0"/>
          <w:bCs w:val="0"/>
          <w:sz w:val="21"/>
          <w:szCs w:val="21"/>
          <w:lang w:val="en-US" w:eastAsia="zh-CN"/>
        </w:rPr>
        <w:t>https://bmcmedgenomics.biomedcentral.com/articles/10.1186/s12920-019-0536-1</w:t>
      </w:r>
      <w:r>
        <w:rPr>
          <w:rFonts w:hint="default" w:ascii="Times New Roman" w:hAnsi="Times New Roman" w:eastAsia="宋体" w:cs="Times New Roman"/>
          <w:b w:val="0"/>
          <w:bCs w:val="0"/>
          <w:sz w:val="21"/>
          <w:szCs w:val="21"/>
          <w:lang w:val="en-US" w:eastAsia="zh-CN"/>
        </w:rPr>
        <w:fldChar w:fldCharType="end"/>
      </w:r>
      <w:r>
        <w:rPr>
          <w:rFonts w:hint="default" w:ascii="Times New Roman" w:hAnsi="Times New Roman" w:eastAsia="宋体" w:cs="Times New Roman"/>
          <w:sz w:val="21"/>
          <w:szCs w:val="21"/>
          <w:lang w:val="en-US" w:eastAsia="zh-CN"/>
        </w:rPr>
        <w:t xml:space="preserve">  </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numPr>
          <w:ilvl w:val="0"/>
          <w:numId w:val="1"/>
        </w:numPr>
        <w:spacing w:line="360" w:lineRule="auto"/>
        <w:rPr>
          <w:rFonts w:hint="default" w:ascii="Times New Roman" w:hAnsi="Times New Roman" w:cs="Times New Roman"/>
          <w:b w:val="0"/>
          <w:bCs w:val="0"/>
          <w:u w:val="none"/>
          <w:lang w:val="en-US" w:eastAsia="zh-CN"/>
        </w:rPr>
      </w:pPr>
      <w:r>
        <w:rPr>
          <w:rFonts w:hint="eastAsia"/>
          <w:lang w:val="en-US" w:eastAsia="zh-CN"/>
        </w:rPr>
        <w:t>如果仅考虑临床因素，试用其他的临床变量来对血糖水平进行分类预测建模研究（分类标准为</w:t>
      </w:r>
      <w:r>
        <w:rPr>
          <w:rFonts w:hint="default" w:ascii="Times New Roman" w:hAnsi="Times New Roman" w:cs="Times New Roman"/>
          <w:lang w:val="en-US" w:eastAsia="zh-CN"/>
        </w:rPr>
        <w:t>：</w:t>
      </w:r>
      <w:r>
        <w:rPr>
          <w:rFonts w:hint="default" w:ascii="Times New Roman" w:hAnsi="Times New Roman" w:eastAsia="宋体" w:cs="Times New Roman"/>
          <w:sz w:val="24"/>
          <w:szCs w:val="24"/>
        </w:rPr>
        <w:t>fasting glucose&lt;=5.5</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5.6-6.9</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&gt;=7.0</w:t>
      </w:r>
      <w:r>
        <w:rPr>
          <w:rFonts w:hint="eastAsia"/>
          <w:lang w:val="en-US" w:eastAsia="zh-CN"/>
        </w:rPr>
        <w:t>），并研究下空腹血糖水平与这些临床变量的关系（建模过程中的异常值、缺失值酌情处理）。</w:t>
      </w:r>
    </w:p>
    <w:p>
      <w:pPr>
        <w:numPr>
          <w:ilvl w:val="0"/>
          <w:numId w:val="1"/>
        </w:numPr>
        <w:spacing w:line="360" w:lineRule="auto"/>
        <w:rPr>
          <w:rFonts w:hint="default" w:ascii="Times New Roman" w:hAnsi="Times New Roman" w:cs="Times New Roman"/>
          <w:b w:val="0"/>
          <w:bCs w:val="0"/>
          <w:u w:val="none"/>
          <w:lang w:val="en-US" w:eastAsia="zh-CN"/>
        </w:rPr>
      </w:pPr>
      <w:r>
        <w:rPr>
          <w:rFonts w:hint="eastAsia"/>
          <w:lang w:val="en-US" w:eastAsia="zh-CN"/>
        </w:rPr>
        <w:t>比较三组之间的基因表达的差异，哪些基因的差异表达会潜在的造成空腹血糖水平的升高？你认为是什么原因？提出你的见解并从生物信息的角度来给与科学的解析。（差异表达基因给了参考的表格，你可以使用这个参考列表也可以自己做一遍差异表达分析的过程）</w:t>
      </w:r>
    </w:p>
    <w:p>
      <w:pPr>
        <w:numPr>
          <w:ilvl w:val="0"/>
          <w:numId w:val="1"/>
        </w:numPr>
        <w:spacing w:line="360" w:lineRule="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挑选你认为有代表性的基因，建立分类预测模型，预测受试者的空腹血糖水平（高、中、低）。</w:t>
      </w:r>
    </w:p>
    <w:p>
      <w:pPr>
        <w:numPr>
          <w:ilvl w:val="0"/>
          <w:numId w:val="1"/>
        </w:numPr>
        <w:spacing w:line="360" w:lineRule="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对问题3，可否建立回归模型预测受试者的空腹血糖值？</w:t>
      </w:r>
    </w:p>
    <w:p>
      <w:pPr>
        <w:numPr>
          <w:ilvl w:val="0"/>
          <w:numId w:val="1"/>
        </w:numPr>
        <w:spacing w:line="360" w:lineRule="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将临床变量与你挑选的基因一起建立分类预测模型，该模型与前面的两个模型进行比较，提出科学问题以及解释。</w:t>
      </w:r>
    </w:p>
    <w:p>
      <w:pPr>
        <w:widowControl w:val="0"/>
        <w:numPr>
          <w:ilvl w:val="0"/>
          <w:numId w:val="0"/>
        </w:numPr>
        <w:spacing w:line="360" w:lineRule="auto"/>
        <w:jc w:val="both"/>
        <w:rPr>
          <w:rFonts w:hint="default" w:ascii="Times New Roman" w:hAnsi="Times New Roman" w:cs="Times New Roman"/>
          <w:b w:val="0"/>
          <w:bCs w:val="0"/>
          <w:u w:val="none"/>
          <w:lang w:val="en-US" w:eastAsia="zh-CN"/>
        </w:rPr>
      </w:pPr>
    </w:p>
    <w:p>
      <w:pPr>
        <w:keepNext w:val="0"/>
        <w:keepLines w:val="0"/>
        <w:pageBreakBefore w:val="0"/>
        <w:widowControl w:val="0"/>
        <w:kinsoku/>
        <w:wordWrap/>
        <w:overflowPunct/>
        <w:topLinePunct w:val="0"/>
        <w:autoSpaceDE/>
        <w:autoSpaceDN/>
        <w:bidi w:val="0"/>
        <w:adjustRightInd/>
        <w:snapToGrid/>
        <w:spacing w:before="240" w:after="240" w:line="360" w:lineRule="auto"/>
        <w:jc w:val="left"/>
        <w:textAlignment w:val="auto"/>
        <w:rPr>
          <w:rFonts w:hint="eastAsia" w:ascii="Times New Roman" w:hAnsi="Times New Roman" w:eastAsia="宋体" w:cs="Times New Roman"/>
          <w:b w:val="0"/>
          <w:bCs w:val="0"/>
          <w:kern w:val="2"/>
          <w:sz w:val="22"/>
          <w:szCs w:val="20"/>
          <w:highlight w:val="lightGray"/>
          <w:u w:val="none"/>
          <w:lang w:val="en-US" w:eastAsia="zh-CN" w:bidi="ar-SA"/>
        </w:rPr>
      </w:pPr>
      <w:r>
        <w:rPr>
          <w:rFonts w:hint="eastAsia" w:ascii="Times New Roman" w:hAnsi="Times New Roman" w:eastAsia="宋体" w:cs="Times New Roman"/>
          <w:b w:val="0"/>
          <w:bCs w:val="0"/>
          <w:kern w:val="2"/>
          <w:sz w:val="22"/>
          <w:szCs w:val="20"/>
          <w:highlight w:val="lightGray"/>
          <w:u w:val="none"/>
          <w:lang w:val="en-US" w:eastAsia="zh-CN" w:bidi="ar-SA"/>
        </w:rPr>
        <w:t>其他参考信息:</w:t>
      </w:r>
    </w:p>
    <w:p>
      <w:pPr>
        <w:keepNext w:val="0"/>
        <w:keepLines w:val="0"/>
        <w:pageBreakBefore w:val="0"/>
        <w:widowControl w:val="0"/>
        <w:numPr>
          <w:ilvl w:val="0"/>
          <w:numId w:val="2"/>
        </w:numPr>
        <w:kinsoku/>
        <w:wordWrap/>
        <w:overflowPunct/>
        <w:topLinePunct w:val="0"/>
        <w:autoSpaceDE/>
        <w:autoSpaceDN/>
        <w:bidi w:val="0"/>
        <w:adjustRightInd/>
        <w:snapToGrid/>
        <w:spacing w:before="240" w:after="240" w:line="360" w:lineRule="auto"/>
        <w:jc w:val="left"/>
        <w:textAlignment w:val="auto"/>
        <w:rPr>
          <w:rFonts w:hint="default" w:ascii="Times New Roman" w:hAnsi="Times New Roman" w:cs="Times New Roman"/>
          <w:b w:val="0"/>
          <w:bCs w:val="0"/>
          <w:color w:val="auto"/>
          <w:u w:val="none"/>
          <w:shd w:val="clear" w:color="auto" w:fill="auto"/>
          <w:lang w:val="en-US" w:eastAsia="zh-CN"/>
        </w:rPr>
      </w:pPr>
      <w:r>
        <w:rPr>
          <w:rFonts w:hint="eastAsia" w:ascii="Times New Roman" w:hAnsi="Times New Roman" w:cs="Times New Roman"/>
          <w:b w:val="0"/>
          <w:bCs w:val="0"/>
          <w:u w:val="none"/>
          <w:lang w:val="en-US" w:eastAsia="zh-CN"/>
        </w:rPr>
        <w:t>下载GEO表达谱数据的expression matrix文件中包含了所有样本的采集的临床信息信息，建议使用grep等命令提取</w:t>
      </w:r>
      <w:r>
        <w:rPr>
          <w:rFonts w:hint="eastAsia" w:ascii="Times New Roman" w:hAnsi="Times New Roman" w:cs="Times New Roman"/>
          <w:b w:val="0"/>
          <w:bCs w:val="0"/>
          <w:u w:val="none"/>
          <w:shd w:val="clear" w:color="FFFFFF" w:fill="D9D9D9"/>
          <w:lang w:val="en-US" w:eastAsia="zh-CN"/>
        </w:rPr>
        <w:t>grep '!' GSE130991_series_matrix.txt,</w:t>
      </w:r>
      <w:r>
        <w:rPr>
          <w:rFonts w:hint="eastAsia" w:ascii="Times New Roman" w:hAnsi="Times New Roman" w:cs="Times New Roman"/>
          <w:b w:val="0"/>
          <w:bCs w:val="0"/>
          <w:color w:val="auto"/>
          <w:u w:val="none"/>
          <w:shd w:val="clear" w:color="auto" w:fill="auto"/>
          <w:lang w:val="en-US" w:eastAsia="zh-CN"/>
        </w:rPr>
        <w:t>对提取后的数据进行清洗、整理。</w:t>
      </w:r>
    </w:p>
    <w:p>
      <w:pPr>
        <w:keepNext w:val="0"/>
        <w:keepLines w:val="0"/>
        <w:pageBreakBefore w:val="0"/>
        <w:widowControl w:val="0"/>
        <w:numPr>
          <w:ilvl w:val="0"/>
          <w:numId w:val="2"/>
        </w:numPr>
        <w:kinsoku/>
        <w:wordWrap/>
        <w:overflowPunct/>
        <w:topLinePunct w:val="0"/>
        <w:autoSpaceDE/>
        <w:autoSpaceDN/>
        <w:bidi w:val="0"/>
        <w:adjustRightInd/>
        <w:snapToGrid/>
        <w:spacing w:before="240" w:after="240" w:line="360" w:lineRule="auto"/>
        <w:jc w:val="left"/>
        <w:textAlignment w:val="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直接下载的表达谱矩阵第一列为探针的名字，需要自己根据芯片平台的注释信息将其转换为对应的基因的名字，芯片平台的注释文件有一些house keeping的control探针，分析过程中请忽略。</w:t>
      </w:r>
    </w:p>
    <w:p>
      <w:pPr>
        <w:keepNext w:val="0"/>
        <w:keepLines w:val="0"/>
        <w:pageBreakBefore w:val="0"/>
        <w:widowControl w:val="0"/>
        <w:kinsoku/>
        <w:wordWrap/>
        <w:overflowPunct/>
        <w:topLinePunct w:val="0"/>
        <w:autoSpaceDE/>
        <w:autoSpaceDN/>
        <w:bidi w:val="0"/>
        <w:adjustRightInd/>
        <w:snapToGrid/>
        <w:spacing w:before="240" w:after="240" w:line="360" w:lineRule="auto"/>
        <w:jc w:val="left"/>
        <w:textAlignment w:val="auto"/>
        <w:rPr>
          <w:rFonts w:hint="default" w:ascii="Times New Roman" w:hAnsi="Times New Roman" w:cs="Times New Roman"/>
          <w:b w:val="0"/>
          <w:bCs w:val="0"/>
          <w:u w:val="none"/>
          <w:lang w:val="en-US" w:eastAsia="zh-CN"/>
        </w:rPr>
      </w:pPr>
    </w:p>
    <w:p>
      <w:pPr>
        <w:rPr>
          <w:rFonts w:hint="default" w:ascii="Times New Roman" w:hAnsi="Times New Roman" w:cs="Times New Roman"/>
          <w:b w:val="0"/>
          <w:bCs w:val="0"/>
          <w:u w:val="none"/>
          <w:lang w:val="en-US" w:eastAsia="zh-CN"/>
        </w:rPr>
      </w:pPr>
      <w:r>
        <w:rPr>
          <w:rFonts w:hint="default" w:ascii="Times New Roman" w:hAnsi="Times New Roman" w:cs="Times New Roman"/>
          <w:b w:val="0"/>
          <w:bCs w:val="0"/>
          <w:u w:val="none"/>
          <w:lang w:val="en-US" w:eastAsia="zh-CN"/>
        </w:rPr>
        <w:br w:type="page"/>
      </w:r>
    </w:p>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选题二</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default" w:ascii="Times New Roman" w:hAnsi="Times New Roman" w:eastAsia="宋体" w:cs="Times New Roman"/>
          <w:b/>
          <w:bCs/>
          <w:color w:val="2E75B6" w:themeColor="accent1" w:themeShade="BF"/>
          <w:sz w:val="28"/>
          <w:szCs w:val="22"/>
          <w:u w:val="single"/>
          <w:lang w:val="en-US" w:eastAsia="zh-CN"/>
        </w:rPr>
      </w:pPr>
      <w:r>
        <w:rPr>
          <w:rFonts w:hint="default" w:ascii="Times New Roman" w:hAnsi="Times New Roman" w:eastAsia="宋体" w:cs="Times New Roman"/>
          <w:b/>
          <w:bCs/>
          <w:color w:val="2E75B6" w:themeColor="accent1" w:themeShade="BF"/>
          <w:sz w:val="28"/>
          <w:szCs w:val="22"/>
          <w:u w:val="single"/>
          <w:lang w:val="en-US" w:eastAsia="zh-CN"/>
        </w:rPr>
        <w:t>类风湿关节炎(RA)相关</w:t>
      </w:r>
      <w:r>
        <w:rPr>
          <w:rFonts w:hint="eastAsia" w:ascii="Times New Roman" w:hAnsi="Times New Roman" w:eastAsia="宋体" w:cs="Times New Roman"/>
          <w:b/>
          <w:bCs/>
          <w:color w:val="2E75B6" w:themeColor="accent1" w:themeShade="BF"/>
          <w:sz w:val="28"/>
          <w:szCs w:val="22"/>
          <w:u w:val="single"/>
          <w:lang w:val="en-US" w:eastAsia="zh-CN"/>
        </w:rPr>
        <w:t>手部</w:t>
      </w:r>
      <w:r>
        <w:rPr>
          <w:rFonts w:hint="default" w:ascii="Times New Roman" w:hAnsi="Times New Roman" w:eastAsia="宋体" w:cs="Times New Roman"/>
          <w:b/>
          <w:bCs/>
          <w:color w:val="2E75B6" w:themeColor="accent1" w:themeShade="BF"/>
          <w:sz w:val="28"/>
          <w:szCs w:val="22"/>
          <w:u w:val="single"/>
          <w:lang w:val="en-US" w:eastAsia="zh-CN"/>
        </w:rPr>
        <w:t>关节损害的程度</w:t>
      </w:r>
      <w:r>
        <w:rPr>
          <w:rFonts w:hint="eastAsia" w:ascii="Times New Roman" w:hAnsi="Times New Roman" w:eastAsia="宋体" w:cs="Times New Roman"/>
          <w:b/>
          <w:bCs/>
          <w:color w:val="2E75B6" w:themeColor="accent1" w:themeShade="BF"/>
          <w:sz w:val="28"/>
          <w:szCs w:val="22"/>
          <w:u w:val="single"/>
          <w:lang w:val="en-US" w:eastAsia="zh-CN"/>
        </w:rPr>
        <w:t>评估</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类风湿性关节炎会累及关节，目前的量化办法是从放射图中的手、手腕和脚来计算，但是这种计算方法比较耗时、昂贵且有主观性</w:t>
      </w:r>
      <w:r>
        <w:rPr>
          <w:rFonts w:hint="default" w:ascii="Times New Roman" w:hAnsi="Times New Roman" w:cs="Times New Roman"/>
          <w:b w:val="0"/>
          <w:bCs w:val="0"/>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pPr>
      <w:r>
        <w:drawing>
          <wp:inline distT="0" distB="0" distL="114300" distR="114300">
            <wp:extent cx="4991100" cy="4581525"/>
            <wp:effectExtent l="0" t="0" r="0"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4991100" cy="4581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default" w:eastAsiaTheme="minorEastAsia"/>
          <w:lang w:val="en-US" w:eastAsia="zh-CN"/>
        </w:rPr>
      </w:pPr>
      <w:r>
        <w:rPr>
          <w:rFonts w:hint="eastAsia"/>
          <w:lang w:val="en-US" w:eastAsia="zh-CN"/>
        </w:rPr>
        <w:t>图2 风湿性关节炎患者手部关节受累示意（fusion and narrow）</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widowControl/>
        <w:suppressLineNumbers w:val="0"/>
        <w:spacing w:line="600" w:lineRule="atLeast"/>
        <w:jc w:val="left"/>
        <w:textAlignment w:val="center"/>
        <w:rPr>
          <w:rStyle w:val="11"/>
          <w:rFonts w:hint="eastAsia" w:ascii="微软雅黑" w:hAnsi="微软雅黑" w:eastAsia="微软雅黑" w:cs="微软雅黑"/>
          <w:vanish/>
          <w:color w:val="666666"/>
          <w:sz w:val="21"/>
          <w:szCs w:val="21"/>
        </w:rPr>
      </w:pPr>
      <w:r>
        <w:rPr>
          <w:rFonts w:hint="eastAsia" w:ascii="Times New Roman" w:hAnsi="Times New Roman" w:cs="Times New Roman"/>
          <w:b w:val="0"/>
          <w:bCs w:val="0"/>
          <w:lang w:val="en-US" w:eastAsia="zh-CN"/>
        </w:rPr>
        <w:t>CLEAR知识库和TETRAD研究。数据链接：</w:t>
      </w:r>
      <w:r>
        <w:rPr>
          <w:rFonts w:hint="eastAsia" w:ascii="微软雅黑" w:hAnsi="微软雅黑" w:eastAsia="微软雅黑" w:cs="微软雅黑"/>
          <w:color w:val="666666"/>
          <w:sz w:val="21"/>
          <w:szCs w:val="21"/>
          <w:u w:val="none"/>
        </w:rPr>
        <w:fldChar w:fldCharType="begin"/>
      </w:r>
      <w:r>
        <w:rPr>
          <w:rFonts w:hint="eastAsia" w:ascii="微软雅黑" w:hAnsi="微软雅黑" w:eastAsia="微软雅黑" w:cs="微软雅黑"/>
          <w:color w:val="666666"/>
          <w:sz w:val="21"/>
          <w:szCs w:val="21"/>
          <w:u w:val="none"/>
        </w:rPr>
        <w:instrText xml:space="preserve"> HYPERLINK "https://jbox.sjtu.edu.cn/l/0HRRQk" \o "E2-images.tar.gz" </w:instrText>
      </w:r>
      <w:r>
        <w:rPr>
          <w:rFonts w:hint="eastAsia" w:ascii="微软雅黑" w:hAnsi="微软雅黑" w:eastAsia="微软雅黑" w:cs="微软雅黑"/>
          <w:color w:val="666666"/>
          <w:sz w:val="21"/>
          <w:szCs w:val="21"/>
          <w:u w:val="none"/>
        </w:rPr>
        <w:fldChar w:fldCharType="separate"/>
      </w:r>
      <w:r>
        <w:rPr>
          <w:rStyle w:val="11"/>
          <w:rFonts w:hint="eastAsia" w:ascii="微软雅黑" w:hAnsi="微软雅黑" w:eastAsia="微软雅黑" w:cs="微软雅黑"/>
          <w:color w:val="666666"/>
          <w:sz w:val="21"/>
          <w:szCs w:val="21"/>
        </w:rPr>
        <w:t xml:space="preserve">E2-images.tar.gz </w:t>
      </w:r>
      <w:r>
        <w:rPr>
          <w:rStyle w:val="11"/>
          <w:rFonts w:hint="eastAsia" w:ascii="微软雅黑" w:hAnsi="微软雅黑" w:eastAsia="微软雅黑" w:cs="微软雅黑"/>
          <w:vanish/>
          <w:color w:val="666666"/>
          <w:sz w:val="21"/>
          <w:szCs w:val="21"/>
        </w:rPr>
        <w:br w:type="textWrapping"/>
      </w:r>
      <w:r>
        <w:rPr>
          <w:rStyle w:val="11"/>
          <w:rFonts w:hint="eastAsia" w:ascii="微软雅黑" w:hAnsi="微软雅黑" w:eastAsia="微软雅黑" w:cs="微软雅黑"/>
          <w:vanish/>
          <w:color w:val="666666"/>
          <w:sz w:val="21"/>
          <w:szCs w:val="21"/>
        </w:rPr>
        <w:t>  https://jbox.sjtu.edu.cn/l/H1NwMU</w:t>
      </w:r>
    </w:p>
    <w:p>
      <w:pPr>
        <w:keepNext w:val="0"/>
        <w:keepLines w:val="0"/>
        <w:pageBreakBefore w:val="0"/>
        <w:widowControl w:val="0"/>
        <w:kinsoku/>
        <w:wordWrap/>
        <w:overflowPunct/>
        <w:topLinePunct w:val="0"/>
        <w:autoSpaceDE/>
        <w:autoSpaceDN/>
        <w:bidi w:val="0"/>
        <w:adjustRightInd/>
        <w:snapToGrid/>
        <w:spacing w:before="240" w:after="240" w:line="360" w:lineRule="auto"/>
        <w:jc w:val="left"/>
        <w:textAlignment w:val="auto"/>
        <w:rPr>
          <w:rFonts w:hint="default" w:ascii="Times New Roman" w:hAnsi="Times New Roman" w:cs="Times New Roman"/>
          <w:b w:val="0"/>
          <w:bCs w:val="0"/>
          <w:lang w:val="en-US" w:eastAsia="zh-CN"/>
        </w:rPr>
      </w:pPr>
      <w:r>
        <w:rPr>
          <w:rFonts w:hint="eastAsia" w:ascii="微软雅黑" w:hAnsi="微软雅黑" w:eastAsia="微软雅黑" w:cs="微软雅黑"/>
          <w:color w:val="666666"/>
          <w:sz w:val="21"/>
          <w:szCs w:val="21"/>
          <w:u w:val="none"/>
        </w:rPr>
        <w:fldChar w:fldCharType="end"/>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default" w:ascii="Times New Roman" w:hAnsi="Times New Roman" w:eastAsia="宋体" w:cs="Times New Roman"/>
          <w:b w:val="0"/>
          <w:bCs w:val="0"/>
          <w:sz w:val="22"/>
          <w:szCs w:val="20"/>
          <w:highlight w:val="lightGray"/>
          <w:u w:val="none"/>
          <w:lang w:val="en-US" w:eastAsia="zh-CN"/>
        </w:rPr>
        <w:t>数据介绍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本数据来自</w:t>
      </w:r>
      <w:r>
        <w:rPr>
          <w:rFonts w:hint="eastAsia" w:ascii="Times New Roman" w:hAnsi="Times New Roman" w:eastAsia="宋体" w:cs="Times New Roman"/>
          <w:b w:val="0"/>
          <w:bCs w:val="0"/>
          <w:sz w:val="21"/>
          <w:szCs w:val="21"/>
          <w:lang w:val="en-US" w:eastAsia="zh-CN"/>
        </w:rPr>
        <w:t>368</w:t>
      </w:r>
      <w:r>
        <w:rPr>
          <w:rFonts w:hint="default" w:ascii="Times New Roman" w:hAnsi="Times New Roman" w:eastAsia="宋体" w:cs="Times New Roman"/>
          <w:b w:val="0"/>
          <w:bCs w:val="0"/>
          <w:sz w:val="21"/>
          <w:szCs w:val="21"/>
          <w:lang w:val="en-US" w:eastAsia="zh-CN"/>
        </w:rPr>
        <w:t>名表现出不同程度</w:t>
      </w:r>
      <w:r>
        <w:rPr>
          <w:rFonts w:hint="eastAsia" w:ascii="Times New Roman" w:hAnsi="Times New Roman" w:eastAsia="宋体" w:cs="Times New Roman"/>
          <w:b w:val="0"/>
          <w:bCs w:val="0"/>
          <w:sz w:val="21"/>
          <w:szCs w:val="21"/>
          <w:lang w:val="en-US" w:eastAsia="zh-CN"/>
        </w:rPr>
        <w:t>手部关节损伤的类风湿性关节炎患者的放射图像，共728张图，有的图来自患者左右两只手，有的仅有一只，为简化项目，将两只手视为两个样本，本次研究中已经将每个关节受累程度的打分值进行了加和（label.txt的第二列为加和值）。</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drawing>
          <wp:inline distT="0" distB="0" distL="114300" distR="114300">
            <wp:extent cx="3491865" cy="4892675"/>
            <wp:effectExtent l="0" t="0" r="13335" b="3175"/>
            <wp:docPr id="13" name="图片 13" descr="UAB035-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AB035-LH"/>
                    <pic:cNvPicPr>
                      <a:picLocks noChangeAspect="1"/>
                    </pic:cNvPicPr>
                  </pic:nvPicPr>
                  <pic:blipFill>
                    <a:blip r:embed="rId7"/>
                    <a:stretch>
                      <a:fillRect/>
                    </a:stretch>
                  </pic:blipFill>
                  <pic:spPr>
                    <a:xfrm>
                      <a:off x="0" y="0"/>
                      <a:ext cx="3491865" cy="4892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图3 本数据采集的手指关节部位指示图</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numPr>
          <w:ilvl w:val="0"/>
          <w:numId w:val="3"/>
        </w:numPr>
        <w:spacing w:line="360" w:lineRule="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试建立分类模型，探讨利用深度卷积神经网络对手关节受累与否的预测效果</w:t>
      </w:r>
    </w:p>
    <w:p>
      <w:pPr>
        <w:numPr>
          <w:ilvl w:val="1"/>
          <w:numId w:val="3"/>
        </w:numPr>
        <w:spacing w:line="360" w:lineRule="auto"/>
        <w:ind w:left="840" w:leftChars="0" w:hanging="420" w:firstLineChars="0"/>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用所有关节受累打分值加和作为评估手关节是否受累的指标</w:t>
      </w:r>
    </w:p>
    <w:p>
      <w:pPr>
        <w:numPr>
          <w:ilvl w:val="0"/>
          <w:numId w:val="3"/>
        </w:numPr>
        <w:spacing w:line="360" w:lineRule="auto"/>
        <w:ind w:left="0" w:leftChars="0" w:firstLine="0" w:firstLineChars="0"/>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根据1获得的模型讨论下该模型是否合适？请探讨研究是否可以用深度卷积神经网络预测某个关节是否受累？</w:t>
      </w:r>
    </w:p>
    <w:p>
      <w:pPr>
        <w:numPr>
          <w:ilvl w:val="0"/>
          <w:numId w:val="3"/>
        </w:numPr>
        <w:spacing w:line="360" w:lineRule="auto"/>
        <w:ind w:left="0" w:leftChars="0" w:firstLine="0" w:firstLineChars="0"/>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请尝试对该数据集做拓展研究</w:t>
      </w:r>
    </w:p>
    <w:p>
      <w:pPr>
        <w:rPr>
          <w:rFonts w:hint="default" w:ascii="Times New Roman" w:hAnsi="Times New Roman" w:cs="Times New Roman"/>
          <w:b w:val="0"/>
          <w:bCs w:val="0"/>
          <w:u w:val="none"/>
          <w:lang w:val="en-US" w:eastAsia="zh-CN"/>
        </w:rPr>
      </w:pPr>
      <w:r>
        <w:rPr>
          <w:rFonts w:hint="default" w:ascii="Times New Roman" w:hAnsi="Times New Roman" w:cs="Times New Roman"/>
          <w:b w:val="0"/>
          <w:bCs w:val="0"/>
          <w:u w:val="none"/>
          <w:lang w:val="en-US" w:eastAsia="zh-CN"/>
        </w:rPr>
        <w:br w:type="page"/>
      </w:r>
    </w:p>
    <w:p>
      <w:pPr>
        <w:widowControl w:val="0"/>
        <w:numPr>
          <w:ilvl w:val="0"/>
          <w:numId w:val="0"/>
        </w:numPr>
        <w:spacing w:line="360" w:lineRule="auto"/>
        <w:jc w:val="both"/>
        <w:rPr>
          <w:rFonts w:hint="default" w:ascii="Times New Roman" w:hAnsi="Times New Roman" w:cs="Times New Roman"/>
          <w:b w:val="0"/>
          <w:bCs w:val="0"/>
          <w:u w:val="none"/>
          <w:lang w:val="en-US" w:eastAsia="zh-CN"/>
        </w:rPr>
      </w:pPr>
    </w:p>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选题三</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default" w:ascii="Times New Roman" w:hAnsi="Times New Roman" w:eastAsia="宋体" w:cs="Times New Roman"/>
          <w:b/>
          <w:bCs/>
          <w:color w:val="2E75B6" w:themeColor="accent1" w:themeShade="BF"/>
          <w:sz w:val="28"/>
          <w:szCs w:val="22"/>
          <w:u w:val="single"/>
          <w:lang w:val="en-US" w:eastAsia="zh-CN"/>
        </w:rPr>
      </w:pPr>
      <w:r>
        <w:rPr>
          <w:rFonts w:hint="eastAsia" w:ascii="Times New Roman" w:hAnsi="Times New Roman" w:eastAsia="宋体" w:cs="Times New Roman"/>
          <w:b/>
          <w:bCs/>
          <w:color w:val="2E75B6" w:themeColor="accent1" w:themeShade="BF"/>
          <w:sz w:val="28"/>
          <w:szCs w:val="22"/>
          <w:u w:val="single"/>
          <w:lang w:val="en-US" w:eastAsia="zh-CN"/>
        </w:rPr>
        <w:t>高通量显微镜图像中的蛋白质亚细胞定位评估</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绿色荧光蛋白GFP是实验室常用的蛋白标记物，通过显微镜观察荧光染色物的位置可以获知被标记蛋白的亚细胞定位。更多信息</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"https://wenku.baidu.com/view/b67b896202768e9951e73882.html"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w:t>
      </w:r>
      <w:r>
        <w:rPr>
          <w:rFonts w:hint="eastAsia" w:ascii="Times New Roman" w:hAnsi="Times New Roman" w:cs="Times New Roman"/>
          <w:b w:val="0"/>
          <w:bCs w:val="0"/>
          <w:lang w:val="en-US" w:eastAsia="zh-CN"/>
        </w:rPr>
        <w:fldChar w:fldCharType="end"/>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数据下载链接：</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"https://jbox.sjtu.edu.cn/l/SHwJtx"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https://jbox.sjtu.edu.cn/l/SHwJtx</w:t>
      </w:r>
      <w:r>
        <w:rPr>
          <w:rFonts w:hint="eastAsia" w:ascii="Times New Roman" w:hAnsi="Times New Roman" w:cs="Times New Roman"/>
          <w:b w:val="0"/>
          <w:bCs w:val="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每张显微图中仅有一个细胞，图中荧光蛋白的亚细胞定位标签从0~11分别代表：</w:t>
      </w:r>
    </w:p>
    <w:tbl>
      <w:tblPr>
        <w:tblStyle w:val="8"/>
        <w:tblW w:w="3479" w:type="dxa"/>
        <w:jc w:val="center"/>
        <w:shd w:val="clear" w:color="auto" w:fill="auto"/>
        <w:tblLayout w:type="autofit"/>
        <w:tblCellMar>
          <w:top w:w="0" w:type="dxa"/>
          <w:left w:w="0" w:type="dxa"/>
          <w:bottom w:w="0" w:type="dxa"/>
          <w:right w:w="0" w:type="dxa"/>
        </w:tblCellMar>
      </w:tblPr>
      <w:tblGrid>
        <w:gridCol w:w="2395"/>
        <w:gridCol w:w="1084"/>
      </w:tblGrid>
      <w:tr>
        <w:tblPrEx>
          <w:shd w:val="clear" w:color="auto" w:fill="auto"/>
          <w:tblCellMar>
            <w:top w:w="0" w:type="dxa"/>
            <w:left w:w="0" w:type="dxa"/>
            <w:bottom w:w="0" w:type="dxa"/>
            <w:right w:w="0" w:type="dxa"/>
          </w:tblCellMar>
        </w:tblPrEx>
        <w:trPr>
          <w:trHeight w:val="309" w:hRule="atLeast"/>
          <w:jc w:val="center"/>
        </w:trPr>
        <w:tc>
          <w:tcPr>
            <w:tcW w:w="2395" w:type="dxa"/>
            <w:tcBorders>
              <w:top w:val="single" w:color="000000" w:sz="4" w:space="0"/>
              <w:left w:val="single" w:color="000000" w:sz="4" w:space="0"/>
              <w:bottom w:val="single" w:color="000000" w:sz="4" w:space="0"/>
              <w:right w:val="single" w:color="000000" w:sz="4" w:space="0"/>
            </w:tcBorders>
            <w:shd w:val="clear" w:color="auto" w:fill="E7E6E6"/>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b/>
                <w:i w:val="0"/>
                <w:color w:val="000000"/>
                <w:sz w:val="18"/>
                <w:szCs w:val="18"/>
                <w:u w:val="single"/>
              </w:rPr>
            </w:pPr>
            <w:r>
              <w:rPr>
                <w:rFonts w:hint="default" w:ascii="Times New Roman" w:hAnsi="Times New Roman" w:eastAsia="宋体" w:cs="Times New Roman"/>
                <w:b/>
                <w:i w:val="0"/>
                <w:color w:val="000000"/>
                <w:kern w:val="0"/>
                <w:sz w:val="18"/>
                <w:szCs w:val="18"/>
                <w:u w:val="single"/>
                <w:lang w:val="en-US" w:eastAsia="zh-CN" w:bidi="ar"/>
              </w:rPr>
              <w:t>label</w:t>
            </w:r>
          </w:p>
        </w:tc>
        <w:tc>
          <w:tcPr>
            <w:tcW w:w="1084" w:type="dxa"/>
            <w:tcBorders>
              <w:top w:val="single" w:color="000000" w:sz="4" w:space="0"/>
              <w:left w:val="single" w:color="000000" w:sz="4" w:space="0"/>
              <w:bottom w:val="single" w:color="000000" w:sz="4" w:space="0"/>
              <w:right w:val="single" w:color="000000" w:sz="4" w:space="0"/>
            </w:tcBorders>
            <w:shd w:val="clear" w:color="auto" w:fill="E7E6E6"/>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b/>
                <w:i w:val="0"/>
                <w:color w:val="000000"/>
                <w:sz w:val="18"/>
                <w:szCs w:val="18"/>
                <w:u w:val="single"/>
              </w:rPr>
            </w:pPr>
            <w:r>
              <w:rPr>
                <w:rFonts w:hint="default" w:ascii="Times New Roman" w:hAnsi="Times New Roman" w:eastAsia="宋体" w:cs="Times New Roman"/>
                <w:b/>
                <w:i w:val="0"/>
                <w:color w:val="000000"/>
                <w:kern w:val="0"/>
                <w:sz w:val="18"/>
                <w:szCs w:val="18"/>
                <w:u w:val="single"/>
                <w:lang w:val="en-US" w:eastAsia="zh-CN" w:bidi="ar"/>
              </w:rPr>
              <w:t>label_idx</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cell periphery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0</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cytoplasm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1</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endosome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2</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er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3</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golgi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4</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mitochondrion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5</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nuclear periphery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6</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nucleolus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7</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nucleus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8</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peroxisome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9</w:t>
            </w:r>
          </w:p>
        </w:tc>
      </w:tr>
      <w:tr>
        <w:tblPrEx>
          <w:tblCellMar>
            <w:top w:w="0" w:type="dxa"/>
            <w:left w:w="0" w:type="dxa"/>
            <w:bottom w:w="0" w:type="dxa"/>
            <w:right w:w="0" w:type="dxa"/>
          </w:tblCellMar>
        </w:tblPrEx>
        <w:trPr>
          <w:trHeight w:val="30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spindle pole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10</w:t>
            </w:r>
          </w:p>
        </w:tc>
      </w:tr>
      <w:tr>
        <w:tblPrEx>
          <w:tblCellMar>
            <w:top w:w="0" w:type="dxa"/>
            <w:left w:w="0" w:type="dxa"/>
            <w:bottom w:w="0" w:type="dxa"/>
            <w:right w:w="0" w:type="dxa"/>
          </w:tblCellMar>
        </w:tblPrEx>
        <w:trPr>
          <w:trHeight w:val="31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vacuole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18"/>
                <w:szCs w:val="18"/>
                <w:u w:val="none"/>
              </w:rPr>
            </w:pPr>
            <w:r>
              <w:rPr>
                <w:rFonts w:hint="default" w:ascii="Times New Roman" w:hAnsi="Times New Roman" w:eastAsia="宋体" w:cs="Times New Roman"/>
                <w:i w:val="0"/>
                <w:color w:val="000000"/>
                <w:kern w:val="0"/>
                <w:sz w:val="18"/>
                <w:szCs w:val="18"/>
                <w:u w:val="none"/>
                <w:lang w:val="en-US" w:eastAsia="zh-CN" w:bidi="ar"/>
              </w:rPr>
              <w:t>11</w:t>
            </w:r>
          </w:p>
        </w:tc>
      </w:tr>
    </w:tbl>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default" w:ascii="Times New Roman" w:hAnsi="Times New Roman" w:eastAsia="宋体" w:cs="Times New Roman"/>
          <w:b w:val="0"/>
          <w:bCs w:val="0"/>
          <w:sz w:val="22"/>
          <w:szCs w:val="20"/>
          <w:highlight w:val="lightGray"/>
          <w:u w:val="none"/>
          <w:lang w:val="en-US" w:eastAsia="zh-CN"/>
        </w:rPr>
        <w:t>数据介绍</w:t>
      </w:r>
    </w:p>
    <w:p>
      <w:pPr>
        <w:spacing w:line="360" w:lineRule="auto"/>
        <w:ind w:firstLine="420" w:firstLineChars="0"/>
        <w:rPr>
          <w:rFonts w:hint="default"/>
          <w:lang w:val="en-US" w:eastAsia="zh-CN"/>
        </w:rPr>
      </w:pPr>
      <w:r>
        <w:rPr>
          <w:rFonts w:hint="eastAsia" w:ascii="Times New Roman" w:hAnsi="Times New Roman" w:eastAsia="宋体" w:cs="Times New Roman"/>
          <w:b w:val="0"/>
          <w:bCs w:val="0"/>
          <w:sz w:val="22"/>
          <w:szCs w:val="20"/>
          <w:highlight w:val="none"/>
          <w:u w:val="none"/>
          <w:lang w:val="en-US" w:eastAsia="zh-CN"/>
        </w:rPr>
        <w:t>该数据集有两个通道(RGB颜色模式下B通道为0)，红色荧光蛋白(mCherry)与胞质定位从而标记细胞轮廓，绿色荧光蛋白(GFP)在3</w:t>
      </w:r>
      <w:r>
        <w:rPr>
          <w:rFonts w:hint="default" w:ascii="Times New Roman" w:hAnsi="Times New Roman" w:eastAsia="宋体" w:cs="Times New Roman"/>
          <w:b w:val="0"/>
          <w:bCs w:val="0"/>
          <w:sz w:val="22"/>
          <w:szCs w:val="20"/>
          <w:highlight w:val="none"/>
          <w:u w:val="none"/>
          <w:lang w:val="en-US" w:eastAsia="zh-CN"/>
        </w:rPr>
        <w:t>’</w:t>
      </w:r>
      <w:r>
        <w:rPr>
          <w:rFonts w:hint="eastAsia" w:ascii="Times New Roman" w:hAnsi="Times New Roman" w:eastAsia="宋体" w:cs="Times New Roman"/>
          <w:b w:val="0"/>
          <w:bCs w:val="0"/>
          <w:sz w:val="22"/>
          <w:szCs w:val="20"/>
          <w:highlight w:val="none"/>
          <w:u w:val="none"/>
          <w:lang w:val="en-US" w:eastAsia="zh-CN"/>
        </w:rPr>
        <w:t>端标记内源性基因，表征蛋白的丰度以及蛋白的亚细胞定位。整个数据集包含65000个训练图像，12500个验证图像，以及12500个测试集。</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pPr>
      <w:r>
        <w:drawing>
          <wp:inline distT="0" distB="0" distL="114300" distR="114300">
            <wp:extent cx="5266690" cy="1117600"/>
            <wp:effectExtent l="0" t="0" r="10160" b="635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
                    <a:stretch>
                      <a:fillRect/>
                    </a:stretch>
                  </pic:blipFill>
                  <pic:spPr>
                    <a:xfrm>
                      <a:off x="0" y="0"/>
                      <a:ext cx="5266690" cy="1117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eastAsia"/>
          <w:lang w:val="en-US" w:eastAsia="zh-CN"/>
        </w:rPr>
      </w:pPr>
      <w:r>
        <w:rPr>
          <w:rFonts w:hint="eastAsia"/>
          <w:lang w:val="en-US" w:eastAsia="zh-CN"/>
        </w:rPr>
        <w:t>图4 来自文献的亚细胞定位研究方法</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pPr>
      <w:r>
        <w:drawing>
          <wp:inline distT="0" distB="0" distL="114300" distR="114300">
            <wp:extent cx="5266690" cy="2341245"/>
            <wp:effectExtent l="0" t="0" r="10160" b="190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9"/>
                    <a:stretch>
                      <a:fillRect/>
                    </a:stretch>
                  </pic:blipFill>
                  <pic:spPr>
                    <a:xfrm>
                      <a:off x="0" y="0"/>
                      <a:ext cx="5266690" cy="23412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eastAsia"/>
          <w:lang w:val="en-US" w:eastAsia="zh-CN"/>
        </w:rPr>
      </w:pPr>
      <w:r>
        <w:rPr>
          <w:rFonts w:hint="eastAsia"/>
          <w:lang w:val="en-US" w:eastAsia="zh-CN"/>
        </w:rPr>
        <w:t>图5 不同类型的蛋白的亚细胞定位示例</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widowControl w:val="0"/>
        <w:numPr>
          <w:ilvl w:val="0"/>
          <w:numId w:val="4"/>
        </w:numPr>
        <w:spacing w:line="360" w:lineRule="auto"/>
        <w:jc w:val="both"/>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建立分类模型，预测GFP的亚细胞定位</w:t>
      </w:r>
    </w:p>
    <w:p>
      <w:pPr>
        <w:widowControl w:val="0"/>
        <w:numPr>
          <w:ilvl w:val="0"/>
          <w:numId w:val="4"/>
        </w:numPr>
        <w:spacing w:line="360" w:lineRule="auto"/>
        <w:jc w:val="both"/>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 xml:space="preserve">考虑一下纳入模型的训练集如果只用一个通道的数据与用2个通道的数据有什么区别? </w:t>
      </w:r>
    </w:p>
    <w:p>
      <w:pPr>
        <w:widowControl w:val="0"/>
        <w:numPr>
          <w:ilvl w:val="0"/>
          <w:numId w:val="4"/>
        </w:numPr>
        <w:spacing w:line="360" w:lineRule="auto"/>
        <w:jc w:val="both"/>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思考一下，你可以用红色荧光覆盖的区域来估计细胞的大小吗？（可选）</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p>
    <w:p>
      <w:pPr>
        <w:rPr>
          <w:rFonts w:hint="default" w:ascii="Times New Roman" w:hAnsi="Times New Roman" w:cs="Times New Roman"/>
          <w:b w:val="0"/>
          <w:bCs w:val="0"/>
          <w:u w:val="none"/>
          <w:lang w:val="en-US" w:eastAsia="zh-CN"/>
        </w:rPr>
      </w:pPr>
      <w:r>
        <w:rPr>
          <w:rFonts w:hint="default" w:ascii="Times New Roman" w:hAnsi="Times New Roman" w:cs="Times New Roman"/>
          <w:b w:val="0"/>
          <w:bCs w:val="0"/>
          <w:u w:val="none"/>
          <w:lang w:val="en-US" w:eastAsia="zh-CN"/>
        </w:rPr>
        <w:br w:type="page"/>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p>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选题四</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eastAsia" w:ascii="Times New Roman" w:hAnsi="Times New Roman" w:eastAsia="宋体" w:cs="Times New Roman"/>
          <w:b/>
          <w:bCs/>
          <w:color w:val="2E75B6" w:themeColor="accent1" w:themeShade="BF"/>
          <w:sz w:val="28"/>
          <w:szCs w:val="22"/>
          <w:u w:val="single"/>
          <w:lang w:val="en-US" w:eastAsia="zh-CN"/>
        </w:rPr>
      </w:pPr>
      <w:r>
        <w:rPr>
          <w:rFonts w:hint="eastAsia" w:ascii="Times New Roman" w:hAnsi="Times New Roman" w:eastAsia="宋体" w:cs="Times New Roman"/>
          <w:b/>
          <w:bCs/>
          <w:color w:val="2E75B6" w:themeColor="accent1" w:themeShade="BF"/>
          <w:sz w:val="28"/>
          <w:szCs w:val="22"/>
          <w:u w:val="single"/>
          <w:lang w:val="en-US" w:eastAsia="zh-CN"/>
        </w:rPr>
        <w:t>糖尿病眼底损伤程度评估</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宋体" w:hAnsi="宋体" w:eastAsia="宋体" w:cs="宋体"/>
          <w:sz w:val="24"/>
          <w:szCs w:val="24"/>
          <w:lang w:val="en-US" w:eastAsia="zh-CN"/>
        </w:rPr>
      </w:pPr>
      <w:r>
        <w:rPr>
          <w:rFonts w:ascii="宋体" w:hAnsi="宋体" w:eastAsia="宋体" w:cs="宋体"/>
          <w:sz w:val="24"/>
          <w:szCs w:val="24"/>
        </w:rPr>
        <w:t>在临床医学上，眼科医生依据眼底疾病患者的眼底彩照图像进行详细的筛查与诊断并给出具体的治疗方案。</w:t>
      </w:r>
      <w:r>
        <w:rPr>
          <w:rFonts w:hint="eastAsia" w:ascii="宋体" w:hAnsi="宋体" w:eastAsia="宋体" w:cs="宋体"/>
          <w:sz w:val="24"/>
          <w:szCs w:val="24"/>
          <w:lang w:val="en-US" w:eastAsia="zh-CN"/>
        </w:rPr>
        <w:t>通过对眼底的图像审查，医生可以或者病人是否得了青光眼（视杯视盘比例变化）、白内障、糖尿病眼底损伤等。</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pPr>
      <w:r>
        <w:drawing>
          <wp:inline distT="0" distB="0" distL="114300" distR="114300">
            <wp:extent cx="3227705" cy="2169795"/>
            <wp:effectExtent l="0" t="0" r="1079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227705" cy="2169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eastAsia"/>
          <w:lang w:val="en-US" w:eastAsia="zh-CN"/>
        </w:rPr>
      </w:pPr>
      <w:r>
        <w:rPr>
          <w:rFonts w:hint="eastAsia"/>
          <w:lang w:val="en-US" w:eastAsia="zh-CN"/>
        </w:rPr>
        <w:t>图6  典型的眼底图像</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pPr>
      <w:r>
        <w:drawing>
          <wp:inline distT="0" distB="0" distL="114300" distR="114300">
            <wp:extent cx="2583180" cy="1945005"/>
            <wp:effectExtent l="0" t="0" r="7620"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2583180" cy="1945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center"/>
        <w:textAlignment w:val="auto"/>
        <w:rPr>
          <w:rFonts w:hint="default" w:eastAsiaTheme="minorEastAsia"/>
          <w:lang w:val="en-US" w:eastAsia="zh-CN"/>
        </w:rPr>
      </w:pPr>
      <w:r>
        <w:rPr>
          <w:rFonts w:hint="eastAsia"/>
          <w:lang w:val="en-US" w:eastAsia="zh-CN"/>
        </w:rPr>
        <w:t>图7 糖尿病导致的眼底病变示例</w:t>
      </w:r>
    </w:p>
    <w:p>
      <w:pPr>
        <w:pStyle w:val="4"/>
        <w:bidi w:val="0"/>
        <w:jc w:val="both"/>
        <w:rPr>
          <w:rFonts w:hint="eastAsia" w:ascii="Times New Roman" w:hAnsi="Times New Roman" w:cs="Times New Roman"/>
          <w:b w:val="0"/>
          <w:bCs w:val="0"/>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数据下载链接：</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"https://jbox.sjtu.edu.cn/l/B1xGxv"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https://jbox.sjtu.edu.cn/l/B1xGxv</w:t>
      </w:r>
      <w:r>
        <w:rPr>
          <w:rFonts w:hint="eastAsia" w:ascii="Times New Roman" w:hAnsi="Times New Roman" w:cs="Times New Roman"/>
          <w:b w:val="0"/>
          <w:bCs w:val="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数据包含了原始的图像以及划分好的training和validation set，每张图来自糖尿病患者的眼底图像，csv文件中给出了每张图的评价标准。请根据所提供的信息清洗数据，得到可用于训练的图像集及标签。</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使用双眼视网膜眼底图像根据糖尿病性视网膜病变的严重程度对眼底图像进行分类建模（为简化研究不考虑是否来自同一人，左右两只眼睛视为不同样本即可）</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思考你的模型的精准度可以达到医疗使用的程度吗？请阐述你的观点。</w:t>
      </w:r>
    </w:p>
    <w:p>
      <w:pPr>
        <w:rPr>
          <w:rFonts w:hint="default" w:ascii="Times New Roman" w:hAnsi="Times New Roman" w:cs="Times New Roman"/>
          <w:b w:val="0"/>
          <w:bCs w:val="0"/>
          <w:u w:val="none"/>
          <w:lang w:val="en-US" w:eastAsia="zh-CN"/>
        </w:rPr>
      </w:pPr>
      <w:r>
        <w:rPr>
          <w:rFonts w:hint="default" w:ascii="Times New Roman" w:hAnsi="Times New Roman" w:cs="Times New Roman"/>
          <w:b w:val="0"/>
          <w:bCs w:val="0"/>
          <w:u w:val="none"/>
          <w:lang w:val="en-US" w:eastAsia="zh-CN"/>
        </w:rPr>
        <w:br w:type="page"/>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p>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选题五</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default" w:ascii="Times New Roman" w:hAnsi="Times New Roman" w:eastAsia="宋体" w:cs="Times New Roman"/>
          <w:b/>
          <w:bCs/>
          <w:color w:val="2E75B6" w:themeColor="accent1" w:themeShade="BF"/>
          <w:sz w:val="28"/>
          <w:szCs w:val="22"/>
          <w:u w:val="single"/>
          <w:lang w:val="en-US" w:eastAsia="zh-CN"/>
        </w:rPr>
      </w:pPr>
      <w:r>
        <w:rPr>
          <w:rFonts w:hint="eastAsia" w:ascii="Times New Roman" w:hAnsi="Times New Roman" w:eastAsia="宋体" w:cs="Times New Roman"/>
          <w:b/>
          <w:bCs/>
          <w:color w:val="2E75B6" w:themeColor="accent1" w:themeShade="BF"/>
          <w:sz w:val="28"/>
          <w:szCs w:val="22"/>
          <w:u w:val="single"/>
          <w:lang w:val="en-US" w:eastAsia="zh-CN"/>
        </w:rPr>
        <w:t>基于序列突变信息的新冠病毒毒株聚类研究</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   2019年出现的新型冠状病毒给全球经济、卫生、政治造成了严重的影响。一大批的科研机构贡献了大量的病毒全基因组检测样本，这些样本与参考病毒基因组进行比对后可以得到突变位点信息，基于突变的信息可以获知新冠病毒的变异株地域性聚集信息。</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数据下载链接：</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"https://jbox.sjtu.edu.cn/l/aoMe85"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https://jbox.sjtu.edu.cn/l/aoMe85</w:t>
      </w:r>
      <w:r>
        <w:rPr>
          <w:rFonts w:hint="eastAsia" w:ascii="Times New Roman" w:hAnsi="Times New Roman" w:cs="Times New Roman"/>
          <w:b w:val="0"/>
          <w:bCs w:val="0"/>
          <w:lang w:val="en-US" w:eastAsia="zh-CN"/>
        </w:rPr>
        <w:fldChar w:fldCharType="end"/>
      </w:r>
      <w:r>
        <w:rPr>
          <w:rFonts w:hint="eastAsia" w:ascii="Times New Roman" w:hAnsi="Times New Roman" w:cs="Times New Roman"/>
          <w:b w:val="0"/>
          <w:bCs w:val="0"/>
          <w:lang w:val="en-US" w:eastAsia="zh-CN"/>
        </w:rPr>
        <w:t xml:space="preserve"> （内部数据，请勿外传）</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default" w:ascii="Times New Roman" w:hAnsi="Times New Roman" w:eastAsia="宋体" w:cs="Times New Roman"/>
          <w:b w:val="0"/>
          <w:bCs w:val="0"/>
          <w:sz w:val="22"/>
          <w:szCs w:val="20"/>
          <w:highlight w:val="lightGray"/>
          <w:u w:val="none"/>
          <w:lang w:val="en-US" w:eastAsia="zh-CN"/>
        </w:rPr>
        <w:t>数据介绍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lang w:val="en-US" w:eastAsia="zh-CN"/>
        </w:rPr>
      </w:pPr>
      <w:r>
        <w:rPr>
          <w:rFonts w:hint="eastAsia"/>
          <w:lang w:val="en-US" w:eastAsia="zh-CN"/>
        </w:rPr>
        <w:t>本数据集包含346条高质量的新冠病毒测序的全基因组序列以及对应的突变检测数据(参考基因组：MN908947)。</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清洗整理基因组序列以及突变检测数据</w:t>
      </w:r>
    </w:p>
    <w:p>
      <w:pPr>
        <w:keepNext w:val="0"/>
        <w:keepLines w:val="0"/>
        <w:pageBreakBefore w:val="0"/>
        <w:widowControl w:val="0"/>
        <w:numPr>
          <w:ilvl w:val="0"/>
          <w:numId w:val="5"/>
        </w:numPr>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构造可用于科学研究的突变检测结果矩阵，用多种机器学习算法对突变信息进行聚类研究</w:t>
      </w:r>
    </w:p>
    <w:p>
      <w:pPr>
        <w:keepNext w:val="0"/>
        <w:keepLines w:val="0"/>
        <w:pageBreakBefore w:val="0"/>
        <w:widowControl w:val="0"/>
        <w:numPr>
          <w:ilvl w:val="0"/>
          <w:numId w:val="5"/>
        </w:numPr>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目前S蛋白是新冠病毒研究的热门蛋白，请就该蛋白对应基因上的突变位点单独进行研究，重复step2.</w:t>
      </w:r>
    </w:p>
    <w:p>
      <w:pPr>
        <w:rPr>
          <w:rFonts w:hint="default" w:ascii="Times New Roman" w:hAnsi="Times New Roman" w:cs="Times New Roman"/>
          <w:b w:val="0"/>
          <w:bCs w:val="0"/>
          <w:u w:val="none"/>
          <w:lang w:val="en-US" w:eastAsia="zh-CN"/>
        </w:rPr>
      </w:pPr>
      <w:r>
        <w:rPr>
          <w:rFonts w:hint="default" w:ascii="Times New Roman" w:hAnsi="Times New Roman" w:cs="Times New Roman"/>
          <w:b w:val="0"/>
          <w:bCs w:val="0"/>
          <w:u w:val="none"/>
          <w:lang w:val="en-US" w:eastAsia="zh-CN"/>
        </w:rPr>
        <w:br w:type="page"/>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u w:val="none"/>
          <w:lang w:val="en-US" w:eastAsia="zh-CN"/>
        </w:rPr>
      </w:pPr>
    </w:p>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选题六</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default" w:ascii="Times New Roman" w:hAnsi="Times New Roman" w:eastAsia="宋体" w:cs="Times New Roman"/>
          <w:b/>
          <w:bCs/>
          <w:color w:val="2E75B6" w:themeColor="accent1" w:themeShade="BF"/>
          <w:sz w:val="28"/>
          <w:szCs w:val="22"/>
          <w:u w:val="single"/>
          <w:lang w:val="en-US" w:eastAsia="zh-CN"/>
        </w:rPr>
      </w:pPr>
      <w:r>
        <w:rPr>
          <w:rFonts w:hint="eastAsia" w:ascii="Times New Roman" w:hAnsi="Times New Roman" w:eastAsia="宋体" w:cs="Times New Roman"/>
          <w:b/>
          <w:bCs/>
          <w:color w:val="2E75B6" w:themeColor="accent1" w:themeShade="BF"/>
          <w:sz w:val="28"/>
          <w:szCs w:val="22"/>
          <w:u w:val="single"/>
          <w:lang w:val="en-US" w:eastAsia="zh-CN"/>
        </w:rPr>
        <w:t>急性胰腺癌患者ICU住院数据分析</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pStyle w:val="4"/>
        <w:bidi w:val="0"/>
        <w:ind w:firstLine="420" w:firstLineChars="0"/>
        <w:jc w:val="both"/>
        <w:rPr>
          <w:rFonts w:hint="eastAsia" w:ascii="Times New Roman" w:hAnsi="Times New Roman" w:eastAsia="宋体" w:cs="Times New Roman"/>
          <w:b w:val="0"/>
          <w:bCs w:val="0"/>
          <w:sz w:val="22"/>
          <w:szCs w:val="20"/>
          <w:highlight w:val="none"/>
          <w:u w:val="none"/>
          <w:lang w:val="en-US" w:eastAsia="zh-CN"/>
        </w:rPr>
      </w:pPr>
      <w:r>
        <w:rPr>
          <w:rFonts w:hint="eastAsia" w:ascii="Times New Roman" w:hAnsi="Times New Roman" w:eastAsia="宋体" w:cs="Times New Roman"/>
          <w:b w:val="0"/>
          <w:bCs w:val="0"/>
          <w:sz w:val="22"/>
          <w:szCs w:val="20"/>
          <w:highlight w:val="none"/>
          <w:u w:val="none"/>
          <w:lang w:val="en-US" w:eastAsia="zh-CN"/>
        </w:rPr>
        <w:t>急性胰腺炎是一种相当严重的疾病，急性出血坏死性胰腺炎尤为凶险，发病急剧，死亡率高。</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eastAsia" w:ascii="Times New Roman" w:hAnsi="Times New Roman" w:eastAsia="宋体" w:cs="Times New Roman"/>
          <w:b w:val="0"/>
          <w:bCs w:val="0"/>
          <w:sz w:val="22"/>
          <w:szCs w:val="20"/>
          <w:highlight w:val="none"/>
          <w:u w:val="none"/>
          <w:lang w:val="en-US" w:eastAsia="zh-CN"/>
        </w:rPr>
      </w:pPr>
      <w:r>
        <w:rPr>
          <w:rFonts w:hint="eastAsia" w:ascii="Times New Roman" w:hAnsi="Times New Roman" w:eastAsia="宋体" w:cs="Times New Roman"/>
          <w:b w:val="0"/>
          <w:bCs w:val="0"/>
          <w:sz w:val="22"/>
          <w:szCs w:val="20"/>
          <w:highlight w:val="none"/>
          <w:u w:val="none"/>
          <w:lang w:val="en-US" w:eastAsia="zh-CN"/>
        </w:rPr>
        <w:t>在现代临床医学中，呼吸机作为一项能人工替代自主通气功能的有效手段，已普遍用于各种原因所致的呼吸衰竭、大手术期间的麻醉呼吸管理、呼吸支持治疗和急救复苏中，在现代医学领域内占有十分重要的位置。呼吸机是一种能够起到预防和治疗呼吸衰竭，减少并发症，挽救及延长病人生命的至关重要的医疗设备。然而呼吸机属于资源并在许多医院甚至三甲医院的急诊科都不是特别的丰富，如果能提前预测到患者进入ICU后是否需要使用呼吸机，则可以提前优化医院呼吸机的分配额度，减少病人的等待时长，使病人尽可能的在病程最关键的阶段得到最有效的治疗。</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本题数据来自MIMICiii数据库，MIMIC-III是由麻省理工学院计算生理学实验室开发的公开可用数据集，其中包含了&gt;60000次住院相关的数据，时间跨度为2001-2012年，包括人口统计学，生命体征，实验室测试、药物等。Nature上的一篇文献描述了该数据库（http://www.nature.com/articles/sdata201635）。</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数据下载链接：</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"https://jbox.sjtu.edu.cn/l/G575Ug"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https://jbox.sjtu.edu.cn/l/G575Ug</w:t>
      </w:r>
      <w:r>
        <w:rPr>
          <w:rFonts w:hint="eastAsia" w:ascii="Times New Roman" w:hAnsi="Times New Roman" w:cs="Times New Roman"/>
          <w:b w:val="0"/>
          <w:bCs w:val="0"/>
          <w:lang w:val="en-US" w:eastAsia="zh-CN"/>
        </w:rPr>
        <w:fldChar w:fldCharType="end"/>
      </w:r>
      <w:r>
        <w:rPr>
          <w:rFonts w:hint="eastAsia" w:ascii="Times New Roman" w:hAnsi="Times New Roman" w:cs="Times New Roman"/>
          <w:b w:val="0"/>
          <w:bCs w:val="0"/>
          <w:lang w:val="en-US" w:eastAsia="zh-CN"/>
        </w:rPr>
        <w:t xml:space="preserve"> （内部数据，请勿外传）</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default" w:ascii="Times New Roman" w:hAnsi="Times New Roman" w:eastAsia="宋体" w:cs="Times New Roman"/>
          <w:b w:val="0"/>
          <w:bCs w:val="0"/>
          <w:sz w:val="22"/>
          <w:szCs w:val="20"/>
          <w:highlight w:val="lightGray"/>
          <w:u w:val="none"/>
          <w:lang w:val="en-US" w:eastAsia="zh-CN"/>
        </w:rPr>
        <w:t>数据介绍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eastAsia="宋体" w:cs="Times New Roman"/>
          <w:b w:val="0"/>
          <w:bCs w:val="0"/>
          <w:sz w:val="22"/>
          <w:szCs w:val="20"/>
          <w:highlight w:val="none"/>
          <w:u w:val="none"/>
          <w:lang w:val="en-US" w:eastAsia="zh-CN"/>
        </w:rPr>
      </w:pPr>
      <w:r>
        <w:rPr>
          <w:rFonts w:hint="eastAsia" w:ascii="Times New Roman" w:hAnsi="Times New Roman" w:eastAsia="宋体" w:cs="Times New Roman"/>
          <w:b w:val="0"/>
          <w:bCs w:val="0"/>
          <w:sz w:val="22"/>
          <w:szCs w:val="20"/>
          <w:highlight w:val="none"/>
          <w:u w:val="none"/>
          <w:lang w:val="en-US" w:eastAsia="zh-CN"/>
        </w:rPr>
        <w:t>本题数据从MIMICiii数据库中提取筛选，筛选了一些变量。 变量释义如下：</w:t>
      </w:r>
    </w:p>
    <w:tbl>
      <w:tblPr>
        <w:tblStyle w:val="8"/>
        <w:tblW w:w="7575" w:type="dxa"/>
        <w:tblInd w:w="0" w:type="dxa"/>
        <w:shd w:val="clear" w:color="auto" w:fill="auto"/>
        <w:tblLayout w:type="autofit"/>
        <w:tblCellMar>
          <w:top w:w="0" w:type="dxa"/>
          <w:left w:w="0" w:type="dxa"/>
          <w:bottom w:w="0" w:type="dxa"/>
          <w:right w:w="0" w:type="dxa"/>
        </w:tblCellMar>
      </w:tblPr>
      <w:tblGrid>
        <w:gridCol w:w="1080"/>
        <w:gridCol w:w="3404"/>
        <w:gridCol w:w="3103"/>
      </w:tblGrid>
      <w:tr>
        <w:tblPrEx>
          <w:shd w:val="clear" w:color="auto" w:fill="auto"/>
          <w:tblCellMar>
            <w:top w:w="0" w:type="dxa"/>
            <w:left w:w="0" w:type="dxa"/>
            <w:bottom w:w="0" w:type="dxa"/>
            <w:right w:w="0" w:type="dxa"/>
          </w:tblCellMar>
        </w:tblPrEx>
        <w:trPr>
          <w:trHeight w:val="27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E7E6E6"/>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b/>
                <w:i w:val="0"/>
                <w:color w:val="000000"/>
                <w:sz w:val="20"/>
                <w:szCs w:val="20"/>
                <w:u w:val="single"/>
              </w:rPr>
            </w:pPr>
            <w:r>
              <w:rPr>
                <w:rFonts w:hint="default" w:ascii="Times New Roman" w:hAnsi="Times New Roman" w:eastAsia="宋体" w:cs="Times New Roman"/>
                <w:b/>
                <w:i w:val="0"/>
                <w:color w:val="000000"/>
                <w:kern w:val="0"/>
                <w:sz w:val="20"/>
                <w:szCs w:val="20"/>
                <w:u w:val="single"/>
                <w:lang w:val="en-US" w:eastAsia="zh-CN" w:bidi="ar"/>
              </w:rPr>
              <w:t>term</w:t>
            </w:r>
          </w:p>
        </w:tc>
        <w:tc>
          <w:tcPr>
            <w:tcW w:w="3404" w:type="dxa"/>
            <w:tcBorders>
              <w:top w:val="single" w:color="000000" w:sz="4" w:space="0"/>
              <w:left w:val="single" w:color="000000" w:sz="4" w:space="0"/>
              <w:bottom w:val="single" w:color="000000" w:sz="4" w:space="0"/>
              <w:right w:val="single" w:color="000000" w:sz="4" w:space="0"/>
            </w:tcBorders>
            <w:shd w:val="clear" w:color="auto" w:fill="E7E6E6"/>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b/>
                <w:i w:val="0"/>
                <w:color w:val="000000"/>
                <w:sz w:val="20"/>
                <w:szCs w:val="20"/>
                <w:u w:val="single"/>
              </w:rPr>
            </w:pPr>
            <w:r>
              <w:rPr>
                <w:rFonts w:hint="eastAsia" w:ascii="宋体" w:hAnsi="宋体" w:eastAsia="宋体" w:cs="宋体"/>
                <w:b/>
                <w:i w:val="0"/>
                <w:color w:val="000000"/>
                <w:kern w:val="0"/>
                <w:sz w:val="20"/>
                <w:szCs w:val="20"/>
                <w:u w:val="single"/>
                <w:lang w:val="en-US" w:eastAsia="zh-CN" w:bidi="ar"/>
              </w:rPr>
              <w:t>全称</w:t>
            </w:r>
          </w:p>
        </w:tc>
        <w:tc>
          <w:tcPr>
            <w:tcW w:w="3103" w:type="dxa"/>
            <w:tcBorders>
              <w:top w:val="single" w:color="000000" w:sz="4" w:space="0"/>
              <w:left w:val="single" w:color="000000" w:sz="4" w:space="0"/>
              <w:bottom w:val="single" w:color="000000" w:sz="4" w:space="0"/>
              <w:right w:val="single" w:color="000000" w:sz="4" w:space="0"/>
            </w:tcBorders>
            <w:shd w:val="clear" w:color="auto" w:fill="E7E6E6"/>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b/>
                <w:i w:val="0"/>
                <w:color w:val="000000"/>
                <w:sz w:val="20"/>
                <w:szCs w:val="20"/>
                <w:u w:val="single"/>
              </w:rPr>
            </w:pPr>
            <w:r>
              <w:rPr>
                <w:rFonts w:hint="eastAsia" w:ascii="宋体" w:hAnsi="宋体" w:eastAsia="宋体" w:cs="宋体"/>
                <w:b/>
                <w:i w:val="0"/>
                <w:color w:val="000000"/>
                <w:kern w:val="0"/>
                <w:sz w:val="20"/>
                <w:szCs w:val="20"/>
                <w:u w:val="single"/>
                <w:lang w:val="en-US" w:eastAsia="zh-CN" w:bidi="ar"/>
              </w:rPr>
              <w:t>释义</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alb</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auto"/>
                <w:sz w:val="20"/>
                <w:szCs w:val="20"/>
                <w:u w:val="none"/>
              </w:rPr>
            </w:pPr>
            <w:r>
              <w:rPr>
                <w:rFonts w:hint="default" w:ascii="Times New Roman" w:hAnsi="Times New Roman" w:eastAsia="宋体" w:cs="Times New Roman"/>
                <w:i w:val="0"/>
                <w:color w:val="auto"/>
                <w:kern w:val="0"/>
                <w:sz w:val="20"/>
                <w:szCs w:val="20"/>
                <w:u w:val="none"/>
                <w:lang w:val="en-US" w:eastAsia="zh-CN" w:bidi="ar"/>
              </w:rPr>
              <w:t>albumin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auto"/>
                <w:sz w:val="20"/>
                <w:szCs w:val="20"/>
                <w:u w:val="none"/>
              </w:rPr>
            </w:pPr>
            <w:r>
              <w:rPr>
                <w:rFonts w:hint="eastAsia" w:ascii="宋体" w:hAnsi="宋体" w:eastAsia="宋体" w:cs="宋体"/>
                <w:i w:val="0"/>
                <w:color w:val="auto"/>
                <w:kern w:val="0"/>
                <w:sz w:val="20"/>
                <w:szCs w:val="20"/>
                <w:u w:val="none"/>
                <w:lang w:val="en-US" w:eastAsia="zh-CN" w:bidi="ar"/>
              </w:rPr>
              <w:t>白蛋白含量</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rdw</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auto"/>
                <w:sz w:val="20"/>
                <w:szCs w:val="20"/>
                <w:u w:val="none"/>
              </w:rPr>
            </w:pPr>
            <w:r>
              <w:rPr>
                <w:rFonts w:hint="default" w:ascii="Times New Roman" w:hAnsi="Times New Roman" w:eastAsia="宋体" w:cs="Times New Roman"/>
                <w:i w:val="0"/>
                <w:color w:val="auto"/>
                <w:kern w:val="0"/>
                <w:sz w:val="20"/>
                <w:szCs w:val="20"/>
                <w:u w:val="none"/>
                <w:lang w:val="en-US" w:eastAsia="zh-CN" w:bidi="ar"/>
              </w:rPr>
              <w:t>red blood cell distribution width</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auto"/>
                <w:sz w:val="20"/>
                <w:szCs w:val="20"/>
                <w:u w:val="none"/>
              </w:rPr>
            </w:pPr>
            <w:r>
              <w:rPr>
                <w:rFonts w:hint="eastAsia" w:ascii="宋体" w:hAnsi="宋体" w:eastAsia="宋体" w:cs="宋体"/>
                <w:i w:val="0"/>
                <w:color w:val="auto"/>
                <w:kern w:val="0"/>
                <w:sz w:val="20"/>
                <w:szCs w:val="20"/>
                <w:u w:val="none"/>
                <w:lang w:val="en-US" w:eastAsia="zh-CN" w:bidi="ar"/>
              </w:rPr>
              <w:fldChar w:fldCharType="begin"/>
            </w:r>
            <w:r>
              <w:rPr>
                <w:rFonts w:hint="eastAsia" w:ascii="宋体" w:hAnsi="宋体" w:eastAsia="宋体" w:cs="宋体"/>
                <w:i w:val="0"/>
                <w:color w:val="auto"/>
                <w:kern w:val="0"/>
                <w:sz w:val="20"/>
                <w:szCs w:val="20"/>
                <w:u w:val="none"/>
                <w:lang w:val="en-US" w:eastAsia="zh-CN" w:bidi="ar"/>
              </w:rPr>
              <w:instrText xml:space="preserve"> HYPERLINK "http://mall.cnki.net/magazine/Article/ZZLC201904002.htm" \o "http://mall.cnki.net/magazine/Article/ZZLC201904002.htm" </w:instrText>
            </w:r>
            <w:r>
              <w:rPr>
                <w:rFonts w:hint="eastAsia" w:ascii="宋体" w:hAnsi="宋体" w:eastAsia="宋体" w:cs="宋体"/>
                <w:i w:val="0"/>
                <w:color w:val="auto"/>
                <w:kern w:val="0"/>
                <w:sz w:val="20"/>
                <w:szCs w:val="20"/>
                <w:u w:val="none"/>
                <w:lang w:val="en-US" w:eastAsia="zh-CN" w:bidi="ar"/>
              </w:rPr>
              <w:fldChar w:fldCharType="separate"/>
            </w:r>
            <w:r>
              <w:rPr>
                <w:rStyle w:val="11"/>
                <w:rFonts w:hint="eastAsia" w:ascii="宋体" w:hAnsi="宋体" w:eastAsia="宋体" w:cs="宋体"/>
                <w:i w:val="0"/>
                <w:color w:val="auto"/>
                <w:sz w:val="20"/>
                <w:szCs w:val="20"/>
                <w:u w:val="none"/>
              </w:rPr>
              <w:t>红细胞分布宽度</w:t>
            </w:r>
            <w:r>
              <w:rPr>
                <w:rFonts w:hint="eastAsia" w:ascii="宋体" w:hAnsi="宋体" w:eastAsia="宋体" w:cs="宋体"/>
                <w:i w:val="0"/>
                <w:color w:val="auto"/>
                <w:kern w:val="0"/>
                <w:sz w:val="20"/>
                <w:szCs w:val="20"/>
                <w:u w:val="none"/>
                <w:lang w:val="en-US" w:eastAsia="zh-CN" w:bidi="ar"/>
              </w:rPr>
              <w:fldChar w:fldCharType="end"/>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pla</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auto"/>
                <w:sz w:val="20"/>
                <w:szCs w:val="20"/>
                <w:u w:val="none"/>
              </w:rPr>
            </w:pPr>
            <w:r>
              <w:rPr>
                <w:rFonts w:hint="default" w:ascii="Times New Roman" w:hAnsi="Times New Roman" w:eastAsia="宋体" w:cs="Times New Roman"/>
                <w:i w:val="0"/>
                <w:color w:val="auto"/>
                <w:kern w:val="0"/>
                <w:sz w:val="20"/>
                <w:szCs w:val="20"/>
                <w:u w:val="none"/>
                <w:lang w:val="en-US" w:eastAsia="zh-CN" w:bidi="ar"/>
              </w:rPr>
              <w:t>Platelets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auto"/>
                <w:sz w:val="20"/>
                <w:szCs w:val="20"/>
                <w:u w:val="none"/>
              </w:rPr>
            </w:pPr>
            <w:r>
              <w:rPr>
                <w:rFonts w:hint="eastAsia" w:ascii="宋体" w:hAnsi="宋体" w:eastAsia="宋体" w:cs="宋体"/>
                <w:i w:val="0"/>
                <w:color w:val="auto"/>
                <w:kern w:val="0"/>
                <w:sz w:val="20"/>
                <w:szCs w:val="20"/>
                <w:u w:val="none"/>
                <w:lang w:val="en-US" w:eastAsia="zh-CN" w:bidi="ar"/>
              </w:rPr>
              <w:t>血小板</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tg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auto"/>
                <w:sz w:val="20"/>
                <w:szCs w:val="20"/>
                <w:u w:val="none"/>
              </w:rPr>
            </w:pPr>
            <w:r>
              <w:rPr>
                <w:rFonts w:hint="default" w:ascii="Times New Roman" w:hAnsi="Times New Roman" w:eastAsia="宋体" w:cs="Times New Roman"/>
                <w:i w:val="0"/>
                <w:color w:val="auto"/>
                <w:kern w:val="0"/>
                <w:sz w:val="20"/>
                <w:szCs w:val="20"/>
                <w:u w:val="none"/>
                <w:lang w:val="en-US" w:eastAsia="zh-CN" w:bidi="ar"/>
              </w:rPr>
              <w:t>Triglyceride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auto"/>
                <w:sz w:val="20"/>
                <w:szCs w:val="20"/>
                <w:u w:val="none"/>
              </w:rPr>
            </w:pPr>
            <w:r>
              <w:rPr>
                <w:rFonts w:hint="eastAsia" w:ascii="宋体" w:hAnsi="宋体" w:eastAsia="宋体" w:cs="宋体"/>
                <w:i w:val="0"/>
                <w:color w:val="auto"/>
                <w:kern w:val="0"/>
                <w:sz w:val="20"/>
                <w:szCs w:val="20"/>
                <w:u w:val="none"/>
                <w:lang w:val="en-US" w:eastAsia="zh-CN" w:bidi="ar"/>
              </w:rPr>
              <w:fldChar w:fldCharType="begin"/>
            </w:r>
            <w:r>
              <w:rPr>
                <w:rFonts w:hint="eastAsia" w:ascii="宋体" w:hAnsi="宋体" w:eastAsia="宋体" w:cs="宋体"/>
                <w:i w:val="0"/>
                <w:color w:val="auto"/>
                <w:kern w:val="0"/>
                <w:sz w:val="20"/>
                <w:szCs w:val="20"/>
                <w:u w:val="none"/>
                <w:lang w:val="en-US" w:eastAsia="zh-CN" w:bidi="ar"/>
              </w:rPr>
              <w:instrText xml:space="preserve"> HYPERLINK "https://www.baidu.com/s?wd=%E7%94%98%E6%B2%B9%E4%B8%89%E9%85%AF&amp;tn=SE_PcZhidaonwhc_ngpagmjz&amp;rsv_dl=gh_pc_zhidao" \o "https://www.baidu.com/s?wd=%E7%94%98%E6%B2%B9%E4%B8%89%E9%85%AF&amp;tn=SE_PcZhidaonwhc_ngpagmjz&amp;rsv_dl=gh_pc_zhidao" </w:instrText>
            </w:r>
            <w:r>
              <w:rPr>
                <w:rFonts w:hint="eastAsia" w:ascii="宋体" w:hAnsi="宋体" w:eastAsia="宋体" w:cs="宋体"/>
                <w:i w:val="0"/>
                <w:color w:val="auto"/>
                <w:kern w:val="0"/>
                <w:sz w:val="20"/>
                <w:szCs w:val="20"/>
                <w:u w:val="none"/>
                <w:lang w:val="en-US" w:eastAsia="zh-CN" w:bidi="ar"/>
              </w:rPr>
              <w:fldChar w:fldCharType="separate"/>
            </w:r>
            <w:r>
              <w:rPr>
                <w:rStyle w:val="11"/>
                <w:rFonts w:hint="eastAsia" w:ascii="宋体" w:hAnsi="宋体" w:eastAsia="宋体" w:cs="宋体"/>
                <w:i w:val="0"/>
                <w:color w:val="auto"/>
                <w:sz w:val="20"/>
                <w:szCs w:val="20"/>
                <w:u w:val="none"/>
              </w:rPr>
              <w:t>甘油三酯</w:t>
            </w:r>
            <w:r>
              <w:rPr>
                <w:rFonts w:hint="eastAsia" w:ascii="宋体" w:hAnsi="宋体" w:eastAsia="宋体" w:cs="宋体"/>
                <w:i w:val="0"/>
                <w:color w:val="auto"/>
                <w:kern w:val="0"/>
                <w:sz w:val="20"/>
                <w:szCs w:val="20"/>
                <w:u w:val="none"/>
                <w:lang w:val="en-US" w:eastAsia="zh-CN" w:bidi="ar"/>
              </w:rPr>
              <w:fldChar w:fldCharType="end"/>
            </w:r>
          </w:p>
        </w:tc>
      </w:tr>
      <w:tr>
        <w:tblPrEx>
          <w:tblCellMar>
            <w:top w:w="0" w:type="dxa"/>
            <w:left w:w="0" w:type="dxa"/>
            <w:bottom w:w="0" w:type="dxa"/>
            <w:right w:w="0" w:type="dxa"/>
          </w:tblCellMar>
        </w:tblPrEx>
        <w:trPr>
          <w:trHeight w:val="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NLR</w:t>
            </w:r>
          </w:p>
        </w:tc>
        <w:tc>
          <w:tcPr>
            <w:tcW w:w="340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auto"/>
                <w:sz w:val="20"/>
                <w:szCs w:val="20"/>
                <w:u w:val="none"/>
              </w:rPr>
            </w:pPr>
            <w:r>
              <w:rPr>
                <w:rFonts w:hint="default" w:ascii="Times New Roman" w:hAnsi="Times New Roman" w:eastAsia="宋体" w:cs="Times New Roman"/>
                <w:i w:val="0"/>
                <w:color w:val="auto"/>
                <w:kern w:val="0"/>
                <w:sz w:val="20"/>
                <w:szCs w:val="20"/>
                <w:u w:val="none"/>
                <w:lang w:val="en-US" w:eastAsia="zh-CN" w:bidi="ar"/>
              </w:rPr>
              <w:t>Neutrophil lymphocyte ratio</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auto"/>
                <w:sz w:val="20"/>
                <w:szCs w:val="20"/>
                <w:u w:val="none"/>
              </w:rPr>
            </w:pPr>
            <w:r>
              <w:rPr>
                <w:rFonts w:hint="eastAsia" w:ascii="宋体" w:hAnsi="宋体" w:eastAsia="宋体" w:cs="宋体"/>
                <w:i w:val="0"/>
                <w:color w:val="auto"/>
                <w:kern w:val="0"/>
                <w:sz w:val="20"/>
                <w:szCs w:val="20"/>
                <w:u w:val="none"/>
                <w:lang w:val="en-US" w:eastAsia="zh-CN" w:bidi="ar"/>
              </w:rPr>
              <w:fldChar w:fldCharType="begin"/>
            </w:r>
            <w:r>
              <w:rPr>
                <w:rFonts w:hint="eastAsia" w:ascii="宋体" w:hAnsi="宋体" w:eastAsia="宋体" w:cs="宋体"/>
                <w:i w:val="0"/>
                <w:color w:val="auto"/>
                <w:kern w:val="0"/>
                <w:sz w:val="20"/>
                <w:szCs w:val="20"/>
                <w:u w:val="none"/>
                <w:lang w:val="en-US" w:eastAsia="zh-CN" w:bidi="ar"/>
              </w:rPr>
              <w:instrText xml:space="preserve"> HYPERLINK "https://wenku.baidu.com/view/606268b9bdeb19e8b8f67c1cfad6195f312be8a5.html" \o "https://wenku.baidu.com/view/606268b9bdeb19e8b8f67c1cfad6195f312be8a5.html" </w:instrText>
            </w:r>
            <w:r>
              <w:rPr>
                <w:rFonts w:hint="eastAsia" w:ascii="宋体" w:hAnsi="宋体" w:eastAsia="宋体" w:cs="宋体"/>
                <w:i w:val="0"/>
                <w:color w:val="auto"/>
                <w:kern w:val="0"/>
                <w:sz w:val="20"/>
                <w:szCs w:val="20"/>
                <w:u w:val="none"/>
                <w:lang w:val="en-US" w:eastAsia="zh-CN" w:bidi="ar"/>
              </w:rPr>
              <w:fldChar w:fldCharType="separate"/>
            </w:r>
            <w:r>
              <w:rPr>
                <w:rStyle w:val="11"/>
                <w:rFonts w:hint="eastAsia" w:ascii="宋体" w:hAnsi="宋体" w:eastAsia="宋体" w:cs="宋体"/>
                <w:i w:val="0"/>
                <w:color w:val="auto"/>
                <w:sz w:val="20"/>
                <w:szCs w:val="20"/>
                <w:u w:val="none"/>
              </w:rPr>
              <w:t>中性粒细胞淋巴细胞比值</w:t>
            </w:r>
            <w:r>
              <w:rPr>
                <w:rFonts w:hint="eastAsia" w:ascii="宋体" w:hAnsi="宋体" w:eastAsia="宋体" w:cs="宋体"/>
                <w:i w:val="0"/>
                <w:color w:val="auto"/>
                <w:kern w:val="0"/>
                <w:sz w:val="20"/>
                <w:szCs w:val="20"/>
                <w:u w:val="none"/>
                <w:lang w:val="en-US" w:eastAsia="zh-CN" w:bidi="ar"/>
              </w:rPr>
              <w:fldChar w:fldCharType="end"/>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gender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gender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性别</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hs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Hospital stay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住院时长</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ventilation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ventilation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是否使用呼吸机</w:t>
            </w:r>
          </w:p>
        </w:tc>
      </w:tr>
    </w:tbl>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eastAsia="宋体" w:cs="Times New Roman"/>
          <w:b w:val="0"/>
          <w:bCs w:val="0"/>
          <w:sz w:val="22"/>
          <w:szCs w:val="20"/>
          <w:highlight w:val="none"/>
          <w:u w:val="none"/>
          <w:lang w:val="en-US" w:eastAsia="zh-CN"/>
        </w:rPr>
      </w:pPr>
      <w:r>
        <w:rPr>
          <w:rFonts w:hint="eastAsia" w:ascii="Times New Roman" w:hAnsi="Times New Roman" w:eastAsia="宋体" w:cs="Times New Roman"/>
          <w:b w:val="0"/>
          <w:bCs w:val="0"/>
          <w:sz w:val="22"/>
          <w:szCs w:val="20"/>
          <w:highlight w:val="none"/>
          <w:u w:val="none"/>
          <w:lang w:val="en-US" w:eastAsia="zh-CN"/>
        </w:rPr>
        <w:t>数据有缺失，请酌情处理。</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利用提取到的变量可否预测病人在住院期间是否会用到呼吸机？尝试建模并解释</w:t>
      </w:r>
    </w:p>
    <w:p>
      <w:pPr>
        <w:keepNext w:val="0"/>
        <w:keepLines w:val="0"/>
        <w:pageBreakBefore w:val="0"/>
        <w:widowControl w:val="0"/>
        <w:numPr>
          <w:ilvl w:val="0"/>
          <w:numId w:val="6"/>
        </w:numPr>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利用已知的变量是否可以预测病人的未来？（死亡or出院）</w:t>
      </w:r>
    </w:p>
    <w:p>
      <w:pPr>
        <w:keepNext w:val="0"/>
        <w:keepLines w:val="0"/>
        <w:pageBreakBefore w:val="0"/>
        <w:widowControl w:val="0"/>
        <w:numPr>
          <w:ilvl w:val="0"/>
          <w:numId w:val="6"/>
        </w:numPr>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能否利用提取到的这些变量来预测病人在ICU的住院时长？请尝试建模并解释</w:t>
      </w:r>
    </w:p>
    <w:p>
      <w:pPr>
        <w:keepNext w:val="0"/>
        <w:keepLines w:val="0"/>
        <w:pageBreakBefore w:val="0"/>
        <w:widowControl w:val="0"/>
        <w:numPr>
          <w:ilvl w:val="0"/>
          <w:numId w:val="6"/>
        </w:numPr>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讨论以上你建立的模型的可靠性，提出你的见解。</w:t>
      </w:r>
    </w:p>
    <w:p>
      <w:pPr>
        <w:rPr>
          <w:rFonts w:hint="eastAsia"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br w:type="page"/>
      </w:r>
    </w:p>
    <w:p>
      <w:pPr>
        <w:pStyle w:val="2"/>
        <w:bidi w:val="0"/>
        <w:jc w:val="both"/>
        <w:rPr>
          <w:rFonts w:hint="default" w:ascii="Times New Roman" w:hAnsi="Times New Roman" w:cs="Times New Roman"/>
          <w:highlight w:val="darkGray"/>
          <w:shd w:val="clear" w:color="FFFFFF" w:fill="D9D9D9"/>
          <w:lang w:val="en-US" w:eastAsia="zh-CN"/>
        </w:rPr>
      </w:pP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r>
        <w:rPr>
          <w:rFonts w:hint="eastAsia" w:ascii="华文隶书" w:hAnsi="华文隶书" w:eastAsia="华文隶书" w:cs="华文隶书"/>
          <w:b/>
          <w:bCs w:val="0"/>
          <w:color w:val="FFFFFF" w:themeColor="background1"/>
          <w:highlight w:val="darkGray"/>
          <w:shd w:val="clear" w:color="FFFFFF" w:fill="D9D9D9"/>
          <w:lang w:val="en-US" w:eastAsia="zh-CN"/>
          <w14:textFill>
            <w14:solidFill>
              <w14:schemeClr w14:val="bg1"/>
            </w14:solidFill>
          </w14:textFill>
        </w:rPr>
        <w:t>选题七</w:t>
      </w:r>
      <w:r>
        <w:rPr>
          <w:rFonts w:hint="eastAsia" w:ascii="Times New Roman" w:hAnsi="Times New Roman" w:cs="Times New Roman"/>
          <w:color w:val="E7E6E6" w:themeColor="background2"/>
          <w:highlight w:val="darkGray"/>
          <w:shd w:val="clear" w:color="FFFFFF" w:fill="D9D9D9"/>
          <w:lang w:val="en-US" w:eastAsia="zh-CN"/>
          <w14:textFill>
            <w14:solidFill>
              <w14:schemeClr w14:val="bg2"/>
            </w14:solidFill>
          </w14:textFill>
        </w:rPr>
        <w:t xml:space="preserve">                </w:t>
      </w:r>
    </w:p>
    <w:p>
      <w:pPr>
        <w:pStyle w:val="4"/>
        <w:bidi w:val="0"/>
        <w:jc w:val="center"/>
        <w:rPr>
          <w:rFonts w:hint="default" w:ascii="Times New Roman" w:hAnsi="Times New Roman" w:eastAsia="宋体" w:cs="Times New Roman"/>
          <w:b/>
          <w:bCs/>
          <w:color w:val="2E75B6" w:themeColor="accent1" w:themeShade="BF"/>
          <w:sz w:val="28"/>
          <w:szCs w:val="22"/>
          <w:u w:val="single"/>
          <w:lang w:val="en-US" w:eastAsia="zh-CN"/>
        </w:rPr>
      </w:pPr>
      <w:r>
        <w:rPr>
          <w:rFonts w:hint="eastAsia" w:ascii="Times New Roman" w:hAnsi="Times New Roman" w:eastAsia="宋体" w:cs="Times New Roman"/>
          <w:b/>
          <w:bCs/>
          <w:color w:val="2E75B6" w:themeColor="accent1" w:themeShade="BF"/>
          <w:sz w:val="28"/>
          <w:szCs w:val="22"/>
          <w:u w:val="single"/>
          <w:lang w:val="en-US" w:eastAsia="zh-CN"/>
        </w:rPr>
        <w:t>吸烟和肺癌的因果关系研究</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背景介绍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eastAsia" w:ascii="Times New Roman" w:hAnsi="Times New Roman" w:eastAsia="宋体" w:cs="Times New Roman"/>
          <w:b w:val="0"/>
          <w:bCs w:val="0"/>
          <w:sz w:val="22"/>
          <w:szCs w:val="20"/>
          <w:highlight w:val="none"/>
          <w:u w:val="none"/>
          <w:lang w:val="en-US" w:eastAsia="zh-CN"/>
        </w:rPr>
      </w:pPr>
      <w:r>
        <w:rPr>
          <w:rFonts w:hint="eastAsia" w:ascii="Times New Roman" w:hAnsi="Times New Roman" w:eastAsia="宋体" w:cs="Times New Roman"/>
          <w:b w:val="0"/>
          <w:bCs w:val="0"/>
          <w:sz w:val="22"/>
          <w:szCs w:val="20"/>
          <w:highlight w:val="none"/>
          <w:u w:val="none"/>
          <w:lang w:val="en-US" w:eastAsia="zh-CN"/>
        </w:rPr>
        <w:t>肺癌是我国目前发病率和死亡率最高的恶性肿瘤。并且肺癌的发病率逐年攀升。</w:t>
      </w:r>
    </w:p>
    <w:p>
      <w:pPr>
        <w:pStyle w:val="4"/>
        <w:bidi w:val="0"/>
        <w:jc w:val="both"/>
        <w:rPr>
          <w:rFonts w:hint="default" w:ascii="Times New Roman" w:hAnsi="Times New Roman" w:eastAsia="宋体" w:cs="Times New Roman"/>
          <w:b w:val="0"/>
          <w:bCs w:val="0"/>
          <w:sz w:val="22"/>
          <w:szCs w:val="20"/>
          <w:highlight w:val="lightGray"/>
          <w:u w:val="none"/>
          <w:shd w:val="clear" w:color="FFFFFF" w:fill="D9D9D9"/>
          <w:lang w:val="en-US" w:eastAsia="zh-CN"/>
        </w:rPr>
      </w:pPr>
      <w:r>
        <w:rPr>
          <w:rFonts w:hint="default" w:ascii="Times New Roman" w:hAnsi="Times New Roman" w:eastAsia="宋体" w:cs="Times New Roman"/>
          <w:b w:val="0"/>
          <w:bCs w:val="0"/>
          <w:sz w:val="22"/>
          <w:szCs w:val="20"/>
          <w:highlight w:val="lightGray"/>
          <w:u w:val="none"/>
          <w:shd w:val="clear" w:color="FFFFFF" w:fill="D9D9D9"/>
          <w:lang w:val="en-US" w:eastAsia="zh-CN"/>
        </w:rPr>
        <w:t>数据来源</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数据下载链接：</w:t>
      </w:r>
      <w:r>
        <w:rPr>
          <w:rFonts w:hint="eastAsia" w:ascii="Times New Roman" w:hAnsi="Times New Roman" w:cs="Times New Roman"/>
          <w:b w:val="0"/>
          <w:bCs w:val="0"/>
          <w:lang w:val="en-US" w:eastAsia="zh-CN"/>
        </w:rPr>
        <w:fldChar w:fldCharType="begin"/>
      </w:r>
      <w:r>
        <w:rPr>
          <w:rFonts w:hint="eastAsia" w:ascii="Times New Roman" w:hAnsi="Times New Roman" w:cs="Times New Roman"/>
          <w:b w:val="0"/>
          <w:bCs w:val="0"/>
          <w:lang w:val="en-US" w:eastAsia="zh-CN"/>
        </w:rPr>
        <w:instrText xml:space="preserve"> HYPERLINK "https://jbox.sjtu.edu.cn/l/WuCIIu" </w:instrText>
      </w:r>
      <w:r>
        <w:rPr>
          <w:rFonts w:hint="eastAsia" w:ascii="Times New Roman" w:hAnsi="Times New Roman" w:cs="Times New Roman"/>
          <w:b w:val="0"/>
          <w:bCs w:val="0"/>
          <w:lang w:val="en-US" w:eastAsia="zh-CN"/>
        </w:rPr>
        <w:fldChar w:fldCharType="separate"/>
      </w:r>
      <w:r>
        <w:rPr>
          <w:rStyle w:val="11"/>
          <w:rFonts w:hint="eastAsia" w:ascii="Times New Roman" w:hAnsi="Times New Roman" w:cs="Times New Roman"/>
          <w:b w:val="0"/>
          <w:bCs w:val="0"/>
          <w:lang w:val="en-US" w:eastAsia="zh-CN"/>
        </w:rPr>
        <w:t>https://jbox.sjtu.edu.cn/l/WuCIIu</w:t>
      </w:r>
      <w:r>
        <w:rPr>
          <w:rFonts w:hint="eastAsia" w:ascii="Times New Roman" w:hAnsi="Times New Roman" w:cs="Times New Roman"/>
          <w:b w:val="0"/>
          <w:bCs w:val="0"/>
          <w:lang w:val="en-US" w:eastAsia="zh-CN"/>
        </w:rPr>
        <w:fldChar w:fldCharType="end"/>
      </w:r>
      <w:bookmarkStart w:id="0" w:name="_GoBack"/>
      <w:bookmarkEnd w:id="0"/>
      <w:r>
        <w:rPr>
          <w:rFonts w:hint="eastAsia" w:ascii="Times New Roman" w:hAnsi="Times New Roman" w:cs="Times New Roman"/>
          <w:b w:val="0"/>
          <w:bCs w:val="0"/>
          <w:lang w:val="en-US" w:eastAsia="zh-CN"/>
        </w:rPr>
        <w:t>（内部数据，请勿外传）</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default" w:ascii="Times New Roman" w:hAnsi="Times New Roman" w:eastAsia="宋体" w:cs="Times New Roman"/>
          <w:b w:val="0"/>
          <w:bCs w:val="0"/>
          <w:sz w:val="22"/>
          <w:szCs w:val="20"/>
          <w:highlight w:val="lightGray"/>
          <w:u w:val="none"/>
          <w:lang w:val="en-US" w:eastAsia="zh-CN"/>
        </w:rPr>
        <w:t>数据介绍</w:t>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left"/>
        <w:textAlignment w:val="auto"/>
        <w:rPr>
          <w:rFonts w:hint="default" w:ascii="Times New Roman" w:hAnsi="Times New Roman" w:eastAsia="宋体" w:cs="Times New Roman"/>
          <w:b w:val="0"/>
          <w:bCs w:val="0"/>
          <w:sz w:val="22"/>
          <w:szCs w:val="20"/>
          <w:highlight w:val="none"/>
          <w:u w:val="none"/>
          <w:lang w:val="en-US" w:eastAsia="zh-CN"/>
        </w:rPr>
      </w:pPr>
      <w:r>
        <w:rPr>
          <w:rFonts w:hint="eastAsia" w:ascii="Times New Roman" w:hAnsi="Times New Roman" w:eastAsia="宋体" w:cs="Times New Roman"/>
          <w:b w:val="0"/>
          <w:bCs w:val="0"/>
          <w:sz w:val="22"/>
          <w:szCs w:val="20"/>
          <w:highlight w:val="none"/>
          <w:u w:val="none"/>
          <w:lang w:val="en-US" w:eastAsia="zh-CN"/>
        </w:rPr>
        <w:t>本题数据从TCGA中获取了肺癌患者的临床数据以及部分非肺癌患者的临床数据，并且下载了部分基因表达谱的数据，数据有缺失（临床数据与基因表达谱样本有不一致的请取交集），请酌情处理。</w:t>
      </w:r>
    </w:p>
    <w:p>
      <w:pPr>
        <w:pStyle w:val="4"/>
        <w:bidi w:val="0"/>
        <w:jc w:val="both"/>
        <w:rPr>
          <w:rFonts w:hint="default" w:ascii="Times New Roman" w:hAnsi="Times New Roman" w:eastAsia="宋体" w:cs="Times New Roman"/>
          <w:b w:val="0"/>
          <w:bCs w:val="0"/>
          <w:sz w:val="22"/>
          <w:szCs w:val="20"/>
          <w:highlight w:val="lightGray"/>
          <w:u w:val="none"/>
          <w:lang w:val="en-US" w:eastAsia="zh-CN"/>
        </w:rPr>
      </w:pPr>
      <w:r>
        <w:rPr>
          <w:rFonts w:hint="eastAsia" w:ascii="Times New Roman" w:hAnsi="Times New Roman" w:eastAsia="宋体" w:cs="Times New Roman"/>
          <w:b w:val="0"/>
          <w:bCs w:val="0"/>
          <w:sz w:val="22"/>
          <w:szCs w:val="20"/>
          <w:highlight w:val="lightGray"/>
          <w:u w:val="none"/>
          <w:lang w:val="en-US" w:eastAsia="zh-CN"/>
        </w:rPr>
        <w:t>探索研究以下问题</w:t>
      </w:r>
      <w:r>
        <w:rPr>
          <w:rFonts w:hint="default" w:ascii="Times New Roman" w:hAnsi="Times New Roman" w:eastAsia="宋体" w:cs="Times New Roman"/>
          <w:b w:val="0"/>
          <w:bCs w:val="0"/>
          <w:sz w:val="22"/>
          <w:szCs w:val="20"/>
          <w:highlight w:val="lightGray"/>
          <w:u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观测性的数据可以描述变量之间的相关关系，虽然研究表明了吸烟和肺癌有相关性，那么仅基于观测数据可以推测出来吸烟与肺癌有关系吗？</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val="0"/>
          <w:bCs w:val="0"/>
          <w:u w:val="none"/>
          <w:lang w:val="en-US" w:eastAsia="zh-CN"/>
        </w:rPr>
      </w:pPr>
      <w:r>
        <w:rPr>
          <w:rFonts w:hint="eastAsia" w:ascii="Times New Roman" w:hAnsi="Times New Roman" w:cs="Times New Roman"/>
          <w:b w:val="0"/>
          <w:bCs w:val="0"/>
          <w:u w:val="none"/>
          <w:lang w:val="en-US" w:eastAsia="zh-CN"/>
        </w:rPr>
        <w:t>请从因果推断的角度来阐述你的观点。</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val="0"/>
          <w:bCs w:val="0"/>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cs="Times New Roman"/>
          <w:b w:val="0"/>
          <w:bCs w:val="0"/>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jc w:val="both"/>
        <w:textAlignment w:val="auto"/>
        <w:rPr>
          <w:rFonts w:hint="eastAsia" w:ascii="Times New Roman" w:hAnsi="Times New Roman" w:cs="Times New Roman"/>
          <w:b w:val="0"/>
          <w:bCs w:val="0"/>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b w:val="0"/>
          <w:bCs w:val="0"/>
          <w:u w:val="none"/>
          <w:lang w:val="en-US" w:eastAsia="zh-CN"/>
        </w:rPr>
      </w:pP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cs="Times New Roman"/>
          <w:b w:val="0"/>
          <w:bCs w:val="0"/>
          <w:u w:val="none"/>
          <w:lang w:val="en-US" w:eastAsia="zh-CN"/>
        </w:rPr>
      </w:pPr>
      <w:r>
        <w:rPr>
          <w:rFonts w:hint="default" w:ascii="Times New Roman" w:hAnsi="Times New Roman" w:cs="Times New Roman"/>
          <w:b w:val="0"/>
          <w:bCs w:val="0"/>
          <w:u w:val="none"/>
          <w:lang w:val="en-US" w:eastAsia="zh-CN"/>
        </w:rPr>
        <w:fldChar w:fldCharType="begin"/>
      </w:r>
      <w:r>
        <w:rPr>
          <w:rFonts w:hint="default" w:ascii="Times New Roman" w:hAnsi="Times New Roman" w:cs="Times New Roman"/>
          <w:b w:val="0"/>
          <w:bCs w:val="0"/>
          <w:u w:val="none"/>
          <w:lang w:val="en-US" w:eastAsia="zh-CN"/>
        </w:rPr>
        <w:instrText xml:space="preserve"> HYPERLINK "mailto:请于4月20日之前完成作业并发送到助教邮箱（kongyan@sjtu.edu.cn）。有疑问可以在微信群询问。" </w:instrText>
      </w:r>
      <w:r>
        <w:rPr>
          <w:rFonts w:hint="default" w:ascii="Times New Roman" w:hAnsi="Times New Roman" w:cs="Times New Roman"/>
          <w:b w:val="0"/>
          <w:bCs w:val="0"/>
          <w:u w:val="none"/>
          <w:lang w:val="en-US" w:eastAsia="zh-CN"/>
        </w:rPr>
        <w:fldChar w:fldCharType="separate"/>
      </w:r>
      <w:r>
        <w:rPr>
          <w:rStyle w:val="11"/>
          <w:rFonts w:hint="default" w:ascii="Times New Roman" w:hAnsi="Times New Roman" w:cs="Times New Roman"/>
          <w:b w:val="0"/>
          <w:bCs w:val="0"/>
          <w:lang w:val="en-US" w:eastAsia="zh-CN"/>
        </w:rPr>
        <w:t>请于</w:t>
      </w:r>
      <w:r>
        <w:rPr>
          <w:rStyle w:val="11"/>
          <w:rFonts w:hint="eastAsia" w:ascii="Times New Roman" w:hAnsi="Times New Roman" w:cs="Times New Roman"/>
          <w:b w:val="0"/>
          <w:bCs w:val="0"/>
          <w:lang w:val="en-US" w:eastAsia="zh-CN"/>
        </w:rPr>
        <w:t>5</w:t>
      </w:r>
      <w:r>
        <w:rPr>
          <w:rStyle w:val="11"/>
          <w:rFonts w:hint="default" w:ascii="Times New Roman" w:hAnsi="Times New Roman" w:cs="Times New Roman"/>
          <w:b w:val="0"/>
          <w:bCs w:val="0"/>
          <w:lang w:val="en-US" w:eastAsia="zh-CN"/>
        </w:rPr>
        <w:t>月</w:t>
      </w:r>
      <w:r>
        <w:rPr>
          <w:rStyle w:val="11"/>
          <w:rFonts w:hint="eastAsia" w:ascii="Times New Roman" w:hAnsi="Times New Roman" w:cs="Times New Roman"/>
          <w:b w:val="0"/>
          <w:bCs w:val="0"/>
          <w:lang w:val="en-US" w:eastAsia="zh-CN"/>
        </w:rPr>
        <w:t>6</w:t>
      </w:r>
      <w:r>
        <w:rPr>
          <w:rStyle w:val="11"/>
          <w:rFonts w:hint="default" w:ascii="Times New Roman" w:hAnsi="Times New Roman" w:cs="Times New Roman"/>
          <w:b w:val="0"/>
          <w:bCs w:val="0"/>
          <w:lang w:val="en-US" w:eastAsia="zh-CN"/>
        </w:rPr>
        <w:t>日之前完成作业并发送到助教邮箱（kongyan@sjtu.edu.cn）。有疑问可以在微信群询问。</w:t>
      </w:r>
      <w:r>
        <w:rPr>
          <w:rFonts w:hint="default" w:ascii="Times New Roman" w:hAnsi="Times New Roman" w:cs="Times New Roman"/>
          <w:b w:val="0"/>
          <w:bCs w:val="0"/>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cs="Times New Roman"/>
          <w:b w:val="0"/>
          <w:bCs w:val="0"/>
          <w:u w:val="none"/>
          <w:lang w:val="en-US" w:eastAsia="zh-CN"/>
        </w:rPr>
      </w:pPr>
    </w:p>
    <w:p>
      <w:pPr>
        <w:keepNext w:val="0"/>
        <w:keepLines w:val="0"/>
        <w:pageBreakBefore w:val="0"/>
        <w:widowControl w:val="0"/>
        <w:kinsoku/>
        <w:wordWrap/>
        <w:overflowPunct/>
        <w:topLinePunct w:val="0"/>
        <w:autoSpaceDE/>
        <w:autoSpaceDN/>
        <w:bidi w:val="0"/>
        <w:adjustRightInd/>
        <w:snapToGrid/>
        <w:spacing w:before="240" w:after="240" w:line="360" w:lineRule="auto"/>
        <w:jc w:val="both"/>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240" w:after="240" w:line="360" w:lineRule="auto"/>
        <w:ind w:firstLine="420" w:firstLineChars="0"/>
        <w:jc w:val="both"/>
        <w:textAlignment w:val="auto"/>
        <w:rPr>
          <w:rFonts w:hint="default" w:ascii="Times New Roman" w:hAnsi="Times New Roman" w:cs="Times New Roman"/>
          <w:b/>
          <w:bCs/>
          <w:sz w:val="24"/>
          <w:szCs w:val="24"/>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隶书">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方正姚体">
    <w:panose1 w:val="02010601030101010101"/>
    <w:charset w:val="86"/>
    <w:family w:val="auto"/>
    <w:pitch w:val="default"/>
    <w:sig w:usb0="00000003" w:usb1="080E0000" w:usb2="00000000" w:usb3="00000000" w:csb0="00040000" w:csb1="00000000"/>
  </w:font>
  <w:font w:name="Franklin Gothic Demi Cond">
    <w:panose1 w:val="020B0706030402020204"/>
    <w:charset w:val="00"/>
    <w:family w:val="auto"/>
    <w:pitch w:val="default"/>
    <w:sig w:usb0="00000287" w:usb1="000000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kinsoku/>
      <w:wordWrap/>
      <w:overflowPunct/>
      <w:topLinePunct w:val="0"/>
      <w:autoSpaceDE/>
      <w:autoSpaceDN/>
      <w:bidi w:val="0"/>
      <w:adjustRightInd/>
      <w:snapToGrid/>
      <w:spacing w:before="240" w:after="240" w:line="360" w:lineRule="auto"/>
      <w:jc w:val="left"/>
      <w:textAlignment w:val="auto"/>
      <w:rPr>
        <w:rFonts w:hint="default"/>
        <w:color w:val="AFABAB" w:themeColor="background2" w:themeShade="BF"/>
        <w:sz w:val="13"/>
        <w:szCs w:val="16"/>
        <w:shd w:val="clear" w:color="auto" w:fill="auto"/>
        <w:lang w:val="en-US" w:eastAsia="zh-CN"/>
      </w:rPr>
    </w:pPr>
    <w:r>
      <w:rPr>
        <w:rFonts w:hint="default" w:ascii="Times New Roman" w:hAnsi="Times New Roman" w:eastAsia="方正姚体" w:cs="Times New Roman"/>
        <w:b/>
        <w:bCs/>
        <w:color w:val="AFABAB" w:themeColor="background2" w:themeShade="BF"/>
        <w:sz w:val="24"/>
        <w:szCs w:val="32"/>
        <w:shd w:val="clear" w:color="auto" w:fill="auto"/>
        <w:lang w:val="en-US" w:eastAsia="zh-CN"/>
      </w:rPr>
      <w:t>生物大数据分析</w:t>
    </w:r>
    <w:r>
      <w:rPr>
        <w:rFonts w:hint="default" w:ascii="Franklin Gothic Demi Cond" w:hAnsi="Franklin Gothic Demi Cond" w:eastAsia="方正姚体" w:cs="Franklin Gothic Demi Cond"/>
        <w:b/>
        <w:bCs/>
        <w:color w:val="AFABAB" w:themeColor="background2" w:themeShade="BF"/>
        <w:sz w:val="24"/>
        <w:szCs w:val="32"/>
        <w:shd w:val="clear" w:color="auto" w:fill="auto"/>
        <w:lang w:val="en-US" w:eastAsia="zh-CN"/>
      </w:rPr>
      <w:t>group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D8AA3A"/>
    <w:multiLevelType w:val="multilevel"/>
    <w:tmpl w:val="85D8AA3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4331285"/>
    <w:multiLevelType w:val="singleLevel"/>
    <w:tmpl w:val="D4331285"/>
    <w:lvl w:ilvl="0" w:tentative="0">
      <w:start w:val="1"/>
      <w:numFmt w:val="decimal"/>
      <w:suff w:val="space"/>
      <w:lvlText w:val="%1."/>
      <w:lvlJc w:val="left"/>
    </w:lvl>
  </w:abstractNum>
  <w:abstractNum w:abstractNumId="2">
    <w:nsid w:val="08D5ED19"/>
    <w:multiLevelType w:val="singleLevel"/>
    <w:tmpl w:val="08D5ED19"/>
    <w:lvl w:ilvl="0" w:tentative="0">
      <w:start w:val="1"/>
      <w:numFmt w:val="decimal"/>
      <w:suff w:val="space"/>
      <w:lvlText w:val="%1."/>
      <w:lvlJc w:val="left"/>
    </w:lvl>
  </w:abstractNum>
  <w:abstractNum w:abstractNumId="3">
    <w:nsid w:val="0ACA5E81"/>
    <w:multiLevelType w:val="singleLevel"/>
    <w:tmpl w:val="0ACA5E81"/>
    <w:lvl w:ilvl="0" w:tentative="0">
      <w:start w:val="1"/>
      <w:numFmt w:val="decimal"/>
      <w:suff w:val="space"/>
      <w:lvlText w:val="%1."/>
      <w:lvlJc w:val="left"/>
    </w:lvl>
  </w:abstractNum>
  <w:abstractNum w:abstractNumId="4">
    <w:nsid w:val="454C2D75"/>
    <w:multiLevelType w:val="singleLevel"/>
    <w:tmpl w:val="454C2D75"/>
    <w:lvl w:ilvl="0" w:tentative="0">
      <w:start w:val="1"/>
      <w:numFmt w:val="decimal"/>
      <w:suff w:val="space"/>
      <w:lvlText w:val="%1."/>
      <w:lvlJc w:val="left"/>
    </w:lvl>
  </w:abstractNum>
  <w:abstractNum w:abstractNumId="5">
    <w:nsid w:val="6209FD7E"/>
    <w:multiLevelType w:val="singleLevel"/>
    <w:tmpl w:val="6209FD7E"/>
    <w:lvl w:ilvl="0" w:tentative="0">
      <w:start w:val="1"/>
      <w:numFmt w:val="decimal"/>
      <w:suff w:val="space"/>
      <w:lvlText w:val="%1."/>
      <w:lvlJc w:val="left"/>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3446C9"/>
    <w:rsid w:val="001633C8"/>
    <w:rsid w:val="006B7F7C"/>
    <w:rsid w:val="008A5471"/>
    <w:rsid w:val="00926490"/>
    <w:rsid w:val="00B24AA6"/>
    <w:rsid w:val="01330D52"/>
    <w:rsid w:val="014A50BB"/>
    <w:rsid w:val="018E2950"/>
    <w:rsid w:val="01A324CC"/>
    <w:rsid w:val="01AB3759"/>
    <w:rsid w:val="01B6161E"/>
    <w:rsid w:val="01BB2C52"/>
    <w:rsid w:val="01C455BC"/>
    <w:rsid w:val="01FE3089"/>
    <w:rsid w:val="020361AF"/>
    <w:rsid w:val="02375D5C"/>
    <w:rsid w:val="027D23F5"/>
    <w:rsid w:val="02B312D2"/>
    <w:rsid w:val="02BB32E8"/>
    <w:rsid w:val="02C45051"/>
    <w:rsid w:val="02C45C4F"/>
    <w:rsid w:val="02F35FD4"/>
    <w:rsid w:val="034E3482"/>
    <w:rsid w:val="03594F23"/>
    <w:rsid w:val="03D1161D"/>
    <w:rsid w:val="03F7418A"/>
    <w:rsid w:val="04206B84"/>
    <w:rsid w:val="04982745"/>
    <w:rsid w:val="04AB59C4"/>
    <w:rsid w:val="04B31FB7"/>
    <w:rsid w:val="055F010C"/>
    <w:rsid w:val="058C28A2"/>
    <w:rsid w:val="05C559D4"/>
    <w:rsid w:val="06103578"/>
    <w:rsid w:val="064403F9"/>
    <w:rsid w:val="067D0CFA"/>
    <w:rsid w:val="07194614"/>
    <w:rsid w:val="07436BB9"/>
    <w:rsid w:val="0748211F"/>
    <w:rsid w:val="07B51B90"/>
    <w:rsid w:val="07D13C05"/>
    <w:rsid w:val="07D45992"/>
    <w:rsid w:val="07EB5CC5"/>
    <w:rsid w:val="081B3E88"/>
    <w:rsid w:val="08651D9E"/>
    <w:rsid w:val="086B2C76"/>
    <w:rsid w:val="089052B9"/>
    <w:rsid w:val="09552966"/>
    <w:rsid w:val="09614BCA"/>
    <w:rsid w:val="098128B2"/>
    <w:rsid w:val="09AD0CCC"/>
    <w:rsid w:val="0A527A07"/>
    <w:rsid w:val="0A622223"/>
    <w:rsid w:val="0A927A05"/>
    <w:rsid w:val="0AD75EAD"/>
    <w:rsid w:val="0B2E2F60"/>
    <w:rsid w:val="0B447659"/>
    <w:rsid w:val="0B450D87"/>
    <w:rsid w:val="0B4F0EE7"/>
    <w:rsid w:val="0B727DF2"/>
    <w:rsid w:val="0B7E1F8F"/>
    <w:rsid w:val="0BA73024"/>
    <w:rsid w:val="0C2124C3"/>
    <w:rsid w:val="0C23358F"/>
    <w:rsid w:val="0C700307"/>
    <w:rsid w:val="0C8A6DAB"/>
    <w:rsid w:val="0CD441A7"/>
    <w:rsid w:val="0CE93C72"/>
    <w:rsid w:val="0CFB46AE"/>
    <w:rsid w:val="0E36653F"/>
    <w:rsid w:val="0E5B0DA6"/>
    <w:rsid w:val="0E7621D9"/>
    <w:rsid w:val="0EA30A7F"/>
    <w:rsid w:val="0F394AAA"/>
    <w:rsid w:val="0F4773C5"/>
    <w:rsid w:val="0F4B4E60"/>
    <w:rsid w:val="0F6509D3"/>
    <w:rsid w:val="0F907652"/>
    <w:rsid w:val="0F967241"/>
    <w:rsid w:val="0FDC288A"/>
    <w:rsid w:val="10006274"/>
    <w:rsid w:val="107674B4"/>
    <w:rsid w:val="10FF0574"/>
    <w:rsid w:val="11415697"/>
    <w:rsid w:val="11522304"/>
    <w:rsid w:val="119B1210"/>
    <w:rsid w:val="12335E13"/>
    <w:rsid w:val="12784AB5"/>
    <w:rsid w:val="12C729B6"/>
    <w:rsid w:val="136D7556"/>
    <w:rsid w:val="139A5593"/>
    <w:rsid w:val="1417538A"/>
    <w:rsid w:val="14291C70"/>
    <w:rsid w:val="1469338C"/>
    <w:rsid w:val="149524B9"/>
    <w:rsid w:val="14B058D6"/>
    <w:rsid w:val="14E43869"/>
    <w:rsid w:val="15393CFB"/>
    <w:rsid w:val="159B00DA"/>
    <w:rsid w:val="15A7534A"/>
    <w:rsid w:val="160B6E10"/>
    <w:rsid w:val="16641EB0"/>
    <w:rsid w:val="16856C18"/>
    <w:rsid w:val="16A90336"/>
    <w:rsid w:val="16B11640"/>
    <w:rsid w:val="16FC7BD0"/>
    <w:rsid w:val="177B2653"/>
    <w:rsid w:val="17805513"/>
    <w:rsid w:val="181470BE"/>
    <w:rsid w:val="18233EDF"/>
    <w:rsid w:val="184F569C"/>
    <w:rsid w:val="188C41A1"/>
    <w:rsid w:val="18A36659"/>
    <w:rsid w:val="18AE5681"/>
    <w:rsid w:val="18C93A0B"/>
    <w:rsid w:val="18DC1B09"/>
    <w:rsid w:val="18DD1005"/>
    <w:rsid w:val="198977A0"/>
    <w:rsid w:val="1A68533F"/>
    <w:rsid w:val="1ACC60C7"/>
    <w:rsid w:val="1ADB50A5"/>
    <w:rsid w:val="1B0F1706"/>
    <w:rsid w:val="1B6C5179"/>
    <w:rsid w:val="1B7722DF"/>
    <w:rsid w:val="1B9861F0"/>
    <w:rsid w:val="1BBB233B"/>
    <w:rsid w:val="1BE7624F"/>
    <w:rsid w:val="1C130EDA"/>
    <w:rsid w:val="1C2238B1"/>
    <w:rsid w:val="1C500E5D"/>
    <w:rsid w:val="1C5777F6"/>
    <w:rsid w:val="1C8C1C41"/>
    <w:rsid w:val="1D1022B2"/>
    <w:rsid w:val="1D454355"/>
    <w:rsid w:val="1DEA2CFF"/>
    <w:rsid w:val="1E540EBD"/>
    <w:rsid w:val="1E7F0EEF"/>
    <w:rsid w:val="1E7F6D16"/>
    <w:rsid w:val="1EDC6A87"/>
    <w:rsid w:val="1F4402F0"/>
    <w:rsid w:val="1F794EB8"/>
    <w:rsid w:val="1FEB0AE2"/>
    <w:rsid w:val="20182909"/>
    <w:rsid w:val="202B74D7"/>
    <w:rsid w:val="20A567F6"/>
    <w:rsid w:val="20A84432"/>
    <w:rsid w:val="20DD4B7D"/>
    <w:rsid w:val="20F40C72"/>
    <w:rsid w:val="20F7743E"/>
    <w:rsid w:val="21212E6F"/>
    <w:rsid w:val="216D7961"/>
    <w:rsid w:val="21A3564B"/>
    <w:rsid w:val="21A64403"/>
    <w:rsid w:val="21CC5D0D"/>
    <w:rsid w:val="222334FF"/>
    <w:rsid w:val="2270451C"/>
    <w:rsid w:val="22955619"/>
    <w:rsid w:val="229A6268"/>
    <w:rsid w:val="22D909FC"/>
    <w:rsid w:val="232725F4"/>
    <w:rsid w:val="232B575A"/>
    <w:rsid w:val="235655AD"/>
    <w:rsid w:val="242F7B73"/>
    <w:rsid w:val="243E0D60"/>
    <w:rsid w:val="24964EFA"/>
    <w:rsid w:val="249A2435"/>
    <w:rsid w:val="251D7CB0"/>
    <w:rsid w:val="251E5647"/>
    <w:rsid w:val="25376BC9"/>
    <w:rsid w:val="25603514"/>
    <w:rsid w:val="25A029F2"/>
    <w:rsid w:val="25A0720F"/>
    <w:rsid w:val="25AB1E17"/>
    <w:rsid w:val="26017E3C"/>
    <w:rsid w:val="26212509"/>
    <w:rsid w:val="26244AFC"/>
    <w:rsid w:val="268E78D2"/>
    <w:rsid w:val="26D72011"/>
    <w:rsid w:val="27367728"/>
    <w:rsid w:val="274E6EBA"/>
    <w:rsid w:val="27A62388"/>
    <w:rsid w:val="27A74BEE"/>
    <w:rsid w:val="27AF025B"/>
    <w:rsid w:val="27B77627"/>
    <w:rsid w:val="2802768C"/>
    <w:rsid w:val="28065D91"/>
    <w:rsid w:val="28497B65"/>
    <w:rsid w:val="287944F9"/>
    <w:rsid w:val="28A82098"/>
    <w:rsid w:val="28C67CE2"/>
    <w:rsid w:val="28D255CF"/>
    <w:rsid w:val="290B032D"/>
    <w:rsid w:val="29430619"/>
    <w:rsid w:val="296E3305"/>
    <w:rsid w:val="29D6016E"/>
    <w:rsid w:val="29E104A3"/>
    <w:rsid w:val="2A2A00D1"/>
    <w:rsid w:val="2A2F19DD"/>
    <w:rsid w:val="2A336870"/>
    <w:rsid w:val="2B246150"/>
    <w:rsid w:val="2BAA1111"/>
    <w:rsid w:val="2BFF0C52"/>
    <w:rsid w:val="2C110A72"/>
    <w:rsid w:val="2C4A25E2"/>
    <w:rsid w:val="2CA0138A"/>
    <w:rsid w:val="2CBB7A51"/>
    <w:rsid w:val="2D0F2A9E"/>
    <w:rsid w:val="2D2D00F1"/>
    <w:rsid w:val="2D540D0C"/>
    <w:rsid w:val="2D74310A"/>
    <w:rsid w:val="2D900D1E"/>
    <w:rsid w:val="2D912507"/>
    <w:rsid w:val="2DBF3987"/>
    <w:rsid w:val="2E200F82"/>
    <w:rsid w:val="2E37482E"/>
    <w:rsid w:val="2E3D3A12"/>
    <w:rsid w:val="2E6F4CAC"/>
    <w:rsid w:val="2EB51BBC"/>
    <w:rsid w:val="2F1F501D"/>
    <w:rsid w:val="2F677D2D"/>
    <w:rsid w:val="2F8D3703"/>
    <w:rsid w:val="2FF7090B"/>
    <w:rsid w:val="301438EF"/>
    <w:rsid w:val="30186387"/>
    <w:rsid w:val="30876362"/>
    <w:rsid w:val="30A42D23"/>
    <w:rsid w:val="30BD1596"/>
    <w:rsid w:val="30BD476B"/>
    <w:rsid w:val="310817CF"/>
    <w:rsid w:val="310820E4"/>
    <w:rsid w:val="317A6967"/>
    <w:rsid w:val="31862C08"/>
    <w:rsid w:val="31D53053"/>
    <w:rsid w:val="32585084"/>
    <w:rsid w:val="32A02130"/>
    <w:rsid w:val="32CF7193"/>
    <w:rsid w:val="32E960C0"/>
    <w:rsid w:val="337B10F8"/>
    <w:rsid w:val="33B811E7"/>
    <w:rsid w:val="33C11E3B"/>
    <w:rsid w:val="33D662E9"/>
    <w:rsid w:val="34393764"/>
    <w:rsid w:val="346E0687"/>
    <w:rsid w:val="34836605"/>
    <w:rsid w:val="34AC3522"/>
    <w:rsid w:val="34CA49C2"/>
    <w:rsid w:val="34D662FF"/>
    <w:rsid w:val="35590866"/>
    <w:rsid w:val="355D6F44"/>
    <w:rsid w:val="36861321"/>
    <w:rsid w:val="368D2DE2"/>
    <w:rsid w:val="370B6F98"/>
    <w:rsid w:val="37194DAB"/>
    <w:rsid w:val="37427DE7"/>
    <w:rsid w:val="37457F7C"/>
    <w:rsid w:val="37844761"/>
    <w:rsid w:val="37D877BD"/>
    <w:rsid w:val="38074CD2"/>
    <w:rsid w:val="381305E2"/>
    <w:rsid w:val="386E4668"/>
    <w:rsid w:val="38706124"/>
    <w:rsid w:val="38940013"/>
    <w:rsid w:val="38D24123"/>
    <w:rsid w:val="38E33FF5"/>
    <w:rsid w:val="38E95417"/>
    <w:rsid w:val="38F96523"/>
    <w:rsid w:val="38F96C75"/>
    <w:rsid w:val="390E60E2"/>
    <w:rsid w:val="393C38C7"/>
    <w:rsid w:val="39724D41"/>
    <w:rsid w:val="39785097"/>
    <w:rsid w:val="398C27CE"/>
    <w:rsid w:val="399B3478"/>
    <w:rsid w:val="39E71BE9"/>
    <w:rsid w:val="3A0A4EB5"/>
    <w:rsid w:val="3A4D1133"/>
    <w:rsid w:val="3A964E91"/>
    <w:rsid w:val="3AA045E9"/>
    <w:rsid w:val="3AF02E96"/>
    <w:rsid w:val="3B544486"/>
    <w:rsid w:val="3B921760"/>
    <w:rsid w:val="3BEC23E4"/>
    <w:rsid w:val="3C181432"/>
    <w:rsid w:val="3C7A5FEC"/>
    <w:rsid w:val="3C884E04"/>
    <w:rsid w:val="3C92061A"/>
    <w:rsid w:val="3D2D22A2"/>
    <w:rsid w:val="3D623F8D"/>
    <w:rsid w:val="3DED3ADB"/>
    <w:rsid w:val="3E36579D"/>
    <w:rsid w:val="3E84072F"/>
    <w:rsid w:val="3EA86140"/>
    <w:rsid w:val="3ED84042"/>
    <w:rsid w:val="3EFF4A4A"/>
    <w:rsid w:val="3F382F84"/>
    <w:rsid w:val="3FE63646"/>
    <w:rsid w:val="40516A60"/>
    <w:rsid w:val="40941778"/>
    <w:rsid w:val="40DD2679"/>
    <w:rsid w:val="40EB6A35"/>
    <w:rsid w:val="40F52980"/>
    <w:rsid w:val="40FB392F"/>
    <w:rsid w:val="412C70BC"/>
    <w:rsid w:val="417230D7"/>
    <w:rsid w:val="417A5F79"/>
    <w:rsid w:val="4184021C"/>
    <w:rsid w:val="41C5353E"/>
    <w:rsid w:val="421C134C"/>
    <w:rsid w:val="42320789"/>
    <w:rsid w:val="43245A5F"/>
    <w:rsid w:val="4354758B"/>
    <w:rsid w:val="4399061D"/>
    <w:rsid w:val="43A04F2C"/>
    <w:rsid w:val="43A60F6D"/>
    <w:rsid w:val="43B54624"/>
    <w:rsid w:val="43BB7DDD"/>
    <w:rsid w:val="446554CC"/>
    <w:rsid w:val="447C2232"/>
    <w:rsid w:val="449D6A09"/>
    <w:rsid w:val="44CB7792"/>
    <w:rsid w:val="44F708E4"/>
    <w:rsid w:val="45001BEA"/>
    <w:rsid w:val="451B5CFB"/>
    <w:rsid w:val="45734CD8"/>
    <w:rsid w:val="459136A7"/>
    <w:rsid w:val="45B87C58"/>
    <w:rsid w:val="46185D66"/>
    <w:rsid w:val="461C4235"/>
    <w:rsid w:val="46415DE4"/>
    <w:rsid w:val="466335BA"/>
    <w:rsid w:val="467534FE"/>
    <w:rsid w:val="46C2703E"/>
    <w:rsid w:val="46E85AFE"/>
    <w:rsid w:val="4767522F"/>
    <w:rsid w:val="47C0415A"/>
    <w:rsid w:val="47CE022B"/>
    <w:rsid w:val="47DD5B4A"/>
    <w:rsid w:val="47E52FA2"/>
    <w:rsid w:val="47F91006"/>
    <w:rsid w:val="48176DF9"/>
    <w:rsid w:val="482A0CA6"/>
    <w:rsid w:val="484A00E2"/>
    <w:rsid w:val="484C4977"/>
    <w:rsid w:val="485D0B8F"/>
    <w:rsid w:val="486439ED"/>
    <w:rsid w:val="48E52D6C"/>
    <w:rsid w:val="494169DC"/>
    <w:rsid w:val="49551D4F"/>
    <w:rsid w:val="497333BC"/>
    <w:rsid w:val="49B426C2"/>
    <w:rsid w:val="49E1705B"/>
    <w:rsid w:val="4AF0074C"/>
    <w:rsid w:val="4AF14C4F"/>
    <w:rsid w:val="4B9D35FF"/>
    <w:rsid w:val="4BBB77E7"/>
    <w:rsid w:val="4BF13E31"/>
    <w:rsid w:val="4BFE55F1"/>
    <w:rsid w:val="4C281897"/>
    <w:rsid w:val="4C9B4343"/>
    <w:rsid w:val="4D4314A2"/>
    <w:rsid w:val="4D535B22"/>
    <w:rsid w:val="4D6E6787"/>
    <w:rsid w:val="4DEB0FD5"/>
    <w:rsid w:val="4E991300"/>
    <w:rsid w:val="50076B7E"/>
    <w:rsid w:val="502804EF"/>
    <w:rsid w:val="50455819"/>
    <w:rsid w:val="504E4F70"/>
    <w:rsid w:val="509E749F"/>
    <w:rsid w:val="50CF41E5"/>
    <w:rsid w:val="50F64A86"/>
    <w:rsid w:val="51547B50"/>
    <w:rsid w:val="515829B3"/>
    <w:rsid w:val="516E4404"/>
    <w:rsid w:val="51883BD7"/>
    <w:rsid w:val="51AD013C"/>
    <w:rsid w:val="528743A2"/>
    <w:rsid w:val="52BA4792"/>
    <w:rsid w:val="52F23BB0"/>
    <w:rsid w:val="533F04F5"/>
    <w:rsid w:val="536270B1"/>
    <w:rsid w:val="53A328D9"/>
    <w:rsid w:val="53A81BDB"/>
    <w:rsid w:val="55221B0B"/>
    <w:rsid w:val="5551724E"/>
    <w:rsid w:val="55ED7FE3"/>
    <w:rsid w:val="56BE711C"/>
    <w:rsid w:val="57493BC9"/>
    <w:rsid w:val="575A2DA0"/>
    <w:rsid w:val="576C290B"/>
    <w:rsid w:val="57885EC3"/>
    <w:rsid w:val="57963906"/>
    <w:rsid w:val="57AA77CD"/>
    <w:rsid w:val="585B1D22"/>
    <w:rsid w:val="5889069B"/>
    <w:rsid w:val="58BC45A8"/>
    <w:rsid w:val="58FC4279"/>
    <w:rsid w:val="590C5FBC"/>
    <w:rsid w:val="591F35FF"/>
    <w:rsid w:val="592B614F"/>
    <w:rsid w:val="594E0F44"/>
    <w:rsid w:val="59A7753E"/>
    <w:rsid w:val="59F320E4"/>
    <w:rsid w:val="5A1A7724"/>
    <w:rsid w:val="5A5C7CEA"/>
    <w:rsid w:val="5A685893"/>
    <w:rsid w:val="5B3434BC"/>
    <w:rsid w:val="5B4A186D"/>
    <w:rsid w:val="5B972BDB"/>
    <w:rsid w:val="5B9D02C7"/>
    <w:rsid w:val="5BAC1AF6"/>
    <w:rsid w:val="5C2E6D7C"/>
    <w:rsid w:val="5C9F72CB"/>
    <w:rsid w:val="5D12312D"/>
    <w:rsid w:val="5D2C16D0"/>
    <w:rsid w:val="5D947A54"/>
    <w:rsid w:val="5DA60139"/>
    <w:rsid w:val="5DBD5685"/>
    <w:rsid w:val="5DD4188A"/>
    <w:rsid w:val="5E1248B5"/>
    <w:rsid w:val="5E5425E6"/>
    <w:rsid w:val="5E6755E3"/>
    <w:rsid w:val="5E867B9C"/>
    <w:rsid w:val="5EF3200F"/>
    <w:rsid w:val="5F115963"/>
    <w:rsid w:val="5F260415"/>
    <w:rsid w:val="5F2B4BC1"/>
    <w:rsid w:val="5F4718EC"/>
    <w:rsid w:val="5F5B4E03"/>
    <w:rsid w:val="600E64C3"/>
    <w:rsid w:val="606D66C1"/>
    <w:rsid w:val="60922CCD"/>
    <w:rsid w:val="60AC72CC"/>
    <w:rsid w:val="60BD0D5A"/>
    <w:rsid w:val="60E907F8"/>
    <w:rsid w:val="60F667C2"/>
    <w:rsid w:val="60FB3773"/>
    <w:rsid w:val="617363D5"/>
    <w:rsid w:val="618C55C2"/>
    <w:rsid w:val="61AE028A"/>
    <w:rsid w:val="61B410C5"/>
    <w:rsid w:val="61C40A2F"/>
    <w:rsid w:val="61D3616D"/>
    <w:rsid w:val="61E804AC"/>
    <w:rsid w:val="62110245"/>
    <w:rsid w:val="621E20B2"/>
    <w:rsid w:val="62233D89"/>
    <w:rsid w:val="625116E2"/>
    <w:rsid w:val="62915468"/>
    <w:rsid w:val="62F610B2"/>
    <w:rsid w:val="630A7536"/>
    <w:rsid w:val="632F0689"/>
    <w:rsid w:val="63531FC3"/>
    <w:rsid w:val="637667A1"/>
    <w:rsid w:val="637F0692"/>
    <w:rsid w:val="63824A14"/>
    <w:rsid w:val="63AE4C4B"/>
    <w:rsid w:val="63E9361A"/>
    <w:rsid w:val="642630DF"/>
    <w:rsid w:val="64400D35"/>
    <w:rsid w:val="646A1BF3"/>
    <w:rsid w:val="648F7526"/>
    <w:rsid w:val="649E275C"/>
    <w:rsid w:val="64AF7B16"/>
    <w:rsid w:val="64B13CE0"/>
    <w:rsid w:val="64C05749"/>
    <w:rsid w:val="651A3383"/>
    <w:rsid w:val="65C7781C"/>
    <w:rsid w:val="65C81AB8"/>
    <w:rsid w:val="65D5035F"/>
    <w:rsid w:val="660A3B0F"/>
    <w:rsid w:val="66355574"/>
    <w:rsid w:val="66826C5B"/>
    <w:rsid w:val="66AB3126"/>
    <w:rsid w:val="66E122A3"/>
    <w:rsid w:val="67060529"/>
    <w:rsid w:val="67283F33"/>
    <w:rsid w:val="6801651F"/>
    <w:rsid w:val="68C535FC"/>
    <w:rsid w:val="68F91839"/>
    <w:rsid w:val="690D335F"/>
    <w:rsid w:val="693446C9"/>
    <w:rsid w:val="694A2911"/>
    <w:rsid w:val="69545A16"/>
    <w:rsid w:val="69602FAA"/>
    <w:rsid w:val="69F01169"/>
    <w:rsid w:val="6A6C014E"/>
    <w:rsid w:val="6A6E03CD"/>
    <w:rsid w:val="6A827D24"/>
    <w:rsid w:val="6B343CD7"/>
    <w:rsid w:val="6C461256"/>
    <w:rsid w:val="6CB44D1B"/>
    <w:rsid w:val="6CD86EE1"/>
    <w:rsid w:val="6D3B71FB"/>
    <w:rsid w:val="6D564028"/>
    <w:rsid w:val="6DD753EB"/>
    <w:rsid w:val="6E186D7A"/>
    <w:rsid w:val="6E380BE1"/>
    <w:rsid w:val="6E51010D"/>
    <w:rsid w:val="6E607AFC"/>
    <w:rsid w:val="6E780691"/>
    <w:rsid w:val="6E7C3772"/>
    <w:rsid w:val="6E9013E8"/>
    <w:rsid w:val="6E90362B"/>
    <w:rsid w:val="6EAE1A59"/>
    <w:rsid w:val="6F5450ED"/>
    <w:rsid w:val="6F755945"/>
    <w:rsid w:val="6F9E580F"/>
    <w:rsid w:val="70635153"/>
    <w:rsid w:val="708A1CA0"/>
    <w:rsid w:val="70D960A9"/>
    <w:rsid w:val="70DD4BD1"/>
    <w:rsid w:val="70E421EF"/>
    <w:rsid w:val="714C2ECB"/>
    <w:rsid w:val="71516BBA"/>
    <w:rsid w:val="71721664"/>
    <w:rsid w:val="71923809"/>
    <w:rsid w:val="71D75DA3"/>
    <w:rsid w:val="720D2C8A"/>
    <w:rsid w:val="7240725D"/>
    <w:rsid w:val="72765110"/>
    <w:rsid w:val="728977A5"/>
    <w:rsid w:val="73494861"/>
    <w:rsid w:val="74A905A9"/>
    <w:rsid w:val="74E0319E"/>
    <w:rsid w:val="74F542E6"/>
    <w:rsid w:val="74F85243"/>
    <w:rsid w:val="756244FE"/>
    <w:rsid w:val="75F26394"/>
    <w:rsid w:val="75F55412"/>
    <w:rsid w:val="761129A3"/>
    <w:rsid w:val="765F2D87"/>
    <w:rsid w:val="77CD6C15"/>
    <w:rsid w:val="78420405"/>
    <w:rsid w:val="78867570"/>
    <w:rsid w:val="78991BF0"/>
    <w:rsid w:val="78DF6FCE"/>
    <w:rsid w:val="790A602C"/>
    <w:rsid w:val="79C74666"/>
    <w:rsid w:val="79F509FE"/>
    <w:rsid w:val="7A1B26A1"/>
    <w:rsid w:val="7A9F0CD3"/>
    <w:rsid w:val="7ABB69D1"/>
    <w:rsid w:val="7ACC378F"/>
    <w:rsid w:val="7AF042B8"/>
    <w:rsid w:val="7AFA2663"/>
    <w:rsid w:val="7B1F6B6A"/>
    <w:rsid w:val="7B27700E"/>
    <w:rsid w:val="7B345516"/>
    <w:rsid w:val="7B3F79B3"/>
    <w:rsid w:val="7B6B65A2"/>
    <w:rsid w:val="7C142F1F"/>
    <w:rsid w:val="7C8B0149"/>
    <w:rsid w:val="7C8D2BE7"/>
    <w:rsid w:val="7D4B4C01"/>
    <w:rsid w:val="7E0E200F"/>
    <w:rsid w:val="7E174B3C"/>
    <w:rsid w:val="7E192777"/>
    <w:rsid w:val="7E645B08"/>
    <w:rsid w:val="7EC87AA9"/>
    <w:rsid w:val="7F1C1A0E"/>
    <w:rsid w:val="7F336707"/>
    <w:rsid w:val="7F3C5818"/>
    <w:rsid w:val="7FE60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2020-03-11T00:11:00Z</dcterms:created>
  <dc:creator>尛1381155329</dc:creator>
  <cp:lastModifiedBy>尛1381155329</cp:lastModifiedBy>
  <dcterms:modified xsi:type="dcterms:W3CDTF">2020-04-15T12:37:34Z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