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keepNext/>
      </w:pPr>
      <w:r>
        <w:t>1. Literature Review</w:t>
      </w:r>
    </w:p>
    <w:p>
      <w:pPr>
        <w:pStyle w:val="Heading2"/>
        <w:keepNext/>
      </w:pPr>
      <w:r>
        <w:t>1.1 Airfare Prediction and Purchase-Timing Research</w:t>
      </w:r>
    </w:p>
    <w:p>
      <w:pPr>
        <w:widowControl/>
        <w:spacing w:lineRule="auto" w:line="300" w:after="120"/>
        <w:jc w:val="both"/>
      </w:pPr>
      <w:r>
        <w:rPr>
          <w:rFonts w:ascii="Times New Roman" w:hAnsi="Times New Roman"/>
          <w:sz w:val="24"/>
        </w:rPr>
        <w:t xml:space="preserve">Airfare research has addressed two related but analytically distinct questions: how accurately a future fare can be estimated, and whether purchasing should occur immediately or be deferred. Etzioni et al. (2003) developed </w:t>
      </w:r>
      <w:r>
        <w:rPr>
          <w:rFonts w:ascii="Times New Roman" w:hAnsi="Times New Roman"/>
          <w:i/>
          <w:sz w:val="24"/>
        </w:rPr>
        <w:t>Hamlet</w:t>
      </w:r>
      <w:r>
        <w:rPr>
          <w:rFonts w:ascii="Times New Roman" w:hAnsi="Times New Roman"/>
          <w:sz w:val="24"/>
        </w:rPr>
        <w:t>, an early decision-support system that learned from historical fare trajectories and issued BUY or WAIT recommendations. Groves and Gini (2015) subsequently estimated the expected minimum future fare from recent quotations across competing airlines and incorporated that estimate into an explicit purchase-timing policy. These studies established that airfare forecasting is not solely a price-estimation problem; its practical value also depends on how predictions alter purchase decisions.</w:t>
      </w:r>
    </w:p>
    <w:p>
      <w:pPr>
        <w:widowControl/>
        <w:spacing w:lineRule="auto" w:line="300" w:after="120"/>
        <w:jc w:val="both"/>
      </w:pPr>
      <w:r>
        <w:rPr>
          <w:rFonts w:ascii="Times New Roman" w:hAnsi="Times New Roman"/>
          <w:sz w:val="24"/>
        </w:rPr>
        <w:t xml:space="preserve">Later work concentrated more directly on supervised fare prediction. Tziridis et al. (2017) compared </w:t>
      </w:r>
      <w:r>
        <w:rPr>
          <w:rFonts w:ascii="Times New Roman" w:hAnsi="Times New Roman"/>
          <w:b/>
          <w:sz w:val="24"/>
        </w:rPr>
        <w:t>eight</w:t>
      </w:r>
      <w:r>
        <w:rPr>
          <w:rFonts w:ascii="Times New Roman" w:hAnsi="Times New Roman"/>
          <w:sz w:val="24"/>
        </w:rPr>
        <w:t xml:space="preserve"> machine-learning algorithms using data from </w:t>
      </w:r>
      <w:r>
        <w:rPr>
          <w:rFonts w:ascii="Times New Roman" w:hAnsi="Times New Roman"/>
          <w:b/>
          <w:sz w:val="24"/>
        </w:rPr>
        <w:t>1,814</w:t>
      </w:r>
      <w:r>
        <w:rPr>
          <w:rFonts w:ascii="Times New Roman" w:hAnsi="Times New Roman"/>
          <w:sz w:val="24"/>
        </w:rPr>
        <w:t xml:space="preserve"> Aegean Airlines flights. Santana et al. (2017) formulated next-day and seven-day airfare estimation as multi-target regression, while Wang et al. (2019) combined aviation and macroeconomic variables to predict quarterly market-level fares. More recently, Kalampokas et al. (2023) evaluated conventional machine learning, deep learning and quantum machine-learning approaches across </w:t>
      </w:r>
      <w:r>
        <w:rPr>
          <w:rFonts w:ascii="Times New Roman" w:hAnsi="Times New Roman"/>
          <w:b/>
          <w:sz w:val="24"/>
        </w:rPr>
        <w:t>136,917</w:t>
      </w:r>
      <w:r>
        <w:rPr>
          <w:rFonts w:ascii="Times New Roman" w:hAnsi="Times New Roman"/>
          <w:sz w:val="24"/>
        </w:rPr>
        <w:t xml:space="preserve"> observations. Although these studies differ in temporal resolution, market scope and target construction, they consistently report that airfare movements contain exploitable predictive structure.</w:t>
      </w:r>
    </w:p>
    <w:p>
      <w:pPr>
        <w:pStyle w:val="Heading2"/>
        <w:keepNext/>
      </w:pPr>
      <w:r>
        <w:t>1.2 Modelling Strategies and Evaluation Practice</w:t>
      </w:r>
    </w:p>
    <w:p>
      <w:pPr>
        <w:widowControl/>
        <w:spacing w:lineRule="auto" w:line="300" w:after="120"/>
        <w:jc w:val="both"/>
      </w:pPr>
      <w:r>
        <w:rPr>
          <w:rFonts w:ascii="Times New Roman" w:hAnsi="Times New Roman"/>
          <w:sz w:val="24"/>
        </w:rPr>
        <w:t xml:space="preserve">Published modelling strategies range from rule induction and reinforcement learning to autoregressive forecasting, partial least-squares regression, support-vector regression, decision trees, random forests, bagging, neural networks and stacked ensembles. </w:t>
      </w:r>
      <w:r>
        <w:rPr>
          <w:rFonts w:ascii="Times New Roman" w:hAnsi="Times New Roman"/>
          <w:i/>
          <w:sz w:val="24"/>
        </w:rPr>
        <w:t>Hamlet</w:t>
      </w:r>
      <w:r>
        <w:rPr>
          <w:rFonts w:ascii="Times New Roman" w:hAnsi="Times New Roman"/>
          <w:sz w:val="24"/>
        </w:rPr>
        <w:t xml:space="preserve"> combined RIPPER, Q-learning, time-series forecasting and stacked generalisation (Etzioni et al., 2003). Groves and Gini (2015) used lagged fare predictors with partial least-squares regression, whereas Santana et al. (2017) combined random-forest and support-vector regressors within a multi-target stacking architecture. This methodological diversity reflects differences in target definition, data frequency and operational objective rather than a settled preference for one universal model class.</w:t>
      </w:r>
    </w:p>
    <w:p>
      <w:pPr>
        <w:widowControl/>
        <w:spacing w:lineRule="auto" w:line="300" w:after="120"/>
        <w:jc w:val="both"/>
      </w:pPr>
      <w:r>
        <w:rPr>
          <w:rFonts w:ascii="Times New Roman" w:hAnsi="Times New Roman"/>
          <w:sz w:val="24"/>
        </w:rPr>
        <w:t>Evidence from wider tabular-learning research supports heterogeneous model selection. Gorishniy et al. (2021) showed that Feature Tokenizer Transformers can be competitive on tabular data, while gradient-boosted decision trees remain difficult to displace consistently. Model architecture should therefore be selected against task-specific temporal validation rather than assumed superior in advance. Evaluation practice must also match prediction type. Classification requires discrimination, probability accuracy and calibration; regression requires monetary or percentage error; probabilistic forecasts require proper scores and interval diagnostics; ranking requires query-level ordering measures; and purchase policies require decision loss rather than predictive accuracy alone. Weighted interval score (WIS) provides a proper score for interval and quantile forecasts (Bracher et al., 2021), while normalised discounted cumulative gain (NDCG) evaluates graded rankings with greater emphasis on highly ranked items (Järvelin and Kekäläinen, 2002).</w:t>
      </w:r>
    </w:p>
    <w:p>
      <w:pPr>
        <w:pStyle w:val="Heading2"/>
        <w:keepNext/>
      </w:pPr>
      <w:r>
        <w:t>1.3 Research Gap</w:t>
      </w:r>
    </w:p>
    <w:p>
      <w:pPr>
        <w:widowControl/>
        <w:spacing w:lineRule="auto" w:line="300" w:after="120"/>
        <w:jc w:val="both"/>
      </w:pPr>
      <w:r>
        <w:rPr>
          <w:rFonts w:ascii="Times New Roman" w:hAnsi="Times New Roman"/>
          <w:sz w:val="24"/>
        </w:rPr>
        <w:t xml:space="preserve">Existing airfare studies commonly examine one response variable, a restricted set of model families, or retrospective data partitions that do not fully reproduce deployment-time information constraints. Evidence remains limited on whether a specification selected without access to future labels can support classification, regression, probabilistic forecasting, offer ranking and purchase timing within one temporally coherent system. This study addresses that gap using </w:t>
      </w:r>
      <w:r>
        <w:rPr>
          <w:rFonts w:ascii="Times New Roman" w:hAnsi="Times New Roman"/>
          <w:b/>
          <w:sz w:val="24"/>
        </w:rPr>
        <w:t>150 consecutive observation days</w:t>
      </w:r>
      <w:r>
        <w:rPr>
          <w:rFonts w:ascii="Times New Roman" w:hAnsi="Times New Roman"/>
          <w:sz w:val="24"/>
        </w:rPr>
        <w:t xml:space="preserve">: </w:t>
      </w:r>
      <w:r>
        <w:rPr>
          <w:rFonts w:ascii="Times New Roman" w:hAnsi="Times New Roman"/>
          <w:b/>
          <w:sz w:val="24"/>
        </w:rPr>
        <w:t>128 development days</w:t>
      </w:r>
      <w:r>
        <w:rPr>
          <w:rFonts w:ascii="Times New Roman" w:hAnsi="Times New Roman"/>
          <w:sz w:val="24"/>
        </w:rPr>
        <w:t xml:space="preserve">, followed by two non-overlapping prospective test periods of </w:t>
      </w:r>
      <w:r>
        <w:rPr>
          <w:rFonts w:ascii="Times New Roman" w:hAnsi="Times New Roman"/>
          <w:b/>
          <w:sz w:val="24"/>
        </w:rPr>
        <w:t>11 days</w:t>
      </w:r>
      <w:r>
        <w:rPr>
          <w:rFonts w:ascii="Times New Roman" w:hAnsi="Times New Roman"/>
          <w:sz w:val="24"/>
        </w:rPr>
        <w:t xml:space="preserve"> each. Model architectures, features, hyperparameters, ensemble rules, calibration procedures and decision thresholds were fixed before prospective evaluation. The study consequently tests whether gains identified during development persist across sequential unseen periods without conflating model selection, prospective validation and final production refitting.</w:t>
      </w:r>
    </w:p>
    <w:p>
      <w:pPr>
        <w:pStyle w:val="Heading1"/>
        <w:keepNext/>
      </w:pPr>
      <w:r>
        <w:t>2. Results</w:t>
      </w:r>
    </w:p>
    <w:p>
      <w:pPr>
        <w:pStyle w:val="Heading2"/>
        <w:keepNext/>
      </w:pPr>
      <w:r>
        <w:t>2.1 Analytical Sample and Prospective Test Structure</w:t>
      </w:r>
    </w:p>
    <w:p>
      <w:pPr>
        <w:widowControl/>
        <w:spacing w:lineRule="auto" w:line="300" w:after="120"/>
        <w:jc w:val="both"/>
      </w:pPr>
      <w:r>
        <w:rPr>
          <w:rFonts w:ascii="Times New Roman" w:hAnsi="Times New Roman"/>
          <w:sz w:val="24"/>
        </w:rPr>
        <w:t xml:space="preserve">The analytical record covered </w:t>
      </w:r>
      <w:r>
        <w:rPr>
          <w:rFonts w:ascii="Times New Roman" w:hAnsi="Times New Roman"/>
          <w:b/>
          <w:sz w:val="24"/>
        </w:rPr>
        <w:t>150 consecutive observation days</w:t>
      </w:r>
      <w:r>
        <w:rPr>
          <w:rFonts w:ascii="Times New Roman" w:hAnsi="Times New Roman"/>
          <w:sz w:val="24"/>
        </w:rPr>
        <w:t xml:space="preserve">. The first </w:t>
      </w:r>
      <w:r>
        <w:rPr>
          <w:rFonts w:ascii="Times New Roman" w:hAnsi="Times New Roman"/>
          <w:b/>
          <w:sz w:val="24"/>
        </w:rPr>
        <w:t>128 days</w:t>
      </w:r>
      <w:r>
        <w:rPr>
          <w:rFonts w:ascii="Times New Roman" w:hAnsi="Times New Roman"/>
          <w:sz w:val="24"/>
        </w:rPr>
        <w:t xml:space="preserve">, ending on </w:t>
      </w:r>
      <w:r>
        <w:rPr>
          <w:rFonts w:ascii="Times New Roman" w:hAnsi="Times New Roman"/>
          <w:b/>
          <w:sz w:val="24"/>
        </w:rPr>
        <w:t>28 July 2026</w:t>
      </w:r>
      <w:r>
        <w:rPr>
          <w:rFonts w:ascii="Times New Roman" w:hAnsi="Times New Roman"/>
          <w:sz w:val="24"/>
        </w:rPr>
        <w:t xml:space="preserve">, formed the development period. Following harmonisation, this period contained </w:t>
      </w:r>
      <w:r>
        <w:rPr>
          <w:rFonts w:ascii="Times New Roman" w:hAnsi="Times New Roman"/>
          <w:b/>
          <w:sz w:val="24"/>
        </w:rPr>
        <w:t>923,855 standardised offers</w:t>
      </w:r>
      <w:r>
        <w:rPr>
          <w:rFonts w:ascii="Times New Roman" w:hAnsi="Times New Roman"/>
          <w:sz w:val="24"/>
        </w:rPr>
        <w:t xml:space="preserve">. Of these, </w:t>
      </w:r>
      <w:r>
        <w:rPr>
          <w:rFonts w:ascii="Times New Roman" w:hAnsi="Times New Roman"/>
          <w:b/>
          <w:sz w:val="24"/>
        </w:rPr>
        <w:t>636,436</w:t>
      </w:r>
      <w:r>
        <w:rPr>
          <w:rFonts w:ascii="Times New Roman" w:hAnsi="Times New Roman"/>
          <w:sz w:val="24"/>
        </w:rPr>
        <w:t xml:space="preserve"> contributed labelled observations to binary classification, while </w:t>
      </w:r>
      <w:r>
        <w:rPr>
          <w:rFonts w:ascii="Times New Roman" w:hAnsi="Times New Roman"/>
          <w:b/>
          <w:sz w:val="24"/>
        </w:rPr>
        <w:t>916,696</w:t>
      </w:r>
      <w:r>
        <w:rPr>
          <w:rFonts w:ascii="Times New Roman" w:hAnsi="Times New Roman"/>
          <w:sz w:val="24"/>
        </w:rPr>
        <w:t xml:space="preserve"> contributed labelled observations to fare regression and probabilistic forecasting. Model selection, temporal calibration and hyperparameter determination were conducted exclusively within this development period using rolling-origin validation.</w:t>
      </w:r>
    </w:p>
    <w:p>
      <w:pPr>
        <w:widowControl/>
        <w:spacing w:lineRule="auto" w:line="300" w:after="120"/>
        <w:jc w:val="both"/>
      </w:pPr>
      <w:r>
        <w:rPr>
          <w:rFonts w:ascii="Times New Roman" w:hAnsi="Times New Roman"/>
          <w:sz w:val="24"/>
        </w:rPr>
        <w:t xml:space="preserve">The remaining </w:t>
      </w:r>
      <w:r>
        <w:rPr>
          <w:rFonts w:ascii="Times New Roman" w:hAnsi="Times New Roman"/>
          <w:b/>
          <w:sz w:val="24"/>
        </w:rPr>
        <w:t>22 days</w:t>
      </w:r>
      <w:r>
        <w:rPr>
          <w:rFonts w:ascii="Times New Roman" w:hAnsi="Times New Roman"/>
          <w:sz w:val="24"/>
        </w:rPr>
        <w:t xml:space="preserve"> were reserved for sequential prospective evaluation. Test </w:t>
      </w:r>
      <w:r>
        <w:rPr>
          <w:rFonts w:ascii="Times New Roman" w:hAnsi="Times New Roman"/>
          <w:b/>
          <w:sz w:val="24"/>
        </w:rPr>
        <w:t>1</w:t>
      </w:r>
      <w:r>
        <w:rPr>
          <w:rFonts w:ascii="Times New Roman" w:hAnsi="Times New Roman"/>
          <w:sz w:val="24"/>
        </w:rPr>
        <w:t xml:space="preserve">, covering </w:t>
      </w:r>
      <w:r>
        <w:rPr>
          <w:rFonts w:ascii="Times New Roman" w:hAnsi="Times New Roman"/>
          <w:b/>
          <w:sz w:val="24"/>
        </w:rPr>
        <w:t>29 July–8 August 2026</w:t>
      </w:r>
      <w:r>
        <w:rPr>
          <w:rFonts w:ascii="Times New Roman" w:hAnsi="Times New Roman"/>
          <w:sz w:val="24"/>
        </w:rPr>
        <w:t xml:space="preserve">, comprised </w:t>
      </w:r>
      <w:r>
        <w:rPr>
          <w:rFonts w:ascii="Times New Roman" w:hAnsi="Times New Roman"/>
          <w:b/>
          <w:sz w:val="24"/>
        </w:rPr>
        <w:t>41,573 classification observations</w:t>
      </w:r>
      <w:r>
        <w:rPr>
          <w:rFonts w:ascii="Times New Roman" w:hAnsi="Times New Roman"/>
          <w:sz w:val="24"/>
        </w:rPr>
        <w:t xml:space="preserve"> and </w:t>
      </w:r>
      <w:r>
        <w:rPr>
          <w:rFonts w:ascii="Times New Roman" w:hAnsi="Times New Roman"/>
          <w:b/>
          <w:sz w:val="24"/>
        </w:rPr>
        <w:t>95,962 regression or probabilistic observations</w:t>
      </w:r>
      <w:r>
        <w:rPr>
          <w:rFonts w:ascii="Times New Roman" w:hAnsi="Times New Roman"/>
          <w:sz w:val="24"/>
        </w:rPr>
        <w:t xml:space="preserve">. Test </w:t>
      </w:r>
      <w:r>
        <w:rPr>
          <w:rFonts w:ascii="Times New Roman" w:hAnsi="Times New Roman"/>
          <w:b/>
          <w:sz w:val="24"/>
        </w:rPr>
        <w:t>2</w:t>
      </w:r>
      <w:r>
        <w:rPr>
          <w:rFonts w:ascii="Times New Roman" w:hAnsi="Times New Roman"/>
          <w:sz w:val="24"/>
        </w:rPr>
        <w:t xml:space="preserve">, covering </w:t>
      </w:r>
      <w:r>
        <w:rPr>
          <w:rFonts w:ascii="Times New Roman" w:hAnsi="Times New Roman"/>
          <w:b/>
          <w:sz w:val="24"/>
        </w:rPr>
        <w:t>9–19 August 2026</w:t>
      </w:r>
      <w:r>
        <w:rPr>
          <w:rFonts w:ascii="Times New Roman" w:hAnsi="Times New Roman"/>
          <w:sz w:val="24"/>
        </w:rPr>
        <w:t xml:space="preserve">, comprised </w:t>
      </w:r>
      <w:r>
        <w:rPr>
          <w:rFonts w:ascii="Times New Roman" w:hAnsi="Times New Roman"/>
          <w:b/>
          <w:sz w:val="24"/>
        </w:rPr>
        <w:t>42,146 classification observations</w:t>
      </w:r>
      <w:r>
        <w:rPr>
          <w:rFonts w:ascii="Times New Roman" w:hAnsi="Times New Roman"/>
          <w:sz w:val="24"/>
        </w:rPr>
        <w:t xml:space="preserve"> and </w:t>
      </w:r>
      <w:r>
        <w:rPr>
          <w:rFonts w:ascii="Times New Roman" w:hAnsi="Times New Roman"/>
          <w:b/>
          <w:sz w:val="24"/>
        </w:rPr>
        <w:t>94,127 regression or probabilistic observations</w:t>
      </w:r>
      <w:r>
        <w:rPr>
          <w:rFonts w:ascii="Times New Roman" w:hAnsi="Times New Roman"/>
          <w:sz w:val="24"/>
        </w:rPr>
        <w:t xml:space="preserve">. No observation or ranking query appeared in both test periods. The complete modelling specification was frozen before Test </w:t>
      </w:r>
      <w:r>
        <w:rPr>
          <w:rFonts w:ascii="Times New Roman" w:hAnsi="Times New Roman"/>
          <w:b/>
          <w:sz w:val="24"/>
        </w:rPr>
        <w:t>1</w:t>
      </w:r>
      <w:r>
        <w:rPr>
          <w:rFonts w:ascii="Times New Roman" w:hAnsi="Times New Roman"/>
          <w:sz w:val="24"/>
        </w:rPr>
        <w:t xml:space="preserve">. Before Test </w:t>
      </w:r>
      <w:r>
        <w:rPr>
          <w:rFonts w:ascii="Times New Roman" w:hAnsi="Times New Roman"/>
          <w:b/>
          <w:sz w:val="24"/>
        </w:rPr>
        <w:t>2</w:t>
      </w:r>
      <w:r>
        <w:rPr>
          <w:rFonts w:ascii="Times New Roman" w:hAnsi="Times New Roman"/>
          <w:sz w:val="24"/>
        </w:rPr>
        <w:t xml:space="preserve">, parameters were refitted using only information available before </w:t>
      </w:r>
      <w:r>
        <w:rPr>
          <w:rFonts w:ascii="Times New Roman" w:hAnsi="Times New Roman"/>
          <w:b/>
          <w:sz w:val="24"/>
        </w:rPr>
        <w:t>9 August 2026</w:t>
      </w:r>
      <w:r>
        <w:rPr>
          <w:rFonts w:ascii="Times New Roman" w:hAnsi="Times New Roman"/>
          <w:sz w:val="24"/>
        </w:rPr>
        <w:t xml:space="preserve">, including labels that had matured during Test </w:t>
      </w:r>
      <w:r>
        <w:rPr>
          <w:rFonts w:ascii="Times New Roman" w:hAnsi="Times New Roman"/>
          <w:b/>
          <w:sz w:val="24"/>
        </w:rPr>
        <w:t>1</w:t>
      </w:r>
      <w:r>
        <w:rPr>
          <w:rFonts w:ascii="Times New Roman" w:hAnsi="Times New Roman"/>
          <w:sz w:val="24"/>
        </w:rPr>
        <w:t xml:space="preserve">; architectures, features, hyperparameters, ensemble weights and decision thresholds remained unchanged. Test </w:t>
      </w:r>
      <w:r>
        <w:rPr>
          <w:rFonts w:ascii="Times New Roman" w:hAnsi="Times New Roman"/>
          <w:b/>
          <w:sz w:val="24"/>
        </w:rPr>
        <w:t>2</w:t>
      </w:r>
      <w:r>
        <w:rPr>
          <w:rFonts w:ascii="Times New Roman" w:hAnsi="Times New Roman"/>
          <w:sz w:val="24"/>
        </w:rPr>
        <w:t xml:space="preserve"> therefore assessed a prespecified expanding-window update, not retrospective reselection after observing Test </w:t>
      </w:r>
      <w:r>
        <w:rPr>
          <w:rFonts w:ascii="Times New Roman" w:hAnsi="Times New Roman"/>
          <w:b/>
          <w:sz w:val="24"/>
        </w:rPr>
        <w:t>1</w:t>
      </w:r>
      <w:r>
        <w:rPr>
          <w:rFonts w:ascii="Times New Roman" w:hAnsi="Times New Roman"/>
          <w:sz w:val="24"/>
        </w:rPr>
        <w:t xml:space="preserve"> performance.</w:t>
      </w:r>
    </w:p>
    <w:p>
      <w:pPr>
        <w:keepNext/>
        <w:spacing w:before="0" w:after="40"/>
        <w:jc w:val="center"/>
      </w:pPr>
      <w:r>
        <w:drawing>
          <wp:inline xmlns:a="http://schemas.openxmlformats.org/drawingml/2006/main" xmlns:pic="http://schemas.openxmlformats.org/drawingml/2006/picture">
            <wp:extent cx="5724000" cy="4212297"/>
            <wp:docPr id="1" name="Picture 1" descr="Data coverage and observed fare drift"/>
            <wp:cNvGraphicFramePr>
              <a:graphicFrameLocks noChangeAspect="1"/>
            </wp:cNvGraphicFramePr>
            <a:graphic>
              <a:graphicData uri="http://schemas.openxmlformats.org/drawingml/2006/picture">
                <pic:pic>
                  <pic:nvPicPr>
                    <pic:cNvPr id="0" name="airline_composition_temporal_drift.png"/>
                    <pic:cNvPicPr/>
                  </pic:nvPicPr>
                  <pic:blipFill>
                    <a:blip r:embed="rId133"/>
                    <a:stretch>
                      <a:fillRect/>
                    </a:stretch>
                  </pic:blipFill>
                  <pic:spPr>
                    <a:xfrm>
                      <a:off x="0" y="0"/>
                      <a:ext cx="5724000" cy="4212297"/>
                    </a:xfrm>
                    <a:prstGeom prst="rect"/>
                  </pic:spPr>
                </pic:pic>
              </a:graphicData>
            </a:graphic>
          </wp:inline>
        </w:drawing>
      </w:r>
    </w:p>
    <w:p>
      <w:pPr>
        <w:keepLines/>
        <w:spacing w:before="0" w:after="60"/>
        <w:jc w:val="center"/>
      </w:pPr>
      <w:r>
        <w:rPr>
          <w:rFonts w:ascii="Times New Roman" w:hAnsi="Times New Roman"/>
          <w:b/>
          <w:sz w:val="19"/>
        </w:rPr>
        <w:t>Figure 1.</w:t>
      </w:r>
      <w:r>
        <w:rPr>
          <w:rFonts w:ascii="Times New Roman" w:hAnsi="Times New Roman"/>
          <w:sz w:val="19"/>
        </w:rPr>
        <w:t xml:space="preserve"> Data-source coverage and observed fare drift across </w:t>
      </w:r>
      <w:r>
        <w:rPr>
          <w:rFonts w:ascii="Times New Roman" w:hAnsi="Times New Roman"/>
          <w:b/>
          <w:sz w:val="19"/>
        </w:rPr>
        <w:t>150 observation days</w:t>
      </w:r>
      <w:r>
        <w:rPr>
          <w:rFonts w:ascii="Times New Roman" w:hAnsi="Times New Roman"/>
          <w:sz w:val="19"/>
        </w:rPr>
        <w:t xml:space="preserve">. Daily unique-offer volume was higher after collection-source expansion; observations were concentrated in VN and VJ, and standardised comparable fares shifted materially before the prospective test periods. Shaded regions identify Test </w:t>
      </w:r>
      <w:r>
        <w:rPr>
          <w:rFonts w:ascii="Times New Roman" w:hAnsi="Times New Roman"/>
          <w:b/>
          <w:sz w:val="19"/>
        </w:rPr>
        <w:t>1</w:t>
      </w:r>
      <w:r>
        <w:rPr>
          <w:rFonts w:ascii="Times New Roman" w:hAnsi="Times New Roman"/>
          <w:sz w:val="19"/>
        </w:rPr>
        <w:t xml:space="preserve"> and Test </w:t>
      </w:r>
      <w:r>
        <w:rPr>
          <w:rFonts w:ascii="Times New Roman" w:hAnsi="Times New Roman"/>
          <w:b/>
          <w:sz w:val="19"/>
        </w:rPr>
        <w:t>2</w:t>
      </w:r>
      <w:r>
        <w:rPr>
          <w:rFonts w:ascii="Times New Roman" w:hAnsi="Times New Roman"/>
          <w:sz w:val="19"/>
        </w:rPr>
        <w:t>; temporal co-occurrence is descriptive rather than causal.</w:t>
      </w:r>
    </w:p>
    <w:p>
      <w:r>
        <w:br w:type="page"/>
      </w:r>
    </w:p>
    <w:p>
      <w:pPr>
        <w:pStyle w:val="Heading2"/>
        <w:keepNext/>
      </w:pPr>
      <w:r>
        <w:t>2.2 Prediction Tasks and Evaluation Criteria</w:t>
      </w:r>
    </w:p>
    <w:p>
      <w:pPr>
        <w:widowControl/>
        <w:spacing w:lineRule="auto" w:line="300" w:after="120"/>
        <w:jc w:val="both"/>
      </w:pPr>
      <w:r>
        <w:rPr>
          <w:rFonts w:ascii="Times New Roman" w:hAnsi="Times New Roman"/>
          <w:sz w:val="24"/>
        </w:rPr>
        <w:t xml:space="preserve">Five related predictive and decision tasks were evaluated. Table </w:t>
      </w:r>
      <w:r>
        <w:rPr>
          <w:rFonts w:ascii="Times New Roman" w:hAnsi="Times New Roman"/>
          <w:b/>
          <w:sz w:val="24"/>
        </w:rPr>
        <w:t>1</w:t>
      </w:r>
      <w:r>
        <w:rPr>
          <w:rFonts w:ascii="Times New Roman" w:hAnsi="Times New Roman"/>
          <w:sz w:val="24"/>
        </w:rPr>
        <w:t xml:space="preserve"> defines each target and its prespecified evaluation criteria.</w:t>
      </w:r>
    </w:p>
    <w:p>
      <w:pPr>
        <w:keepNext/>
        <w:spacing w:before="120" w:after="60"/>
      </w:pPr>
      <w:r>
        <w:rPr>
          <w:rFonts w:ascii="Times New Roman" w:hAnsi="Times New Roman"/>
          <w:b/>
          <w:sz w:val="20"/>
        </w:rPr>
        <w:t>Table 1. Scientific formulation of evaluated tasks</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009"/>
        <w:gridCol w:w="3009"/>
        <w:gridCol w:w="3009"/>
      </w:tblGrid>
      <w:tr>
        <w:trPr>
          <w:cantSplit/>
          <w:tblHeader w:val="true"/>
        </w:trPr>
        <w:tc>
          <w:tcPr>
            <w:tcW w:type="dxa" w:w="1550"/>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Task</w:t>
            </w:r>
          </w:p>
        </w:tc>
        <w:tc>
          <w:tcPr>
            <w:tcW w:type="dxa" w:w="3800"/>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Target</w:t>
            </w:r>
          </w:p>
        </w:tc>
        <w:tc>
          <w:tcPr>
            <w:tcW w:type="dxa" w:w="3679"/>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Primary evaluation criteria</w:t>
            </w:r>
          </w:p>
        </w:tc>
      </w:tr>
      <w:tr>
        <w:trPr>
          <w:cantSplit/>
        </w:trPr>
        <w:tc>
          <w:tcPr>
            <w:tcW w:type="dxa" w:w="1550"/>
            <w:tcMar>
              <w:top w:w="80" w:type="dxa"/>
              <w:start w:w="90" w:type="dxa"/>
              <w:bottom w:w="80" w:type="dxa"/>
              <w:end w:w="90" w:type="dxa"/>
            </w:tcMar>
            <w:vAlign w:val="center"/>
          </w:tcPr>
          <w:p>
            <w:pPr>
              <w:spacing w:before="0" w:after="0" w:line="240" w:lineRule="auto"/>
              <w:jc w:val="left"/>
            </w:pPr>
            <w:r>
              <w:rPr>
                <w:rFonts w:ascii="Times New Roman" w:hAnsi="Times New Roman"/>
                <w:sz w:val="20"/>
              </w:rPr>
              <w:t>Binary classification</w:t>
            </w:r>
          </w:p>
        </w:tc>
        <w:tc>
          <w:tcPr>
            <w:tcW w:type="dxa" w:w="3800"/>
            <w:tcMar>
              <w:top w:w="80" w:type="dxa"/>
              <w:start w:w="90" w:type="dxa"/>
              <w:bottom w:w="80" w:type="dxa"/>
              <w:end w:w="90" w:type="dxa"/>
            </w:tcMar>
            <w:vAlign w:val="center"/>
          </w:tcPr>
          <w:p>
            <w:pPr>
              <w:spacing w:before="0" w:after="0" w:line="240" w:lineRule="auto"/>
              <w:jc w:val="left"/>
            </w:pPr>
            <w:r>
              <w:rPr>
                <w:rFonts w:ascii="Times New Roman" w:hAnsi="Times New Roman"/>
                <w:sz w:val="20"/>
              </w:rPr>
              <w:t>Probability that fare decreases by at least 5% in next observed booking window</w:t>
            </w:r>
          </w:p>
        </w:tc>
        <w:tc>
          <w:tcPr>
            <w:tcW w:type="dxa" w:w="3679"/>
            <w:tcMar>
              <w:top w:w="80" w:type="dxa"/>
              <w:start w:w="90" w:type="dxa"/>
              <w:bottom w:w="80" w:type="dxa"/>
              <w:end w:w="90" w:type="dxa"/>
            </w:tcMar>
            <w:vAlign w:val="center"/>
          </w:tcPr>
          <w:p>
            <w:pPr>
              <w:spacing w:before="0" w:after="0" w:line="240" w:lineRule="auto"/>
              <w:jc w:val="left"/>
            </w:pPr>
            <w:r>
              <w:rPr>
                <w:rFonts w:ascii="Times New Roman" w:hAnsi="Times New Roman"/>
                <w:sz w:val="20"/>
              </w:rPr>
              <w:t>Area under receiver operating characteristic curve (AUC), Brier score, logarithmic loss and expected calibration error using 15 bins (ECE15)</w:t>
            </w:r>
          </w:p>
        </w:tc>
      </w:tr>
      <w:tr>
        <w:trPr>
          <w:cantSplit/>
        </w:trPr>
        <w:tc>
          <w:tcPr>
            <w:tcW w:type="dxa" w:w="1550"/>
            <w:tcMar>
              <w:top w:w="80" w:type="dxa"/>
              <w:start w:w="90" w:type="dxa"/>
              <w:bottom w:w="80" w:type="dxa"/>
              <w:end w:w="90" w:type="dxa"/>
            </w:tcMar>
            <w:vAlign w:val="center"/>
          </w:tcPr>
          <w:p>
            <w:pPr>
              <w:spacing w:before="0" w:after="0" w:line="240" w:lineRule="auto"/>
              <w:jc w:val="left"/>
            </w:pPr>
            <w:r>
              <w:rPr>
                <w:rFonts w:ascii="Times New Roman" w:hAnsi="Times New Roman"/>
                <w:sz w:val="20"/>
              </w:rPr>
              <w:t>Regression</w:t>
            </w:r>
          </w:p>
        </w:tc>
        <w:tc>
          <w:tcPr>
            <w:tcW w:type="dxa" w:w="3800"/>
            <w:tcMar>
              <w:top w:w="80" w:type="dxa"/>
              <w:start w:w="90" w:type="dxa"/>
              <w:bottom w:w="80" w:type="dxa"/>
              <w:end w:w="90" w:type="dxa"/>
            </w:tcMar>
            <w:vAlign w:val="center"/>
          </w:tcPr>
          <w:p>
            <w:pPr>
              <w:spacing w:before="0" w:after="0" w:line="240" w:lineRule="auto"/>
              <w:jc w:val="left"/>
            </w:pPr>
            <w:r>
              <w:rPr>
                <w:rFonts w:ascii="Times New Roman" w:hAnsi="Times New Roman"/>
                <w:sz w:val="20"/>
              </w:rPr>
              <w:t>Future fare in VND across days-until-departure 1–60, using exact observed target where available and time-consistent interpolation otherwise</w:t>
            </w:r>
          </w:p>
        </w:tc>
        <w:tc>
          <w:tcPr>
            <w:tcW w:type="dxa" w:w="3679"/>
            <w:tcMar>
              <w:top w:w="80" w:type="dxa"/>
              <w:start w:w="90" w:type="dxa"/>
              <w:bottom w:w="80" w:type="dxa"/>
              <w:end w:w="90" w:type="dxa"/>
            </w:tcMar>
            <w:vAlign w:val="center"/>
          </w:tcPr>
          <w:p>
            <w:pPr>
              <w:spacing w:before="0" w:after="0" w:line="240" w:lineRule="auto"/>
              <w:jc w:val="left"/>
            </w:pPr>
            <w:r>
              <w:rPr>
                <w:rFonts w:ascii="Times New Roman" w:hAnsi="Times New Roman"/>
                <w:sz w:val="20"/>
              </w:rPr>
              <w:t>Mean absolute percentage error (MAPE), median absolute percentage error, mean absolute error (MAE), root mean squared error (RMSE) and coefficient of determination (R²)</w:t>
            </w:r>
          </w:p>
        </w:tc>
      </w:tr>
      <w:tr>
        <w:trPr>
          <w:cantSplit/>
        </w:trPr>
        <w:tc>
          <w:tcPr>
            <w:tcW w:type="dxa" w:w="1550"/>
            <w:tcMar>
              <w:top w:w="80" w:type="dxa"/>
              <w:start w:w="90" w:type="dxa"/>
              <w:bottom w:w="80" w:type="dxa"/>
              <w:end w:w="90" w:type="dxa"/>
            </w:tcMar>
            <w:vAlign w:val="center"/>
          </w:tcPr>
          <w:p>
            <w:pPr>
              <w:spacing w:before="0" w:after="0" w:line="240" w:lineRule="auto"/>
              <w:jc w:val="left"/>
            </w:pPr>
            <w:r>
              <w:rPr>
                <w:rFonts w:ascii="Times New Roman" w:hAnsi="Times New Roman"/>
                <w:sz w:val="20"/>
              </w:rPr>
              <w:t>Probabilistic forecasting</w:t>
            </w:r>
          </w:p>
        </w:tc>
        <w:tc>
          <w:tcPr>
            <w:tcW w:type="dxa" w:w="3800"/>
            <w:tcMar>
              <w:top w:w="80" w:type="dxa"/>
              <w:start w:w="90" w:type="dxa"/>
              <w:bottom w:w="80" w:type="dxa"/>
              <w:end w:w="90" w:type="dxa"/>
            </w:tcMar>
            <w:vAlign w:val="center"/>
          </w:tcPr>
          <w:p>
            <w:pPr>
              <w:spacing w:before="0" w:after="0" w:line="240" w:lineRule="auto"/>
              <w:jc w:val="left"/>
            </w:pPr>
            <w:r>
              <w:rPr>
                <w:rFonts w:ascii="Times New Roman" w:hAnsi="Times New Roman"/>
                <w:sz w:val="20"/>
              </w:rPr>
              <w:t>Seven conditional quantiles of anchor-relative log fare change at levels 0.05, 0.10, 0.25, 0.50, 0.75, 0.90 and 0.95</w:t>
            </w:r>
          </w:p>
        </w:tc>
        <w:tc>
          <w:tcPr>
            <w:tcW w:type="dxa" w:w="3679"/>
            <w:tcMar>
              <w:top w:w="80" w:type="dxa"/>
              <w:start w:w="90" w:type="dxa"/>
              <w:bottom w:w="80" w:type="dxa"/>
              <w:end w:w="90" w:type="dxa"/>
            </w:tcMar>
            <w:vAlign w:val="center"/>
          </w:tcPr>
          <w:p>
            <w:pPr>
              <w:spacing w:before="0" w:after="0" w:line="240" w:lineRule="auto"/>
              <w:jc w:val="left"/>
            </w:pPr>
            <w:r>
              <w:rPr>
                <w:rFonts w:ascii="Times New Roman" w:hAnsi="Times New Roman"/>
                <w:sz w:val="20"/>
              </w:rPr>
              <w:t>Weighted interval score (WIS), mean pinball loss, empirical interval coverage and quantile-crossing rate</w:t>
            </w:r>
          </w:p>
        </w:tc>
      </w:tr>
      <w:tr>
        <w:trPr>
          <w:cantSplit/>
        </w:trPr>
        <w:tc>
          <w:tcPr>
            <w:tcW w:type="dxa" w:w="1550"/>
            <w:tcMar>
              <w:top w:w="80" w:type="dxa"/>
              <w:start w:w="90" w:type="dxa"/>
              <w:bottom w:w="80" w:type="dxa"/>
              <w:end w:w="90" w:type="dxa"/>
            </w:tcMar>
            <w:vAlign w:val="center"/>
          </w:tcPr>
          <w:p>
            <w:pPr>
              <w:spacing w:before="0" w:after="0" w:line="240" w:lineRule="auto"/>
              <w:jc w:val="left"/>
            </w:pPr>
            <w:r>
              <w:rPr>
                <w:rFonts w:ascii="Times New Roman" w:hAnsi="Times New Roman"/>
                <w:sz w:val="20"/>
              </w:rPr>
              <w:t>Learning-to-rank</w:t>
            </w:r>
          </w:p>
        </w:tc>
        <w:tc>
          <w:tcPr>
            <w:tcW w:type="dxa" w:w="3800"/>
            <w:tcMar>
              <w:top w:w="80" w:type="dxa"/>
              <w:start w:w="90" w:type="dxa"/>
              <w:bottom w:w="80" w:type="dxa"/>
              <w:end w:w="90" w:type="dxa"/>
            </w:tcMar>
            <w:vAlign w:val="center"/>
          </w:tcPr>
          <w:p>
            <w:pPr>
              <w:spacing w:before="0" w:after="0" w:line="240" w:lineRule="auto"/>
              <w:jc w:val="left"/>
            </w:pPr>
            <w:r>
              <w:rPr>
                <w:rFonts w:ascii="Times New Roman" w:hAnsi="Times New Roman"/>
                <w:sz w:val="20"/>
              </w:rPr>
              <w:t>Query-specific ordering of offers by subsequently realised fare, assigning greater relevance to lower future fares</w:t>
            </w:r>
          </w:p>
        </w:tc>
        <w:tc>
          <w:tcPr>
            <w:tcW w:type="dxa" w:w="3679"/>
            <w:tcMar>
              <w:top w:w="80" w:type="dxa"/>
              <w:start w:w="90" w:type="dxa"/>
              <w:bottom w:w="80" w:type="dxa"/>
              <w:end w:w="90" w:type="dxa"/>
            </w:tcMar>
            <w:vAlign w:val="center"/>
          </w:tcPr>
          <w:p>
            <w:pPr>
              <w:spacing w:before="0" w:after="0" w:line="240" w:lineRule="auto"/>
              <w:jc w:val="left"/>
            </w:pPr>
            <w:r>
              <w:rPr>
                <w:rFonts w:ascii="Times New Roman" w:hAnsi="Times New Roman"/>
                <w:sz w:val="20"/>
              </w:rPr>
              <w:t>Normalised discounted cumulative gain at rank 5 (NDCG@5) and pairwise concordance</w:t>
            </w:r>
          </w:p>
        </w:tc>
      </w:tr>
      <w:tr>
        <w:trPr>
          <w:cantSplit/>
        </w:trPr>
        <w:tc>
          <w:tcPr>
            <w:tcW w:type="dxa" w:w="1550"/>
            <w:tcMar>
              <w:top w:w="80" w:type="dxa"/>
              <w:start w:w="90" w:type="dxa"/>
              <w:bottom w:w="80" w:type="dxa"/>
              <w:end w:w="90" w:type="dxa"/>
            </w:tcMar>
            <w:vAlign w:val="center"/>
          </w:tcPr>
          <w:p>
            <w:pPr>
              <w:spacing w:before="0" w:after="0" w:line="240" w:lineRule="auto"/>
              <w:jc w:val="left"/>
            </w:pPr>
            <w:r>
              <w:rPr>
                <w:rFonts w:ascii="Times New Roman" w:hAnsi="Times New Roman"/>
                <w:sz w:val="20"/>
              </w:rPr>
              <w:t>Purchase-timing decision</w:t>
            </w:r>
          </w:p>
        </w:tc>
        <w:tc>
          <w:tcPr>
            <w:tcW w:type="dxa" w:w="3800"/>
            <w:tcMar>
              <w:top w:w="80" w:type="dxa"/>
              <w:start w:w="90" w:type="dxa"/>
              <w:bottom w:w="80" w:type="dxa"/>
              <w:end w:w="90" w:type="dxa"/>
            </w:tcMar>
            <w:vAlign w:val="center"/>
          </w:tcPr>
          <w:p>
            <w:pPr>
              <w:spacing w:before="0" w:after="0" w:line="240" w:lineRule="auto"/>
              <w:jc w:val="left"/>
            </w:pPr>
            <w:r>
              <w:rPr>
                <w:rFonts w:ascii="Times New Roman" w:hAnsi="Times New Roman"/>
                <w:sz w:val="20"/>
              </w:rPr>
              <w:t>Cost-aware BUY or WAIT action derived from calibrated fare-drop probability</w:t>
            </w:r>
          </w:p>
        </w:tc>
        <w:tc>
          <w:tcPr>
            <w:tcW w:type="dxa" w:w="3679"/>
            <w:tcMar>
              <w:top w:w="80" w:type="dxa"/>
              <w:start w:w="90" w:type="dxa"/>
              <w:bottom w:w="80" w:type="dxa"/>
              <w:end w:w="90" w:type="dxa"/>
            </w:tcMar>
            <w:vAlign w:val="center"/>
          </w:tcPr>
          <w:p>
            <w:pPr>
              <w:spacing w:before="0" w:after="0" w:line="240" w:lineRule="auto"/>
              <w:jc w:val="left"/>
            </w:pPr>
            <w:r>
              <w:rPr>
                <w:rFonts w:ascii="Times New Roman" w:hAnsi="Times New Roman"/>
                <w:sz w:val="20"/>
              </w:rPr>
              <w:t>Mean decision regret, 95% conditional value at risk (CVaR95) and wait rate</w:t>
            </w:r>
          </w:p>
        </w:tc>
      </w:tr>
    </w:tbl>
    <w:p>
      <w:pPr>
        <w:spacing w:after="0"/>
      </w:pPr>
    </w:p>
    <w:p>
      <w:pPr>
        <w:widowControl/>
        <w:spacing w:lineRule="auto" w:line="300" w:after="120"/>
        <w:jc w:val="both"/>
      </w:pPr>
      <w:r>
        <w:rPr>
          <w:rFonts w:ascii="Times New Roman" w:hAnsi="Times New Roman"/>
          <w:sz w:val="24"/>
        </w:rPr>
        <w:t>Lower Brier score, logarithmic loss, MAPE, MAE, RMSE, WIS, regret and CVaR</w:t>
      </w:r>
      <w:r>
        <w:rPr>
          <w:rFonts w:ascii="Times New Roman" w:hAnsi="Times New Roman"/>
          <w:b/>
          <w:sz w:val="24"/>
        </w:rPr>
        <w:t>95</w:t>
      </w:r>
      <w:r>
        <w:rPr>
          <w:rFonts w:ascii="Times New Roman" w:hAnsi="Times New Roman"/>
          <w:sz w:val="24"/>
        </w:rPr>
        <w:t xml:space="preserve"> indicate better performance. Higher AUC, R², NDCG@</w:t>
      </w:r>
      <w:r>
        <w:rPr>
          <w:rFonts w:ascii="Times New Roman" w:hAnsi="Times New Roman"/>
          <w:b/>
          <w:sz w:val="24"/>
        </w:rPr>
        <w:t>5</w:t>
      </w:r>
      <w:r>
        <w:rPr>
          <w:rFonts w:ascii="Times New Roman" w:hAnsi="Times New Roman"/>
          <w:sz w:val="24"/>
        </w:rPr>
        <w:t xml:space="preserve"> and pairwise concordance indicate better performance. R² quantifies variance explained relative to a mean-only benchmark and can be negative when predictions perform worse than that benchmark.</w:t>
      </w:r>
    </w:p>
    <w:p>
      <w:pPr>
        <w:pStyle w:val="Heading2"/>
        <w:keepNext/>
      </w:pPr>
      <w:r>
        <w:t>2.3 Frozen Finalist Models</w:t>
      </w:r>
    </w:p>
    <w:p>
      <w:pPr>
        <w:widowControl/>
        <w:spacing w:lineRule="auto" w:line="300" w:after="120"/>
        <w:jc w:val="both"/>
      </w:pPr>
      <w:r>
        <w:rPr>
          <w:rFonts w:ascii="Times New Roman" w:hAnsi="Times New Roman"/>
          <w:sz w:val="24"/>
        </w:rPr>
        <w:t xml:space="preserve">No architecture dominated every task. Each component therefore retained </w:t>
      </w:r>
      <w:r>
        <w:rPr>
          <w:rFonts w:ascii="Times New Roman" w:hAnsi="Times New Roman"/>
          <w:b/>
          <w:sz w:val="24"/>
        </w:rPr>
        <w:t>two task-specific finalists</w:t>
      </w:r>
      <w:r>
        <w:rPr>
          <w:rFonts w:ascii="Times New Roman" w:hAnsi="Times New Roman"/>
          <w:sz w:val="24"/>
        </w:rPr>
        <w:t xml:space="preserve"> and averaged </w:t>
      </w:r>
      <w:r>
        <w:rPr>
          <w:rFonts w:ascii="Times New Roman" w:hAnsi="Times New Roman"/>
          <w:b/>
          <w:sz w:val="24"/>
        </w:rPr>
        <w:t>three seeded fits per architecture</w:t>
      </w:r>
      <w:r>
        <w:rPr>
          <w:rFonts w:ascii="Times New Roman" w:hAnsi="Times New Roman"/>
          <w:sz w:val="24"/>
        </w:rPr>
        <w:t xml:space="preserve">, yielding </w:t>
      </w:r>
      <w:r>
        <w:rPr>
          <w:rFonts w:ascii="Times New Roman" w:hAnsi="Times New Roman"/>
          <w:b/>
          <w:sz w:val="24"/>
        </w:rPr>
        <w:t>six ensemble members</w:t>
      </w:r>
      <w:r>
        <w:rPr>
          <w:rFonts w:ascii="Times New Roman" w:hAnsi="Times New Roman"/>
          <w:sz w:val="24"/>
        </w:rPr>
        <w:t xml:space="preserve">. Table </w:t>
      </w:r>
      <w:r>
        <w:rPr>
          <w:rFonts w:ascii="Times New Roman" w:hAnsi="Times New Roman"/>
          <w:b/>
          <w:sz w:val="24"/>
        </w:rPr>
        <w:t>2</w:t>
      </w:r>
      <w:r>
        <w:rPr>
          <w:rFonts w:ascii="Times New Roman" w:hAnsi="Times New Roman"/>
          <w:sz w:val="24"/>
        </w:rPr>
        <w:t xml:space="preserve"> identifies these models; Figures </w:t>
      </w:r>
      <w:r>
        <w:rPr>
          <w:rFonts w:ascii="Times New Roman" w:hAnsi="Times New Roman"/>
          <w:b/>
          <w:sz w:val="24"/>
        </w:rPr>
        <w:t>2–5</w:t>
      </w:r>
      <w:r>
        <w:rPr>
          <w:rFonts w:ascii="Times New Roman" w:hAnsi="Times New Roman"/>
          <w:sz w:val="24"/>
        </w:rPr>
        <w:t xml:space="preserve"> show their task-specific modelling pipelines.</w:t>
      </w:r>
    </w:p>
    <w:p>
      <w:pPr>
        <w:keepNext/>
        <w:spacing w:before="120" w:after="60"/>
      </w:pPr>
      <w:r>
        <w:rPr>
          <w:rFonts w:ascii="Times New Roman" w:hAnsi="Times New Roman"/>
          <w:b/>
          <w:sz w:val="20"/>
        </w:rPr>
        <w:t>Table 2. Frozen finalist models used in prospective evaluation</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009"/>
        <w:gridCol w:w="3009"/>
        <w:gridCol w:w="3009"/>
      </w:tblGrid>
      <w:tr>
        <w:trPr>
          <w:cantSplit/>
          <w:tblHeader w:val="true"/>
        </w:trPr>
        <w:tc>
          <w:tcPr>
            <w:tcW w:type="dxa" w:w="1450"/>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Task</w:t>
            </w:r>
          </w:p>
        </w:tc>
        <w:tc>
          <w:tcPr>
            <w:tcW w:type="dxa" w:w="2600"/>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Model architecture</w:t>
            </w:r>
          </w:p>
        </w:tc>
        <w:tc>
          <w:tcPr>
            <w:tcW w:type="dxa" w:w="4979"/>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Configuration and prediction role</w:t>
            </w:r>
          </w:p>
        </w:tc>
      </w:tr>
      <w:tr>
        <w:trPr>
          <w:cantSplit/>
        </w:trPr>
        <w:tc>
          <w:tcPr>
            <w:tcW w:type="dxa" w:w="1450"/>
            <w:tcMar>
              <w:top w:w="80" w:type="dxa"/>
              <w:start w:w="90" w:type="dxa"/>
              <w:bottom w:w="80" w:type="dxa"/>
              <w:end w:w="90" w:type="dxa"/>
            </w:tcMar>
            <w:vAlign w:val="center"/>
          </w:tcPr>
          <w:p>
            <w:pPr>
              <w:spacing w:before="0" w:after="0" w:line="240" w:lineRule="auto"/>
              <w:jc w:val="left"/>
            </w:pPr>
            <w:r>
              <w:rPr>
                <w:rFonts w:ascii="Times New Roman" w:hAnsi="Times New Roman"/>
                <w:sz w:val="20"/>
              </w:rPr>
              <w:t>Binary classification</w:t>
            </w:r>
          </w:p>
        </w:tc>
        <w:tc>
          <w:tcPr>
            <w:tcW w:type="dxa" w:w="2600"/>
            <w:tcMar>
              <w:top w:w="80" w:type="dxa"/>
              <w:start w:w="90" w:type="dxa"/>
              <w:bottom w:w="80" w:type="dxa"/>
              <w:end w:w="90" w:type="dxa"/>
            </w:tcMar>
            <w:vAlign w:val="center"/>
          </w:tcPr>
          <w:p>
            <w:pPr>
              <w:spacing w:before="0" w:after="0" w:line="240" w:lineRule="auto"/>
              <w:jc w:val="left"/>
            </w:pPr>
            <w:r>
              <w:rPr>
                <w:rFonts w:ascii="Times New Roman" w:hAnsi="Times New Roman"/>
                <w:sz w:val="20"/>
              </w:rPr>
              <w:t>Feature Tokenizer Transformer (FT-Transformer) classifier</w:t>
            </w:r>
          </w:p>
        </w:tc>
        <w:tc>
          <w:tcPr>
            <w:tcW w:type="dxa" w:w="4979"/>
            <w:tcMar>
              <w:top w:w="80" w:type="dxa"/>
              <w:start w:w="90" w:type="dxa"/>
              <w:bottom w:w="80" w:type="dxa"/>
              <w:end w:w="90" w:type="dxa"/>
            </w:tcMar>
            <w:vAlign w:val="center"/>
          </w:tcPr>
          <w:p>
            <w:pPr>
              <w:spacing w:before="0" w:after="0" w:line="240" w:lineRule="auto"/>
              <w:jc w:val="left"/>
            </w:pPr>
            <w:r>
              <w:rPr>
                <w:rFonts w:ascii="Times New Roman" w:hAnsi="Times New Roman"/>
                <w:sz w:val="20"/>
              </w:rPr>
              <w:t>Numerical and categorical fields were represented as 48-dimensional feature tokens and processed through three Transformer blocks with four attention heads and dropout of 0.15; output was probability of a fare decrease of at least 5%</w:t>
            </w:r>
          </w:p>
        </w:tc>
      </w:tr>
      <w:tr>
        <w:trPr>
          <w:cantSplit/>
        </w:trPr>
        <w:tc>
          <w:tcPr>
            <w:tcW w:type="dxa" w:w="1450"/>
            <w:tcMar>
              <w:top w:w="80" w:type="dxa"/>
              <w:start w:w="90" w:type="dxa"/>
              <w:bottom w:w="80" w:type="dxa"/>
              <w:end w:w="90" w:type="dxa"/>
            </w:tcMar>
            <w:vAlign w:val="center"/>
          </w:tcPr>
          <w:p>
            <w:pPr>
              <w:spacing w:before="0" w:after="0" w:line="240" w:lineRule="auto"/>
              <w:jc w:val="left"/>
            </w:pPr>
            <w:r>
              <w:rPr>
                <w:rFonts w:ascii="Times New Roman" w:hAnsi="Times New Roman"/>
                <w:sz w:val="20"/>
              </w:rPr>
              <w:t>Binary classification</w:t>
            </w:r>
          </w:p>
        </w:tc>
        <w:tc>
          <w:tcPr>
            <w:tcW w:type="dxa" w:w="2600"/>
            <w:tcMar>
              <w:top w:w="80" w:type="dxa"/>
              <w:start w:w="90" w:type="dxa"/>
              <w:bottom w:w="80" w:type="dxa"/>
              <w:end w:w="90" w:type="dxa"/>
            </w:tcMar>
            <w:vAlign w:val="center"/>
          </w:tcPr>
          <w:p>
            <w:pPr>
              <w:spacing w:before="0" w:after="0" w:line="240" w:lineRule="auto"/>
              <w:jc w:val="left"/>
            </w:pPr>
            <w:r>
              <w:rPr>
                <w:rFonts w:ascii="Times New Roman" w:hAnsi="Times New Roman"/>
                <w:sz w:val="20"/>
              </w:rPr>
              <w:t>Exact-history gated recurrent unit (GRU) multi-task classifier</w:t>
            </w:r>
          </w:p>
        </w:tc>
        <w:tc>
          <w:tcPr>
            <w:tcW w:type="dxa" w:w="4979"/>
            <w:tcMar>
              <w:top w:w="80" w:type="dxa"/>
              <w:start w:w="90" w:type="dxa"/>
              <w:bottom w:w="80" w:type="dxa"/>
              <w:end w:w="90" w:type="dxa"/>
            </w:tcMar>
            <w:vAlign w:val="center"/>
          </w:tcPr>
          <w:p>
            <w:pPr>
              <w:spacing w:before="0" w:after="0" w:line="240" w:lineRule="auto"/>
              <w:jc w:val="left"/>
            </w:pPr>
            <w:r>
              <w:rPr>
                <w:rFonts w:ascii="Times New Roman" w:hAnsi="Times New Roman"/>
                <w:sz w:val="20"/>
              </w:rPr>
              <w:t>A 64-unit GRU processed ordered observed-fare history and jointly estimated the 5% fare-drop event, three-class price direction and continuous log return; fare-drop head supplied classification probability</w:t>
            </w:r>
          </w:p>
        </w:tc>
      </w:tr>
      <w:tr>
        <w:trPr>
          <w:cantSplit/>
        </w:trPr>
        <w:tc>
          <w:tcPr>
            <w:tcW w:type="dxa" w:w="1450"/>
            <w:tcMar>
              <w:top w:w="80" w:type="dxa"/>
              <w:start w:w="90" w:type="dxa"/>
              <w:bottom w:w="80" w:type="dxa"/>
              <w:end w:w="90" w:type="dxa"/>
            </w:tcMar>
            <w:vAlign w:val="center"/>
          </w:tcPr>
          <w:p>
            <w:pPr>
              <w:spacing w:before="0" w:after="0" w:line="240" w:lineRule="auto"/>
              <w:jc w:val="left"/>
            </w:pPr>
            <w:r>
              <w:rPr>
                <w:rFonts w:ascii="Times New Roman" w:hAnsi="Times New Roman"/>
                <w:sz w:val="20"/>
              </w:rPr>
              <w:t>Regression</w:t>
            </w:r>
          </w:p>
        </w:tc>
        <w:tc>
          <w:tcPr>
            <w:tcW w:type="dxa" w:w="2600"/>
            <w:tcMar>
              <w:top w:w="80" w:type="dxa"/>
              <w:start w:w="90" w:type="dxa"/>
              <w:bottom w:w="80" w:type="dxa"/>
              <w:end w:w="90" w:type="dxa"/>
            </w:tcMar>
            <w:vAlign w:val="center"/>
          </w:tcPr>
          <w:p>
            <w:pPr>
              <w:spacing w:before="0" w:after="0" w:line="240" w:lineRule="auto"/>
              <w:jc w:val="left"/>
            </w:pPr>
            <w:r>
              <w:rPr>
                <w:rFonts w:ascii="Times New Roman" w:hAnsi="Times New Roman"/>
                <w:sz w:val="20"/>
              </w:rPr>
              <w:t>Exact-history GRU regressor</w:t>
            </w:r>
          </w:p>
        </w:tc>
        <w:tc>
          <w:tcPr>
            <w:tcW w:type="dxa" w:w="4979"/>
            <w:tcMar>
              <w:top w:w="80" w:type="dxa"/>
              <w:start w:w="90" w:type="dxa"/>
              <w:bottom w:w="80" w:type="dxa"/>
              <w:end w:w="90" w:type="dxa"/>
            </w:tcMar>
            <w:vAlign w:val="center"/>
          </w:tcPr>
          <w:p>
            <w:pPr>
              <w:spacing w:before="0" w:after="0" w:line="240" w:lineRule="auto"/>
              <w:jc w:val="left"/>
            </w:pPr>
            <w:r>
              <w:rPr>
                <w:rFonts w:ascii="Times New Roman" w:hAnsi="Times New Roman"/>
                <w:sz w:val="20"/>
              </w:rPr>
              <w:t>A 64-unit GRU processed exact observed-fare history and minimised Huber loss to estimate future fare</w:t>
            </w:r>
          </w:p>
        </w:tc>
      </w:tr>
      <w:tr>
        <w:trPr>
          <w:cantSplit/>
        </w:trPr>
        <w:tc>
          <w:tcPr>
            <w:tcW w:type="dxa" w:w="1450"/>
            <w:tcMar>
              <w:top w:w="80" w:type="dxa"/>
              <w:start w:w="90" w:type="dxa"/>
              <w:bottom w:w="80" w:type="dxa"/>
              <w:end w:w="90" w:type="dxa"/>
            </w:tcMar>
            <w:vAlign w:val="center"/>
          </w:tcPr>
          <w:p>
            <w:pPr>
              <w:spacing w:before="0" w:after="0" w:line="240" w:lineRule="auto"/>
              <w:jc w:val="left"/>
            </w:pPr>
            <w:r>
              <w:rPr>
                <w:rFonts w:ascii="Times New Roman" w:hAnsi="Times New Roman"/>
                <w:sz w:val="20"/>
              </w:rPr>
              <w:t>Regression</w:t>
            </w:r>
          </w:p>
        </w:tc>
        <w:tc>
          <w:tcPr>
            <w:tcW w:type="dxa" w:w="2600"/>
            <w:tcMar>
              <w:top w:w="80" w:type="dxa"/>
              <w:start w:w="90" w:type="dxa"/>
              <w:bottom w:w="80" w:type="dxa"/>
              <w:end w:w="90" w:type="dxa"/>
            </w:tcMar>
            <w:vAlign w:val="center"/>
          </w:tcPr>
          <w:p>
            <w:pPr>
              <w:spacing w:before="0" w:after="0" w:line="240" w:lineRule="auto"/>
              <w:jc w:val="left"/>
            </w:pPr>
            <w:r>
              <w:rPr>
                <w:rFonts w:ascii="Times New Roman" w:hAnsi="Times New Roman"/>
                <w:sz w:val="20"/>
              </w:rPr>
              <w:t>Exact-history long short-term memory (LSTM) regressor</w:t>
            </w:r>
          </w:p>
        </w:tc>
        <w:tc>
          <w:tcPr>
            <w:tcW w:type="dxa" w:w="4979"/>
            <w:tcMar>
              <w:top w:w="80" w:type="dxa"/>
              <w:start w:w="90" w:type="dxa"/>
              <w:bottom w:w="80" w:type="dxa"/>
              <w:end w:w="90" w:type="dxa"/>
            </w:tcMar>
            <w:vAlign w:val="center"/>
          </w:tcPr>
          <w:p>
            <w:pPr>
              <w:spacing w:before="0" w:after="0" w:line="240" w:lineRule="auto"/>
              <w:jc w:val="left"/>
            </w:pPr>
            <w:r>
              <w:rPr>
                <w:rFonts w:ascii="Times New Roman" w:hAnsi="Times New Roman"/>
                <w:sz w:val="20"/>
              </w:rPr>
              <w:t>A 64-unit LSTM processed exact observed-fare history and minimised Huber loss to estimate future fare</w:t>
            </w:r>
          </w:p>
        </w:tc>
      </w:tr>
      <w:tr>
        <w:trPr>
          <w:cantSplit/>
        </w:trPr>
        <w:tc>
          <w:tcPr>
            <w:tcW w:type="dxa" w:w="1450"/>
            <w:tcMar>
              <w:top w:w="80" w:type="dxa"/>
              <w:start w:w="90" w:type="dxa"/>
              <w:bottom w:w="80" w:type="dxa"/>
              <w:end w:w="90" w:type="dxa"/>
            </w:tcMar>
            <w:vAlign w:val="center"/>
          </w:tcPr>
          <w:p>
            <w:pPr>
              <w:spacing w:before="0" w:after="0" w:line="240" w:lineRule="auto"/>
              <w:jc w:val="left"/>
            </w:pPr>
            <w:r>
              <w:rPr>
                <w:rFonts w:ascii="Times New Roman" w:hAnsi="Times New Roman"/>
                <w:sz w:val="20"/>
              </w:rPr>
              <w:t>Probabilistic forecasting</w:t>
            </w:r>
          </w:p>
        </w:tc>
        <w:tc>
          <w:tcPr>
            <w:tcW w:type="dxa" w:w="2600"/>
            <w:tcMar>
              <w:top w:w="80" w:type="dxa"/>
              <w:start w:w="90" w:type="dxa"/>
              <w:bottom w:w="80" w:type="dxa"/>
              <w:end w:w="90" w:type="dxa"/>
            </w:tcMar>
            <w:vAlign w:val="center"/>
          </w:tcPr>
          <w:p>
            <w:pPr>
              <w:spacing w:before="0" w:after="0" w:line="240" w:lineRule="auto"/>
              <w:jc w:val="left"/>
            </w:pPr>
            <w:r>
              <w:rPr>
                <w:rFonts w:ascii="Times New Roman" w:hAnsi="Times New Roman"/>
                <w:sz w:val="20"/>
              </w:rPr>
              <w:t>CatBoost multi-quantile regressor</w:t>
            </w:r>
          </w:p>
        </w:tc>
        <w:tc>
          <w:tcPr>
            <w:tcW w:type="dxa" w:w="4979"/>
            <w:tcMar>
              <w:top w:w="80" w:type="dxa"/>
              <w:start w:w="90" w:type="dxa"/>
              <w:bottom w:w="80" w:type="dxa"/>
              <w:end w:w="90" w:type="dxa"/>
            </w:tcMar>
            <w:vAlign w:val="center"/>
          </w:tcPr>
          <w:p>
            <w:pPr>
              <w:spacing w:before="0" w:after="0" w:line="240" w:lineRule="auto"/>
              <w:jc w:val="left"/>
            </w:pPr>
            <w:r>
              <w:rPr>
                <w:rFonts w:ascii="Times New Roman" w:hAnsi="Times New Roman"/>
                <w:sz w:val="20"/>
              </w:rPr>
              <w:t>A depth-7 gradient-boosted tree model jointly estimated seven conditional fare quantiles</w:t>
            </w:r>
          </w:p>
        </w:tc>
      </w:tr>
      <w:tr>
        <w:trPr>
          <w:cantSplit/>
        </w:trPr>
        <w:tc>
          <w:tcPr>
            <w:tcW w:type="dxa" w:w="1450"/>
            <w:tcMar>
              <w:top w:w="80" w:type="dxa"/>
              <w:start w:w="90" w:type="dxa"/>
              <w:bottom w:w="80" w:type="dxa"/>
              <w:end w:w="90" w:type="dxa"/>
            </w:tcMar>
            <w:vAlign w:val="center"/>
          </w:tcPr>
          <w:p>
            <w:pPr>
              <w:spacing w:before="0" w:after="0" w:line="240" w:lineRule="auto"/>
              <w:jc w:val="left"/>
            </w:pPr>
            <w:r>
              <w:rPr>
                <w:rFonts w:ascii="Times New Roman" w:hAnsi="Times New Roman"/>
                <w:sz w:val="20"/>
              </w:rPr>
              <w:t>Probabilistic forecasting</w:t>
            </w:r>
          </w:p>
        </w:tc>
        <w:tc>
          <w:tcPr>
            <w:tcW w:type="dxa" w:w="2600"/>
            <w:tcMar>
              <w:top w:w="80" w:type="dxa"/>
              <w:start w:w="90" w:type="dxa"/>
              <w:bottom w:w="80" w:type="dxa"/>
              <w:end w:w="90" w:type="dxa"/>
            </w:tcMar>
            <w:vAlign w:val="center"/>
          </w:tcPr>
          <w:p>
            <w:pPr>
              <w:spacing w:before="0" w:after="0" w:line="240" w:lineRule="auto"/>
              <w:jc w:val="left"/>
            </w:pPr>
            <w:r>
              <w:rPr>
                <w:rFonts w:ascii="Times New Roman" w:hAnsi="Times New Roman"/>
                <w:sz w:val="20"/>
              </w:rPr>
              <w:t>XGBoost quantile regressor</w:t>
            </w:r>
          </w:p>
        </w:tc>
        <w:tc>
          <w:tcPr>
            <w:tcW w:type="dxa" w:w="4979"/>
            <w:tcMar>
              <w:top w:w="80" w:type="dxa"/>
              <w:start w:w="90" w:type="dxa"/>
              <w:bottom w:w="80" w:type="dxa"/>
              <w:end w:w="90" w:type="dxa"/>
            </w:tcMar>
            <w:vAlign w:val="center"/>
          </w:tcPr>
          <w:p>
            <w:pPr>
              <w:spacing w:before="0" w:after="0" w:line="240" w:lineRule="auto"/>
              <w:jc w:val="left"/>
            </w:pPr>
            <w:r>
              <w:rPr>
                <w:rFonts w:ascii="Times New Roman" w:hAnsi="Times New Roman"/>
                <w:sz w:val="20"/>
              </w:rPr>
              <w:t>A depth-7 gradient-boosted tree model estimated the same seven conditional fare quantiles</w:t>
            </w:r>
          </w:p>
        </w:tc>
      </w:tr>
      <w:tr>
        <w:trPr>
          <w:cantSplit/>
        </w:trPr>
        <w:tc>
          <w:tcPr>
            <w:tcW w:type="dxa" w:w="1450"/>
            <w:tcMar>
              <w:top w:w="80" w:type="dxa"/>
              <w:start w:w="90" w:type="dxa"/>
              <w:bottom w:w="80" w:type="dxa"/>
              <w:end w:w="90" w:type="dxa"/>
            </w:tcMar>
            <w:vAlign w:val="center"/>
          </w:tcPr>
          <w:p>
            <w:pPr>
              <w:spacing w:before="0" w:after="0" w:line="240" w:lineRule="auto"/>
              <w:jc w:val="left"/>
            </w:pPr>
            <w:r>
              <w:rPr>
                <w:rFonts w:ascii="Times New Roman" w:hAnsi="Times New Roman"/>
                <w:sz w:val="20"/>
              </w:rPr>
              <w:t>Learning-to-rank</w:t>
            </w:r>
          </w:p>
        </w:tc>
        <w:tc>
          <w:tcPr>
            <w:tcW w:type="dxa" w:w="2600"/>
            <w:tcMar>
              <w:top w:w="80" w:type="dxa"/>
              <w:start w:w="90" w:type="dxa"/>
              <w:bottom w:w="80" w:type="dxa"/>
              <w:end w:w="90" w:type="dxa"/>
            </w:tcMar>
            <w:vAlign w:val="center"/>
          </w:tcPr>
          <w:p>
            <w:pPr>
              <w:spacing w:before="0" w:after="0" w:line="240" w:lineRule="auto"/>
              <w:jc w:val="left"/>
            </w:pPr>
            <w:r>
              <w:rPr>
                <w:rFonts w:ascii="Times New Roman" w:hAnsi="Times New Roman"/>
                <w:sz w:val="20"/>
              </w:rPr>
              <w:t>LightGBM XE-NDCG ranker</w:t>
            </w:r>
          </w:p>
        </w:tc>
        <w:tc>
          <w:tcPr>
            <w:tcW w:type="dxa" w:w="4979"/>
            <w:tcMar>
              <w:top w:w="80" w:type="dxa"/>
              <w:start w:w="90" w:type="dxa"/>
              <w:bottom w:w="80" w:type="dxa"/>
              <w:end w:w="90" w:type="dxa"/>
            </w:tcMar>
            <w:vAlign w:val="center"/>
          </w:tcPr>
          <w:p>
            <w:pPr>
              <w:spacing w:before="0" w:after="0" w:line="240" w:lineRule="auto"/>
              <w:jc w:val="left"/>
            </w:pPr>
            <w:r>
              <w:rPr>
                <w:rFonts w:ascii="Times New Roman" w:hAnsi="Times New Roman"/>
                <w:sz w:val="20"/>
              </w:rPr>
              <w:t>An XE-NDCG learning-to-rank objective with 63 leaves was fitted using the most recent 84 development days</w:t>
            </w:r>
          </w:p>
        </w:tc>
      </w:tr>
      <w:tr>
        <w:trPr>
          <w:cantSplit/>
        </w:trPr>
        <w:tc>
          <w:tcPr>
            <w:tcW w:type="dxa" w:w="1450"/>
            <w:tcMar>
              <w:top w:w="80" w:type="dxa"/>
              <w:start w:w="90" w:type="dxa"/>
              <w:bottom w:w="80" w:type="dxa"/>
              <w:end w:w="90" w:type="dxa"/>
            </w:tcMar>
            <w:vAlign w:val="center"/>
          </w:tcPr>
          <w:p>
            <w:pPr>
              <w:spacing w:before="0" w:after="0" w:line="240" w:lineRule="auto"/>
              <w:jc w:val="left"/>
            </w:pPr>
            <w:r>
              <w:rPr>
                <w:rFonts w:ascii="Times New Roman" w:hAnsi="Times New Roman"/>
                <w:sz w:val="20"/>
              </w:rPr>
              <w:t>Learning-to-rank</w:t>
            </w:r>
          </w:p>
        </w:tc>
        <w:tc>
          <w:tcPr>
            <w:tcW w:type="dxa" w:w="2600"/>
            <w:tcMar>
              <w:top w:w="80" w:type="dxa"/>
              <w:start w:w="90" w:type="dxa"/>
              <w:bottom w:w="80" w:type="dxa"/>
              <w:end w:w="90" w:type="dxa"/>
            </w:tcMar>
            <w:vAlign w:val="center"/>
          </w:tcPr>
          <w:p>
            <w:pPr>
              <w:spacing w:before="0" w:after="0" w:line="240" w:lineRule="auto"/>
              <w:jc w:val="left"/>
            </w:pPr>
            <w:r>
              <w:rPr>
                <w:rFonts w:ascii="Times New Roman" w:hAnsi="Times New Roman"/>
                <w:sz w:val="20"/>
              </w:rPr>
              <w:t>LightGBM LambdaRank model</w:t>
            </w:r>
          </w:p>
        </w:tc>
        <w:tc>
          <w:tcPr>
            <w:tcW w:type="dxa" w:w="4979"/>
            <w:tcMar>
              <w:top w:w="80" w:type="dxa"/>
              <w:start w:w="90" w:type="dxa"/>
              <w:bottom w:w="80" w:type="dxa"/>
              <w:end w:w="90" w:type="dxa"/>
            </w:tcMar>
            <w:vAlign w:val="center"/>
          </w:tcPr>
          <w:p>
            <w:pPr>
              <w:spacing w:before="0" w:after="0" w:line="240" w:lineRule="auto"/>
              <w:jc w:val="left"/>
            </w:pPr>
            <w:r>
              <w:rPr>
                <w:rFonts w:ascii="Times New Roman" w:hAnsi="Times New Roman"/>
                <w:sz w:val="20"/>
              </w:rPr>
              <w:t>A LambdaRank objective with 63 leaves was fitted using the most recent 84 development days</w:t>
            </w:r>
          </w:p>
        </w:tc>
      </w:tr>
    </w:tbl>
    <w:p>
      <w:pPr>
        <w:spacing w:after="0"/>
      </w:pPr>
    </w:p>
    <w:p>
      <w:pPr>
        <w:keepNext/>
        <w:spacing w:before="0" w:after="40"/>
        <w:jc w:val="center"/>
      </w:pPr>
      <w:r>
        <w:drawing>
          <wp:inline xmlns:a="http://schemas.openxmlformats.org/drawingml/2006/main" xmlns:pic="http://schemas.openxmlformats.org/drawingml/2006/picture">
            <wp:extent cx="5724000" cy="3202714"/>
            <wp:docPr id="2" name="Picture 2" descr="Classification modelling pipeline"/>
            <wp:cNvGraphicFramePr>
              <a:graphicFrameLocks noChangeAspect="1"/>
            </wp:cNvGraphicFramePr>
            <a:graphic>
              <a:graphicData uri="http://schemas.openxmlformats.org/drawingml/2006/picture">
                <pic:pic>
                  <pic:nvPicPr>
                    <pic:cNvPr id="0" name="classification_modelling_pipeline_horizontal.png"/>
                    <pic:cNvPicPr/>
                  </pic:nvPicPr>
                  <pic:blipFill>
                    <a:blip r:embed="rId134"/>
                    <a:stretch>
                      <a:fillRect/>
                    </a:stretch>
                  </pic:blipFill>
                  <pic:spPr>
                    <a:xfrm>
                      <a:off x="0" y="0"/>
                      <a:ext cx="5724000" cy="3202714"/>
                    </a:xfrm>
                    <a:prstGeom prst="rect"/>
                  </pic:spPr>
                </pic:pic>
              </a:graphicData>
            </a:graphic>
          </wp:inline>
        </w:drawing>
      </w:r>
    </w:p>
    <w:p>
      <w:pPr>
        <w:keepLines/>
        <w:spacing w:before="0" w:after="60"/>
        <w:jc w:val="center"/>
      </w:pPr>
      <w:r>
        <w:rPr>
          <w:rFonts w:ascii="Times New Roman" w:hAnsi="Times New Roman"/>
          <w:b/>
          <w:sz w:val="19"/>
        </w:rPr>
        <w:t>Figure 2.</w:t>
      </w:r>
      <w:r>
        <w:rPr>
          <w:rFonts w:ascii="Times New Roman" w:hAnsi="Times New Roman"/>
          <w:sz w:val="19"/>
        </w:rPr>
        <w:t xml:space="preserve"> Classification pipeline for prospective fare-drop prediction and guarded BUY/WAIT decisions.</w:t>
      </w:r>
    </w:p>
    <w:p>
      <w:pPr>
        <w:keepNext/>
        <w:spacing w:before="0" w:after="40"/>
        <w:jc w:val="center"/>
      </w:pPr>
      <w:r>
        <w:drawing>
          <wp:inline xmlns:a="http://schemas.openxmlformats.org/drawingml/2006/main" xmlns:pic="http://schemas.openxmlformats.org/drawingml/2006/picture">
            <wp:extent cx="5724000" cy="3202714"/>
            <wp:docPr id="3" name="Picture 3" descr="Regression modelling pipeline"/>
            <wp:cNvGraphicFramePr>
              <a:graphicFrameLocks noChangeAspect="1"/>
            </wp:cNvGraphicFramePr>
            <a:graphic>
              <a:graphicData uri="http://schemas.openxmlformats.org/drawingml/2006/picture">
                <pic:pic>
                  <pic:nvPicPr>
                    <pic:cNvPr id="0" name="regression_modelling_pipeline_horizontal.png"/>
                    <pic:cNvPicPr/>
                  </pic:nvPicPr>
                  <pic:blipFill>
                    <a:blip r:embed="rId135"/>
                    <a:stretch>
                      <a:fillRect/>
                    </a:stretch>
                  </pic:blipFill>
                  <pic:spPr>
                    <a:xfrm>
                      <a:off x="0" y="0"/>
                      <a:ext cx="5724000" cy="3202714"/>
                    </a:xfrm>
                    <a:prstGeom prst="rect"/>
                  </pic:spPr>
                </pic:pic>
              </a:graphicData>
            </a:graphic>
          </wp:inline>
        </w:drawing>
      </w:r>
    </w:p>
    <w:p>
      <w:pPr>
        <w:keepLines/>
        <w:spacing w:before="0" w:after="60"/>
        <w:jc w:val="center"/>
      </w:pPr>
      <w:r>
        <w:rPr>
          <w:rFonts w:ascii="Times New Roman" w:hAnsi="Times New Roman"/>
          <w:b/>
          <w:sz w:val="19"/>
        </w:rPr>
        <w:t>Figure 3.</w:t>
      </w:r>
      <w:r>
        <w:rPr>
          <w:rFonts w:ascii="Times New Roman" w:hAnsi="Times New Roman"/>
          <w:sz w:val="19"/>
        </w:rPr>
        <w:t xml:space="preserve"> Regression pipeline for future-fare estimation across DUD </w:t>
      </w:r>
      <w:r>
        <w:rPr>
          <w:rFonts w:ascii="Times New Roman" w:hAnsi="Times New Roman"/>
          <w:b/>
          <w:sz w:val="19"/>
        </w:rPr>
        <w:t>1–60</w:t>
      </w:r>
      <w:r>
        <w:rPr>
          <w:rFonts w:ascii="Times New Roman" w:hAnsi="Times New Roman"/>
          <w:sz w:val="19"/>
        </w:rPr>
        <w:t>.</w:t>
      </w:r>
    </w:p>
    <w:p>
      <w:r>
        <w:br w:type="page"/>
      </w:r>
    </w:p>
    <w:p>
      <w:pPr>
        <w:keepNext/>
        <w:spacing w:before="0" w:after="40"/>
        <w:jc w:val="center"/>
      </w:pPr>
      <w:r>
        <w:drawing>
          <wp:inline xmlns:a="http://schemas.openxmlformats.org/drawingml/2006/main" xmlns:pic="http://schemas.openxmlformats.org/drawingml/2006/picture">
            <wp:extent cx="5724000" cy="3202714"/>
            <wp:docPr id="4" name="Picture 4" descr="Probabilistic forecasting modelling pipeline"/>
            <wp:cNvGraphicFramePr>
              <a:graphicFrameLocks noChangeAspect="1"/>
            </wp:cNvGraphicFramePr>
            <a:graphic>
              <a:graphicData uri="http://schemas.openxmlformats.org/drawingml/2006/picture">
                <pic:pic>
                  <pic:nvPicPr>
                    <pic:cNvPr id="0" name="probabilistic_forecasting_modelling_pipeline_horizontal.png"/>
                    <pic:cNvPicPr/>
                  </pic:nvPicPr>
                  <pic:blipFill>
                    <a:blip r:embed="rId136"/>
                    <a:stretch>
                      <a:fillRect/>
                    </a:stretch>
                  </pic:blipFill>
                  <pic:spPr>
                    <a:xfrm>
                      <a:off x="0" y="0"/>
                      <a:ext cx="5724000" cy="3202714"/>
                    </a:xfrm>
                    <a:prstGeom prst="rect"/>
                  </pic:spPr>
                </pic:pic>
              </a:graphicData>
            </a:graphic>
          </wp:inline>
        </w:drawing>
      </w:r>
    </w:p>
    <w:p>
      <w:pPr>
        <w:keepLines/>
        <w:spacing w:before="0" w:after="60"/>
        <w:jc w:val="center"/>
      </w:pPr>
      <w:r>
        <w:rPr>
          <w:rFonts w:ascii="Times New Roman" w:hAnsi="Times New Roman"/>
          <w:b/>
          <w:sz w:val="19"/>
        </w:rPr>
        <w:t>Figure 4.</w:t>
      </w:r>
      <w:r>
        <w:rPr>
          <w:rFonts w:ascii="Times New Roman" w:hAnsi="Times New Roman"/>
          <w:sz w:val="19"/>
        </w:rPr>
        <w:t xml:space="preserve"> Probabilistic forecasting pipeline for calibrated conditional fare quantiles.</w:t>
      </w:r>
    </w:p>
    <w:p>
      <w:pPr>
        <w:keepNext/>
        <w:spacing w:before="0" w:after="40"/>
        <w:jc w:val="center"/>
      </w:pPr>
      <w:r>
        <w:drawing>
          <wp:inline xmlns:a="http://schemas.openxmlformats.org/drawingml/2006/main" xmlns:pic="http://schemas.openxmlformats.org/drawingml/2006/picture">
            <wp:extent cx="5724000" cy="3202714"/>
            <wp:docPr id="5" name="Picture 5" descr="Learning-to-rank modelling pipeline"/>
            <wp:cNvGraphicFramePr>
              <a:graphicFrameLocks noChangeAspect="1"/>
            </wp:cNvGraphicFramePr>
            <a:graphic>
              <a:graphicData uri="http://schemas.openxmlformats.org/drawingml/2006/picture">
                <pic:pic>
                  <pic:nvPicPr>
                    <pic:cNvPr id="0" name="learning_to_rank_modelling_pipeline_horizontal.png"/>
                    <pic:cNvPicPr/>
                  </pic:nvPicPr>
                  <pic:blipFill>
                    <a:blip r:embed="rId137"/>
                    <a:stretch>
                      <a:fillRect/>
                    </a:stretch>
                  </pic:blipFill>
                  <pic:spPr>
                    <a:xfrm>
                      <a:off x="0" y="0"/>
                      <a:ext cx="5724000" cy="3202714"/>
                    </a:xfrm>
                    <a:prstGeom prst="rect"/>
                  </pic:spPr>
                </pic:pic>
              </a:graphicData>
            </a:graphic>
          </wp:inline>
        </w:drawing>
      </w:r>
    </w:p>
    <w:p>
      <w:pPr>
        <w:keepLines/>
        <w:spacing w:before="0" w:after="60"/>
        <w:jc w:val="center"/>
      </w:pPr>
      <w:r>
        <w:rPr>
          <w:rFonts w:ascii="Times New Roman" w:hAnsi="Times New Roman"/>
          <w:b/>
          <w:sz w:val="19"/>
        </w:rPr>
        <w:t>Figure 5.</w:t>
      </w:r>
      <w:r>
        <w:rPr>
          <w:rFonts w:ascii="Times New Roman" w:hAnsi="Times New Roman"/>
          <w:sz w:val="19"/>
        </w:rPr>
        <w:t xml:space="preserve"> Learning-to-rank pipeline for query-specific ordering of flight offers.</w:t>
      </w:r>
    </w:p>
    <w:p>
      <w:r>
        <w:br w:type="page"/>
      </w:r>
    </w:p>
    <w:p>
      <w:pPr>
        <w:widowControl/>
        <w:spacing w:lineRule="auto" w:line="300" w:after="120"/>
        <w:jc w:val="both"/>
      </w:pPr>
      <w:r>
        <w:rPr>
          <w:rFonts w:ascii="Times New Roman" w:hAnsi="Times New Roman"/>
          <w:sz w:val="24"/>
        </w:rPr>
        <w:t>Classification used temporally selected isotonic calibration, while conditional quantiles used Mondrian conformal calibration by history availability and days-until-departure band. Regression and ranking used unweighted six-member means. All preprocessing, calibration and aggregation rules remained fixed across both prospective tests.</w:t>
      </w:r>
    </w:p>
    <w:p>
      <w:pPr>
        <w:pStyle w:val="Heading2"/>
        <w:keepNext/>
      </w:pPr>
      <w:r>
        <w:t>2.4 Prospective Performance by Test Period</w:t>
      </w:r>
    </w:p>
    <w:p>
      <w:pPr>
        <w:widowControl/>
        <w:spacing w:lineRule="auto" w:line="300" w:after="120"/>
        <w:jc w:val="both"/>
      </w:pPr>
      <w:r>
        <w:rPr>
          <w:rFonts w:ascii="Times New Roman" w:hAnsi="Times New Roman"/>
          <w:sz w:val="24"/>
        </w:rPr>
        <w:t xml:space="preserve">All four predictive tasks outperformed their prediction-time-valid baselines in both prospective periods (Table </w:t>
      </w:r>
      <w:r>
        <w:rPr>
          <w:rFonts w:ascii="Times New Roman" w:hAnsi="Times New Roman"/>
          <w:b/>
          <w:sz w:val="24"/>
        </w:rPr>
        <w:t>3</w:t>
      </w:r>
      <w:r>
        <w:rPr>
          <w:rFonts w:ascii="Times New Roman" w:hAnsi="Times New Roman"/>
          <w:sz w:val="24"/>
        </w:rPr>
        <w:t>). Binary classification was compared with a constant development-period event-rate predictor. Regression was compared with latest strictly prior fare. Probabilistic forecasting was compared with empirical distribution of development residuals. Learning-to-rank was compared with ordering based on strictly prior fare anchor.</w:t>
      </w:r>
    </w:p>
    <w:p>
      <w:pPr>
        <w:keepNext/>
        <w:spacing w:before="120" w:after="60"/>
      </w:pPr>
      <w:r>
        <w:rPr>
          <w:rFonts w:ascii="Times New Roman" w:hAnsi="Times New Roman"/>
          <w:b/>
          <w:sz w:val="20"/>
        </w:rPr>
        <w:t>Table 3. Primary predictive performance by prospective test period</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805"/>
        <w:gridCol w:w="1805"/>
        <w:gridCol w:w="1805"/>
        <w:gridCol w:w="1805"/>
        <w:gridCol w:w="1805"/>
      </w:tblGrid>
      <w:tr>
        <w:trPr>
          <w:cantSplit/>
          <w:tblHeader w:val="true"/>
        </w:trPr>
        <w:tc>
          <w:tcPr>
            <w:tcW w:type="dxa" w:w="3129"/>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Task and primary metric</w:t>
            </w:r>
          </w:p>
        </w:tc>
        <w:tc>
          <w:tcPr>
            <w:tcW w:type="dxa" w:w="1475"/>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Test 1 model</w:t>
            </w:r>
          </w:p>
        </w:tc>
        <w:tc>
          <w:tcPr>
            <w:tcW w:type="dxa" w:w="1475"/>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Test 1 baseline</w:t>
            </w:r>
          </w:p>
        </w:tc>
        <w:tc>
          <w:tcPr>
            <w:tcW w:type="dxa" w:w="1475"/>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Test 2 model</w:t>
            </w:r>
          </w:p>
        </w:tc>
        <w:tc>
          <w:tcPr>
            <w:tcW w:type="dxa" w:w="1475"/>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Test 2 baseline</w:t>
            </w:r>
          </w:p>
        </w:tc>
      </w:tr>
      <w:tr>
        <w:trPr>
          <w:cantSplit/>
        </w:trPr>
        <w:tc>
          <w:tcPr>
            <w:tcW w:type="dxa" w:w="3129"/>
            <w:tcMar>
              <w:top w:w="80" w:type="dxa"/>
              <w:start w:w="90" w:type="dxa"/>
              <w:bottom w:w="80" w:type="dxa"/>
              <w:end w:w="90" w:type="dxa"/>
            </w:tcMar>
            <w:vAlign w:val="center"/>
          </w:tcPr>
          <w:p>
            <w:pPr>
              <w:spacing w:before="0" w:after="0" w:line="240" w:lineRule="auto"/>
              <w:jc w:val="left"/>
            </w:pPr>
            <w:r>
              <w:rPr>
                <w:rFonts w:ascii="Times New Roman" w:hAnsi="Times New Roman"/>
                <w:sz w:val="20"/>
              </w:rPr>
              <w:t>Binary classification, Brier score</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0.0982</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0.1301</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0.1268</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0.1443</w:t>
            </w:r>
          </w:p>
        </w:tc>
      </w:tr>
      <w:tr>
        <w:trPr>
          <w:cantSplit/>
        </w:trPr>
        <w:tc>
          <w:tcPr>
            <w:tcW w:type="dxa" w:w="3129"/>
            <w:tcMar>
              <w:top w:w="80" w:type="dxa"/>
              <w:start w:w="90" w:type="dxa"/>
              <w:bottom w:w="80" w:type="dxa"/>
              <w:end w:w="90" w:type="dxa"/>
            </w:tcMar>
            <w:vAlign w:val="center"/>
          </w:tcPr>
          <w:p>
            <w:pPr>
              <w:spacing w:before="0" w:after="0" w:line="240" w:lineRule="auto"/>
              <w:jc w:val="left"/>
            </w:pPr>
            <w:r>
              <w:rPr>
                <w:rFonts w:ascii="Times New Roman" w:hAnsi="Times New Roman"/>
                <w:sz w:val="20"/>
              </w:rPr>
              <w:t>Regression, MAPE</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0.0731</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0.1418</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0.0687</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0.1336</w:t>
            </w:r>
          </w:p>
        </w:tc>
      </w:tr>
      <w:tr>
        <w:trPr>
          <w:cantSplit/>
        </w:trPr>
        <w:tc>
          <w:tcPr>
            <w:tcW w:type="dxa" w:w="3129"/>
            <w:tcMar>
              <w:top w:w="80" w:type="dxa"/>
              <w:start w:w="90" w:type="dxa"/>
              <w:bottom w:w="80" w:type="dxa"/>
              <w:end w:w="90" w:type="dxa"/>
            </w:tcMar>
            <w:vAlign w:val="center"/>
          </w:tcPr>
          <w:p>
            <w:pPr>
              <w:spacing w:before="0" w:after="0" w:line="240" w:lineRule="auto"/>
              <w:jc w:val="left"/>
            </w:pPr>
            <w:r>
              <w:rPr>
                <w:rFonts w:ascii="Times New Roman" w:hAnsi="Times New Roman"/>
                <w:sz w:val="20"/>
              </w:rPr>
              <w:t>Regression, R²</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0.8520</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0.5542</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0.8125</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0.4945</w:t>
            </w:r>
          </w:p>
        </w:tc>
      </w:tr>
      <w:tr>
        <w:trPr>
          <w:cantSplit/>
        </w:trPr>
        <w:tc>
          <w:tcPr>
            <w:tcW w:type="dxa" w:w="3129"/>
            <w:tcMar>
              <w:top w:w="80" w:type="dxa"/>
              <w:start w:w="90" w:type="dxa"/>
              <w:bottom w:w="80" w:type="dxa"/>
              <w:end w:w="90" w:type="dxa"/>
            </w:tcMar>
            <w:vAlign w:val="center"/>
          </w:tcPr>
          <w:p>
            <w:pPr>
              <w:spacing w:before="0" w:after="0" w:line="240" w:lineRule="auto"/>
              <w:jc w:val="left"/>
            </w:pPr>
            <w:r>
              <w:rPr>
                <w:rFonts w:ascii="Times New Roman" w:hAnsi="Times New Roman"/>
                <w:sz w:val="20"/>
              </w:rPr>
              <w:t>Probabilistic forecasting, WIS</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0.0614</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0.0955</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0.0610</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0.0922</w:t>
            </w:r>
          </w:p>
        </w:tc>
      </w:tr>
      <w:tr>
        <w:trPr>
          <w:cantSplit/>
        </w:trPr>
        <w:tc>
          <w:tcPr>
            <w:tcW w:type="dxa" w:w="3129"/>
            <w:tcMar>
              <w:top w:w="80" w:type="dxa"/>
              <w:start w:w="90" w:type="dxa"/>
              <w:bottom w:w="80" w:type="dxa"/>
              <w:end w:w="90" w:type="dxa"/>
            </w:tcMar>
            <w:vAlign w:val="center"/>
          </w:tcPr>
          <w:p>
            <w:pPr>
              <w:spacing w:before="0" w:after="0" w:line="240" w:lineRule="auto"/>
              <w:jc w:val="left"/>
            </w:pPr>
            <w:r>
              <w:rPr>
                <w:rFonts w:ascii="Times New Roman" w:hAnsi="Times New Roman"/>
                <w:sz w:val="20"/>
              </w:rPr>
              <w:t>Learning-to-rank, NDCG@5</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0.8179</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0.6446</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0.8235</w:t>
            </w:r>
          </w:p>
        </w:tc>
        <w:tc>
          <w:tcPr>
            <w:tcW w:type="dxa" w:w="1475"/>
            <w:tcMar>
              <w:top w:w="80" w:type="dxa"/>
              <w:start w:w="90" w:type="dxa"/>
              <w:bottom w:w="80" w:type="dxa"/>
              <w:end w:w="90" w:type="dxa"/>
            </w:tcMar>
            <w:vAlign w:val="center"/>
          </w:tcPr>
          <w:p>
            <w:pPr>
              <w:spacing w:before="0" w:after="0" w:line="240" w:lineRule="auto"/>
              <w:jc w:val="center"/>
            </w:pPr>
            <w:r>
              <w:rPr>
                <w:rFonts w:ascii="Times New Roman" w:hAnsi="Times New Roman"/>
                <w:sz w:val="20"/>
              </w:rPr>
              <w:t>0.6736</w:t>
            </w:r>
          </w:p>
        </w:tc>
      </w:tr>
    </w:tbl>
    <w:p>
      <w:pPr>
        <w:spacing w:after="0"/>
      </w:pPr>
    </w:p>
    <w:p>
      <w:pPr>
        <w:widowControl/>
        <w:spacing w:lineRule="auto" w:line="300" w:after="120"/>
        <w:jc w:val="both"/>
      </w:pPr>
      <w:r>
        <w:rPr>
          <w:rFonts w:ascii="Times New Roman" w:hAnsi="Times New Roman"/>
          <w:sz w:val="24"/>
        </w:rPr>
        <w:t xml:space="preserve">Classification AUC reached </w:t>
      </w:r>
      <w:r>
        <w:rPr>
          <w:rFonts w:ascii="Times New Roman" w:hAnsi="Times New Roman"/>
          <w:b/>
          <w:sz w:val="24"/>
        </w:rPr>
        <w:t>0.6626</w:t>
      </w:r>
      <w:r>
        <w:rPr>
          <w:rFonts w:ascii="Times New Roman" w:hAnsi="Times New Roman"/>
          <w:sz w:val="24"/>
        </w:rPr>
        <w:t xml:space="preserve"> in Test </w:t>
      </w:r>
      <w:r>
        <w:rPr>
          <w:rFonts w:ascii="Times New Roman" w:hAnsi="Times New Roman"/>
          <w:b/>
          <w:sz w:val="24"/>
        </w:rPr>
        <w:t>1</w:t>
      </w:r>
      <w:r>
        <w:rPr>
          <w:rFonts w:ascii="Times New Roman" w:hAnsi="Times New Roman"/>
          <w:sz w:val="24"/>
        </w:rPr>
        <w:t xml:space="preserve"> and </w:t>
      </w:r>
      <w:r>
        <w:rPr>
          <w:rFonts w:ascii="Times New Roman" w:hAnsi="Times New Roman"/>
          <w:b/>
          <w:sz w:val="24"/>
        </w:rPr>
        <w:t>0.6552</w:t>
      </w:r>
      <w:r>
        <w:rPr>
          <w:rFonts w:ascii="Times New Roman" w:hAnsi="Times New Roman"/>
          <w:sz w:val="24"/>
        </w:rPr>
        <w:t xml:space="preserve"> in Test </w:t>
      </w:r>
      <w:r>
        <w:rPr>
          <w:rFonts w:ascii="Times New Roman" w:hAnsi="Times New Roman"/>
          <w:b/>
          <w:sz w:val="24"/>
        </w:rPr>
        <w:t>2</w:t>
      </w:r>
      <w:r>
        <w:rPr>
          <w:rFonts w:ascii="Times New Roman" w:hAnsi="Times New Roman"/>
          <w:sz w:val="24"/>
        </w:rPr>
        <w:t xml:space="preserve">, compared with </w:t>
      </w:r>
      <w:r>
        <w:rPr>
          <w:rFonts w:ascii="Times New Roman" w:hAnsi="Times New Roman"/>
          <w:b/>
          <w:sz w:val="24"/>
        </w:rPr>
        <w:t>0.5000</w:t>
      </w:r>
      <w:r>
        <w:rPr>
          <w:rFonts w:ascii="Times New Roman" w:hAnsi="Times New Roman"/>
          <w:sz w:val="24"/>
        </w:rPr>
        <w:t xml:space="preserve"> for the constant event-rate baseline. Improvement was therefore reproduced after the development cutoff and after the prespecified expanding-window update. Variation in block-specific classification scores nevertheless indicates temporal heterogeneity, supporting separate reporting of Test </w:t>
      </w:r>
      <w:r>
        <w:rPr>
          <w:rFonts w:ascii="Times New Roman" w:hAnsi="Times New Roman"/>
          <w:b/>
          <w:sz w:val="24"/>
        </w:rPr>
        <w:t>1</w:t>
      </w:r>
      <w:r>
        <w:rPr>
          <w:rFonts w:ascii="Times New Roman" w:hAnsi="Times New Roman"/>
          <w:sz w:val="24"/>
        </w:rPr>
        <w:t xml:space="preserve"> and Test </w:t>
      </w:r>
      <w:r>
        <w:rPr>
          <w:rFonts w:ascii="Times New Roman" w:hAnsi="Times New Roman"/>
          <w:b/>
          <w:sz w:val="24"/>
        </w:rPr>
        <w:t>2</w:t>
      </w:r>
      <w:r>
        <w:rPr>
          <w:rFonts w:ascii="Times New Roman" w:hAnsi="Times New Roman"/>
          <w:sz w:val="24"/>
        </w:rPr>
        <w:t xml:space="preserve"> rather than reliance on pooled estimates alone.</w:t>
      </w:r>
    </w:p>
    <w:p>
      <w:pPr>
        <w:pStyle w:val="Heading2"/>
        <w:keepNext/>
      </w:pPr>
      <w:r>
        <w:t>2.5 Pooled Predictive Performance Across Test 1 and Test 2</w:t>
      </w:r>
    </w:p>
    <w:p>
      <w:pPr>
        <w:widowControl/>
        <w:spacing w:lineRule="auto" w:line="300" w:after="120"/>
        <w:jc w:val="both"/>
      </w:pPr>
      <w:r>
        <w:rPr>
          <w:rFonts w:ascii="Times New Roman" w:hAnsi="Times New Roman"/>
          <w:sz w:val="24"/>
        </w:rPr>
        <w:t xml:space="preserve">Pooled evaluation comprised </w:t>
      </w:r>
      <w:r>
        <w:rPr>
          <w:rFonts w:ascii="Times New Roman" w:hAnsi="Times New Roman"/>
          <w:b/>
          <w:sz w:val="24"/>
        </w:rPr>
        <w:t>83,719 classification observations</w:t>
      </w:r>
      <w:r>
        <w:rPr>
          <w:rFonts w:ascii="Times New Roman" w:hAnsi="Times New Roman"/>
          <w:sz w:val="24"/>
        </w:rPr>
        <w:t xml:space="preserve">, </w:t>
      </w:r>
      <w:r>
        <w:rPr>
          <w:rFonts w:ascii="Times New Roman" w:hAnsi="Times New Roman"/>
          <w:b/>
          <w:sz w:val="24"/>
        </w:rPr>
        <w:t>190,089 regression or probabilistic observations</w:t>
      </w:r>
      <w:r>
        <w:rPr>
          <w:rFonts w:ascii="Times New Roman" w:hAnsi="Times New Roman"/>
          <w:sz w:val="24"/>
        </w:rPr>
        <w:t xml:space="preserve">, and </w:t>
      </w:r>
      <w:r>
        <w:rPr>
          <w:rFonts w:ascii="Times New Roman" w:hAnsi="Times New Roman"/>
          <w:b/>
          <w:sz w:val="24"/>
        </w:rPr>
        <w:t>9,447 ranking queries</w:t>
      </w:r>
      <w:r>
        <w:rPr>
          <w:rFonts w:ascii="Times New Roman" w:hAnsi="Times New Roman"/>
          <w:sz w:val="24"/>
        </w:rPr>
        <w:t xml:space="preserve">. Results are separated by task in Tables </w:t>
      </w:r>
      <w:r>
        <w:rPr>
          <w:rFonts w:ascii="Times New Roman" w:hAnsi="Times New Roman"/>
          <w:b/>
          <w:sz w:val="24"/>
        </w:rPr>
        <w:t>4A–4D</w:t>
      </w:r>
      <w:r>
        <w:rPr>
          <w:rFonts w:ascii="Times New Roman" w:hAnsi="Times New Roman"/>
          <w:sz w:val="24"/>
        </w:rPr>
        <w:t xml:space="preserve"> because their metrics represent different estimands and scales.</w:t>
      </w:r>
    </w:p>
    <w:p>
      <w:pPr>
        <w:keepNext/>
        <w:spacing w:before="120" w:after="60"/>
      </w:pPr>
      <w:r>
        <w:rPr>
          <w:rFonts w:ascii="Times New Roman" w:hAnsi="Times New Roman"/>
          <w:b/>
          <w:sz w:val="20"/>
        </w:rPr>
        <w:t>Table 4A. Pooled binary-classification performance across Test 1 and Test 2</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256"/>
        <w:gridCol w:w="2256"/>
        <w:gridCol w:w="2256"/>
        <w:gridCol w:w="2256"/>
      </w:tblGrid>
      <w:tr>
        <w:trPr>
          <w:cantSplit/>
          <w:tblHeader w:val="true"/>
        </w:trPr>
        <w:tc>
          <w:tcPr>
            <w:tcW w:type="dxa" w:w="2500"/>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Metric</w:t>
            </w:r>
          </w:p>
        </w:tc>
        <w:tc>
          <w:tcPr>
            <w:tcW w:type="dxa" w:w="2200"/>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Classification ensemble</w:t>
            </w:r>
          </w:p>
        </w:tc>
        <w:tc>
          <w:tcPr>
            <w:tcW w:type="dxa" w:w="2200"/>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Constant event-rate baseline</w:t>
            </w:r>
          </w:p>
        </w:tc>
        <w:tc>
          <w:tcPr>
            <w:tcW w:type="dxa" w:w="2129"/>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Relative change</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AUC</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0.647594</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0.457940</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Not applicable</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Brier score</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0.112568</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0.137265</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17.99% lower</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Logarithmic loss</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0.379316</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0.454836</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16.60% lower</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ECE15</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0.018056</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0.145403</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Not reported as relative effect</w:t>
            </w:r>
          </w:p>
        </w:tc>
      </w:tr>
    </w:tbl>
    <w:p>
      <w:pPr>
        <w:spacing w:after="0"/>
      </w:pPr>
    </w:p>
    <w:p>
      <w:pPr>
        <w:keepNext/>
        <w:spacing w:before="120" w:after="60"/>
      </w:pPr>
      <w:r>
        <w:rPr>
          <w:rFonts w:ascii="Times New Roman" w:hAnsi="Times New Roman"/>
          <w:b/>
          <w:sz w:val="20"/>
        </w:rPr>
        <w:t>Table 4B. Pooled regression performance across Test 1 and Test 2</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256"/>
        <w:gridCol w:w="2256"/>
        <w:gridCol w:w="2256"/>
        <w:gridCol w:w="2256"/>
      </w:tblGrid>
      <w:tr>
        <w:trPr>
          <w:cantSplit/>
          <w:tblHeader w:val="true"/>
        </w:trPr>
        <w:tc>
          <w:tcPr>
            <w:tcW w:type="dxa" w:w="2500"/>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Metric</w:t>
            </w:r>
          </w:p>
        </w:tc>
        <w:tc>
          <w:tcPr>
            <w:tcW w:type="dxa" w:w="2200"/>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Regression ensemble</w:t>
            </w:r>
          </w:p>
        </w:tc>
        <w:tc>
          <w:tcPr>
            <w:tcW w:type="dxa" w:w="2200"/>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Strictly prior fare baseline</w:t>
            </w:r>
          </w:p>
        </w:tc>
        <w:tc>
          <w:tcPr>
            <w:tcW w:type="dxa" w:w="2129"/>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Comparative effect</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MAPE</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0.070909</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0.137707</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48.51% lower</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Median absolute percentage error</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0.03310</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0.08092</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59.10% lower</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MAE (VND)</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117,355</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225,845</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48.04% lower</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RMSE (VND)</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227,178</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383,223</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40.72% lower</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Coefficient of determination (R²)</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0.833902</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0.527357</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+0.306545 absolute</w:t>
            </w:r>
          </w:p>
        </w:tc>
      </w:tr>
    </w:tbl>
    <w:p>
      <w:pPr>
        <w:spacing w:after="0"/>
      </w:pPr>
    </w:p>
    <w:p>
      <w:pPr>
        <w:keepNext/>
        <w:spacing w:before="120" w:after="60"/>
      </w:pPr>
      <w:r>
        <w:rPr>
          <w:rFonts w:ascii="Times New Roman" w:hAnsi="Times New Roman"/>
          <w:b/>
          <w:sz w:val="20"/>
        </w:rPr>
        <w:t>Table 4C. Pooled probabilistic-forecasting performance across Test 1 and Test 2</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256"/>
        <w:gridCol w:w="2256"/>
        <w:gridCol w:w="2256"/>
        <w:gridCol w:w="2256"/>
      </w:tblGrid>
      <w:tr>
        <w:trPr>
          <w:cantSplit/>
          <w:tblHeader w:val="true"/>
        </w:trPr>
        <w:tc>
          <w:tcPr>
            <w:tcW w:type="dxa" w:w="2500"/>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Metric</w:t>
            </w:r>
          </w:p>
        </w:tc>
        <w:tc>
          <w:tcPr>
            <w:tcW w:type="dxa" w:w="2200"/>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Quantile ensemble</w:t>
            </w:r>
          </w:p>
        </w:tc>
        <w:tc>
          <w:tcPr>
            <w:tcW w:type="dxa" w:w="2200"/>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Empirical-residual baseline</w:t>
            </w:r>
          </w:p>
        </w:tc>
        <w:tc>
          <w:tcPr>
            <w:tcW w:type="dxa" w:w="2129"/>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Relative change</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WIS</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0.061212</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0.093850</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34.78% lower</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Mean pinball loss</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0.030606</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0.046925</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34.78% lower</w:t>
            </w:r>
          </w:p>
        </w:tc>
      </w:tr>
    </w:tbl>
    <w:p>
      <w:pPr>
        <w:spacing w:after="0"/>
      </w:pPr>
    </w:p>
    <w:p>
      <w:pPr>
        <w:keepNext/>
        <w:spacing w:before="120" w:after="60"/>
      </w:pPr>
      <w:r>
        <w:rPr>
          <w:rFonts w:ascii="Times New Roman" w:hAnsi="Times New Roman"/>
          <w:b/>
          <w:sz w:val="20"/>
        </w:rPr>
        <w:t>Table 4D. Pooled learning-to-rank performance across Test 1 and Test 2</w:t>
      </w:r>
    </w:p>
    <w:tbl>
      <w:tblPr>
        <w:tblW w:type="auto" w:w="0"/>
        <w:jc w:val="center"/>
        <w:tblLayout w:type="fixed"/>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256"/>
        <w:gridCol w:w="2256"/>
        <w:gridCol w:w="2256"/>
        <w:gridCol w:w="2256"/>
      </w:tblGrid>
      <w:tr>
        <w:trPr>
          <w:cantSplit/>
          <w:tblHeader w:val="true"/>
        </w:trPr>
        <w:tc>
          <w:tcPr>
            <w:tcW w:type="dxa" w:w="2500"/>
            <w:tcMar>
              <w:top w:w="80" w:type="dxa"/>
              <w:start w:w="90" w:type="dxa"/>
              <w:bottom w:w="80" w:type="dxa"/>
              <w:end w:w="90" w:type="dxa"/>
            </w:tcMar>
            <w:vAlign w:val="center"/>
            <w:shd w:fill="4472C4"/>
          </w:tcPr>
          <w:p>
            <w:pPr>
              <w:spacing w:before="0" w:after="0" w:line="240" w:lineRule="auto"/>
              <w:jc w:val="left"/>
            </w:pPr>
            <w:r>
              <w:rPr>
                <w:rFonts w:ascii="Times New Roman" w:hAnsi="Times New Roman"/>
                <w:b/>
                <w:color w:val="FFFFFF"/>
                <w:sz w:val="21"/>
              </w:rPr>
              <w:t>Metric</w:t>
            </w:r>
          </w:p>
        </w:tc>
        <w:tc>
          <w:tcPr>
            <w:tcW w:type="dxa" w:w="2200"/>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Ranking ensemble</w:t>
            </w:r>
          </w:p>
        </w:tc>
        <w:tc>
          <w:tcPr>
            <w:tcW w:type="dxa" w:w="2200"/>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Prior-fare ranking baseline</w:t>
            </w:r>
          </w:p>
        </w:tc>
        <w:tc>
          <w:tcPr>
            <w:tcW w:type="dxa" w:w="2129"/>
            <w:tcMar>
              <w:top w:w="80" w:type="dxa"/>
              <w:start w:w="90" w:type="dxa"/>
              <w:bottom w:w="80" w:type="dxa"/>
              <w:end w:w="90" w:type="dxa"/>
            </w:tcMar>
            <w:vAlign w:val="center"/>
            <w:shd w:fill="4472C4"/>
          </w:tcPr>
          <w:p>
            <w:pPr>
              <w:spacing w:before="0" w:after="0" w:line="240" w:lineRule="auto"/>
              <w:jc w:val="center"/>
            </w:pPr>
            <w:r>
              <w:rPr>
                <w:rFonts w:ascii="Times New Roman" w:hAnsi="Times New Roman"/>
                <w:b/>
                <w:color w:val="FFFFFF"/>
                <w:sz w:val="21"/>
              </w:rPr>
              <w:t>Relative change</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NDCG@5</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0.820768</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0.659424</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24.47% higher</w:t>
            </w:r>
          </w:p>
        </w:tc>
      </w:tr>
      <w:tr>
        <w:trPr>
          <w:cantSplit/>
        </w:trPr>
        <w:tc>
          <w:tcPr>
            <w:tcW w:type="dxa" w:w="2500"/>
            <w:tcMar>
              <w:top w:w="80" w:type="dxa"/>
              <w:start w:w="90" w:type="dxa"/>
              <w:bottom w:w="80" w:type="dxa"/>
              <w:end w:w="90" w:type="dxa"/>
            </w:tcMar>
            <w:vAlign w:val="center"/>
          </w:tcPr>
          <w:p>
            <w:pPr>
              <w:spacing w:before="0" w:after="0" w:line="240" w:lineRule="auto"/>
              <w:jc w:val="left"/>
            </w:pPr>
            <w:r>
              <w:rPr>
                <w:rFonts w:ascii="Times New Roman" w:hAnsi="Times New Roman"/>
                <w:sz w:val="20"/>
              </w:rPr>
              <w:t>Pairwise concordance</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0.869721</w:t>
            </w:r>
          </w:p>
        </w:tc>
        <w:tc>
          <w:tcPr>
            <w:tcW w:type="dxa" w:w="2200"/>
            <w:tcMar>
              <w:top w:w="80" w:type="dxa"/>
              <w:start w:w="90" w:type="dxa"/>
              <w:bottom w:w="80" w:type="dxa"/>
              <w:end w:w="90" w:type="dxa"/>
            </w:tcMar>
            <w:vAlign w:val="center"/>
          </w:tcPr>
          <w:p>
            <w:pPr>
              <w:spacing w:before="0" w:after="0" w:line="240" w:lineRule="auto"/>
              <w:jc w:val="center"/>
            </w:pPr>
            <w:r>
              <w:rPr>
                <w:rFonts w:ascii="Times New Roman" w:hAnsi="Times New Roman"/>
                <w:sz w:val="20"/>
              </w:rPr>
              <w:t>0.715912</w:t>
            </w:r>
          </w:p>
        </w:tc>
        <w:tc>
          <w:tcPr>
            <w:tcW w:type="dxa" w:w="2129"/>
            <w:tcMar>
              <w:top w:w="80" w:type="dxa"/>
              <w:start w:w="90" w:type="dxa"/>
              <w:bottom w:w="80" w:type="dxa"/>
              <w:end w:w="90" w:type="dxa"/>
            </w:tcMar>
            <w:vAlign w:val="center"/>
          </w:tcPr>
          <w:p>
            <w:pPr>
              <w:spacing w:before="0" w:after="0" w:line="240" w:lineRule="auto"/>
              <w:jc w:val="center"/>
            </w:pPr>
            <w:r>
              <w:rPr>
                <w:rFonts w:ascii="Times New Roman" w:hAnsi="Times New Roman"/>
                <w:sz w:val="20"/>
              </w:rPr>
              <w:t>21.48% higher</w:t>
            </w:r>
          </w:p>
        </w:tc>
      </w:tr>
    </w:tbl>
    <w:p>
      <w:pPr>
        <w:spacing w:after="0"/>
      </w:pPr>
    </w:p>
    <w:p>
      <w:pPr>
        <w:widowControl/>
        <w:spacing w:lineRule="auto" w:line="300" w:after="120"/>
        <w:jc w:val="both"/>
      </w:pPr>
      <w:r>
        <w:rPr>
          <w:rFonts w:ascii="Times New Roman" w:hAnsi="Times New Roman"/>
          <w:sz w:val="24"/>
        </w:rPr>
        <w:t xml:space="preserve">Across pooled observations, classification ensemble reduced Brier score by </w:t>
      </w:r>
      <w:r>
        <w:rPr>
          <w:rFonts w:ascii="Times New Roman" w:hAnsi="Times New Roman"/>
          <w:b/>
          <w:sz w:val="24"/>
        </w:rPr>
        <w:t>17.99%</w:t>
      </w:r>
      <w:r>
        <w:rPr>
          <w:rFonts w:ascii="Times New Roman" w:hAnsi="Times New Roman"/>
          <w:sz w:val="24"/>
        </w:rPr>
        <w:t xml:space="preserve"> and logarithmic loss by </w:t>
      </w:r>
      <w:r>
        <w:rPr>
          <w:rFonts w:ascii="Times New Roman" w:hAnsi="Times New Roman"/>
          <w:b/>
          <w:sz w:val="24"/>
        </w:rPr>
        <w:t>16.60%</w:t>
      </w:r>
      <w:r>
        <w:rPr>
          <w:rFonts w:ascii="Times New Roman" w:hAnsi="Times New Roman"/>
          <w:sz w:val="24"/>
        </w:rPr>
        <w:t xml:space="preserve"> relative to block-specific constant event-rate predictions. The baseline's pooled AUC was </w:t>
      </w:r>
      <w:r>
        <w:rPr>
          <w:rFonts w:ascii="Times New Roman" w:hAnsi="Times New Roman"/>
          <w:b/>
          <w:sz w:val="24"/>
        </w:rPr>
        <w:t>0.4579</w:t>
      </w:r>
      <w:r>
        <w:rPr>
          <w:rFonts w:ascii="Times New Roman" w:hAnsi="Times New Roman"/>
          <w:sz w:val="24"/>
        </w:rPr>
        <w:t xml:space="preserve">, rather than </w:t>
      </w:r>
      <w:r>
        <w:rPr>
          <w:rFonts w:ascii="Times New Roman" w:hAnsi="Times New Roman"/>
          <w:b/>
          <w:sz w:val="24"/>
        </w:rPr>
        <w:t>0.5000</w:t>
      </w:r>
      <w:r>
        <w:rPr>
          <w:rFonts w:ascii="Times New Roman" w:hAnsi="Times New Roman"/>
          <w:sz w:val="24"/>
        </w:rPr>
        <w:t xml:space="preserve">, because it assigned different constants to test periods with different event prevalence; within each period its AUC remained </w:t>
      </w:r>
      <w:r>
        <w:rPr>
          <w:rFonts w:ascii="Times New Roman" w:hAnsi="Times New Roman"/>
          <w:b/>
          <w:sz w:val="24"/>
        </w:rPr>
        <w:t>0.5000</w:t>
      </w:r>
      <w:r>
        <w:rPr>
          <w:rFonts w:ascii="Times New Roman" w:hAnsi="Times New Roman"/>
          <w:sz w:val="24"/>
        </w:rPr>
        <w:t xml:space="preserve">. Regression MAPE was </w:t>
      </w:r>
      <w:r>
        <w:rPr>
          <w:rFonts w:ascii="Times New Roman" w:hAnsi="Times New Roman"/>
          <w:b/>
          <w:sz w:val="24"/>
        </w:rPr>
        <w:t>48.51% lower</w:t>
      </w:r>
      <w:r>
        <w:rPr>
          <w:rFonts w:ascii="Times New Roman" w:hAnsi="Times New Roman"/>
          <w:sz w:val="24"/>
        </w:rPr>
        <w:t xml:space="preserve">, while MAE decreased from </w:t>
      </w:r>
      <w:r>
        <w:rPr>
          <w:rFonts w:ascii="Times New Roman" w:hAnsi="Times New Roman"/>
          <w:b/>
          <w:sz w:val="24"/>
        </w:rPr>
        <w:t>225,845 VND</w:t>
      </w:r>
      <w:r>
        <w:rPr>
          <w:rFonts w:ascii="Times New Roman" w:hAnsi="Times New Roman"/>
          <w:sz w:val="24"/>
        </w:rPr>
        <w:t xml:space="preserve"> to </w:t>
      </w:r>
      <w:r>
        <w:rPr>
          <w:rFonts w:ascii="Times New Roman" w:hAnsi="Times New Roman"/>
          <w:b/>
          <w:sz w:val="24"/>
        </w:rPr>
        <w:t>117,355 VND</w:t>
      </w:r>
      <w:r>
        <w:rPr>
          <w:rFonts w:ascii="Times New Roman" w:hAnsi="Times New Roman"/>
          <w:sz w:val="24"/>
        </w:rPr>
        <w:t xml:space="preserve">. Regression R² increased from </w:t>
      </w:r>
      <w:r>
        <w:rPr>
          <w:rFonts w:ascii="Times New Roman" w:hAnsi="Times New Roman"/>
          <w:b/>
          <w:sz w:val="24"/>
        </w:rPr>
        <w:t>0.5274</w:t>
      </w:r>
      <w:r>
        <w:rPr>
          <w:rFonts w:ascii="Times New Roman" w:hAnsi="Times New Roman"/>
          <w:sz w:val="24"/>
        </w:rPr>
        <w:t xml:space="preserve"> under strictly prior fare baseline to </w:t>
      </w:r>
      <w:r>
        <w:rPr>
          <w:rFonts w:ascii="Times New Roman" w:hAnsi="Times New Roman"/>
          <w:b/>
          <w:sz w:val="24"/>
        </w:rPr>
        <w:t>0.8339</w:t>
      </w:r>
      <w:r>
        <w:rPr>
          <w:rFonts w:ascii="Times New Roman" w:hAnsi="Times New Roman"/>
          <w:sz w:val="24"/>
        </w:rPr>
        <w:t xml:space="preserve"> under ensemble, an absolute gain of </w:t>
      </w:r>
      <w:r>
        <w:rPr>
          <w:rFonts w:ascii="Times New Roman" w:hAnsi="Times New Roman"/>
          <w:b/>
          <w:sz w:val="24"/>
        </w:rPr>
        <w:t>0.3065</w:t>
      </w:r>
      <w:r>
        <w:rPr>
          <w:rFonts w:ascii="Times New Roman" w:hAnsi="Times New Roman"/>
          <w:sz w:val="24"/>
        </w:rPr>
        <w:t xml:space="preserve">. Quantile ensemble reduced both WIS and mean pinball loss by </w:t>
      </w:r>
      <w:r>
        <w:rPr>
          <w:rFonts w:ascii="Times New Roman" w:hAnsi="Times New Roman"/>
          <w:b/>
          <w:sz w:val="24"/>
        </w:rPr>
        <w:t>34.78%</w:t>
      </w:r>
      <w:r>
        <w:rPr>
          <w:rFonts w:ascii="Times New Roman" w:hAnsi="Times New Roman"/>
          <w:sz w:val="24"/>
        </w:rPr>
        <w:t xml:space="preserve"> relative to empirical-residual baseline. Ranking ensemble increased NDCG@</w:t>
      </w:r>
      <w:r>
        <w:rPr>
          <w:rFonts w:ascii="Times New Roman" w:hAnsi="Times New Roman"/>
          <w:b/>
          <w:sz w:val="24"/>
        </w:rPr>
        <w:t>5</w:t>
      </w:r>
      <w:r>
        <w:rPr>
          <w:rFonts w:ascii="Times New Roman" w:hAnsi="Times New Roman"/>
          <w:sz w:val="24"/>
        </w:rPr>
        <w:t xml:space="preserve"> from </w:t>
      </w:r>
      <w:r>
        <w:rPr>
          <w:rFonts w:ascii="Times New Roman" w:hAnsi="Times New Roman"/>
          <w:b/>
          <w:sz w:val="24"/>
        </w:rPr>
        <w:t>0.6594</w:t>
      </w:r>
      <w:r>
        <w:rPr>
          <w:rFonts w:ascii="Times New Roman" w:hAnsi="Times New Roman"/>
          <w:sz w:val="24"/>
        </w:rPr>
        <w:t xml:space="preserve"> to </w:t>
      </w:r>
      <w:r>
        <w:rPr>
          <w:rFonts w:ascii="Times New Roman" w:hAnsi="Times New Roman"/>
          <w:b/>
          <w:sz w:val="24"/>
        </w:rPr>
        <w:t>0.8208</w:t>
      </w:r>
      <w:r>
        <w:rPr>
          <w:rFonts w:ascii="Times New Roman" w:hAnsi="Times New Roman"/>
          <w:sz w:val="24"/>
        </w:rPr>
        <w:t xml:space="preserve"> and pairwise concordance from </w:t>
      </w:r>
      <w:r>
        <w:rPr>
          <w:rFonts w:ascii="Times New Roman" w:hAnsi="Times New Roman"/>
          <w:b/>
          <w:sz w:val="24"/>
        </w:rPr>
        <w:t>0.7159</w:t>
      </w:r>
      <w:r>
        <w:rPr>
          <w:rFonts w:ascii="Times New Roman" w:hAnsi="Times New Roman"/>
          <w:sz w:val="24"/>
        </w:rPr>
        <w:t xml:space="preserve"> to </w:t>
      </w:r>
      <w:r>
        <w:rPr>
          <w:rFonts w:ascii="Times New Roman" w:hAnsi="Times New Roman"/>
          <w:b/>
          <w:sz w:val="24"/>
        </w:rPr>
        <w:t>0.8697</w:t>
      </w:r>
      <w:r>
        <w:rPr>
          <w:rFonts w:ascii="Times New Roman" w:hAnsi="Times New Roman"/>
          <w:sz w:val="24"/>
        </w:rPr>
        <w:t>. Day-stratified bootstrap intervals for prespecified primary differences excluded zero in the favourable direction for all four predictive tasks. Improvement was observed in both prospective blocks for every task.</w:t>
      </w:r>
    </w:p>
    <w:p>
      <w:pPr>
        <w:pStyle w:val="Heading2"/>
        <w:keepNext/>
      </w:pPr>
      <w:r>
        <w:t>2.6 Calibration and Ranking Diagnostics</w:t>
      </w:r>
    </w:p>
    <w:p>
      <w:pPr>
        <w:widowControl/>
        <w:spacing w:lineRule="auto" w:line="300" w:after="120"/>
        <w:jc w:val="both"/>
      </w:pPr>
      <w:r>
        <w:rPr>
          <w:rFonts w:ascii="Times New Roman" w:hAnsi="Times New Roman"/>
          <w:sz w:val="24"/>
        </w:rPr>
        <w:t xml:space="preserve">Seven-quantile forecasts exhibited </w:t>
      </w:r>
      <w:r>
        <w:rPr>
          <w:rFonts w:ascii="Times New Roman" w:hAnsi="Times New Roman"/>
          <w:b/>
          <w:sz w:val="24"/>
        </w:rPr>
        <w:t>no quantile crossings</w:t>
      </w:r>
      <w:r>
        <w:rPr>
          <w:rFonts w:ascii="Times New Roman" w:hAnsi="Times New Roman"/>
          <w:sz w:val="24"/>
        </w:rPr>
        <w:t xml:space="preserve">. Empirical coverage was </w:t>
      </w:r>
      <w:r>
        <w:rPr>
          <w:rFonts w:ascii="Times New Roman" w:hAnsi="Times New Roman"/>
          <w:b/>
          <w:sz w:val="24"/>
        </w:rPr>
        <w:t>48.65%</w:t>
      </w:r>
      <w:r>
        <w:rPr>
          <w:rFonts w:ascii="Times New Roman" w:hAnsi="Times New Roman"/>
          <w:sz w:val="24"/>
        </w:rPr>
        <w:t xml:space="preserve"> for nominal </w:t>
      </w:r>
      <w:r>
        <w:rPr>
          <w:rFonts w:ascii="Times New Roman" w:hAnsi="Times New Roman"/>
          <w:b/>
          <w:sz w:val="24"/>
        </w:rPr>
        <w:t>50%</w:t>
      </w:r>
      <w:r>
        <w:rPr>
          <w:rFonts w:ascii="Times New Roman" w:hAnsi="Times New Roman"/>
          <w:sz w:val="24"/>
        </w:rPr>
        <w:t xml:space="preserve"> interval, </w:t>
      </w:r>
      <w:r>
        <w:rPr>
          <w:rFonts w:ascii="Times New Roman" w:hAnsi="Times New Roman"/>
          <w:b/>
          <w:sz w:val="24"/>
        </w:rPr>
        <w:t>78.12%</w:t>
      </w:r>
      <w:r>
        <w:rPr>
          <w:rFonts w:ascii="Times New Roman" w:hAnsi="Times New Roman"/>
          <w:sz w:val="24"/>
        </w:rPr>
        <w:t xml:space="preserve"> for nominal </w:t>
      </w:r>
      <w:r>
        <w:rPr>
          <w:rFonts w:ascii="Times New Roman" w:hAnsi="Times New Roman"/>
          <w:b/>
          <w:sz w:val="24"/>
        </w:rPr>
        <w:t>80%</w:t>
      </w:r>
      <w:r>
        <w:rPr>
          <w:rFonts w:ascii="Times New Roman" w:hAnsi="Times New Roman"/>
          <w:sz w:val="24"/>
        </w:rPr>
        <w:t xml:space="preserve"> interval and </w:t>
      </w:r>
      <w:r>
        <w:rPr>
          <w:rFonts w:ascii="Times New Roman" w:hAnsi="Times New Roman"/>
          <w:b/>
          <w:sz w:val="24"/>
        </w:rPr>
        <w:t>88.53%</w:t>
      </w:r>
      <w:r>
        <w:rPr>
          <w:rFonts w:ascii="Times New Roman" w:hAnsi="Times New Roman"/>
          <w:sz w:val="24"/>
        </w:rPr>
        <w:t xml:space="preserve"> for nominal </w:t>
      </w:r>
      <w:r>
        <w:rPr>
          <w:rFonts w:ascii="Times New Roman" w:hAnsi="Times New Roman"/>
          <w:b/>
          <w:sz w:val="24"/>
        </w:rPr>
        <w:t>90%</w:t>
      </w:r>
      <w:r>
        <w:rPr>
          <w:rFonts w:ascii="Times New Roman" w:hAnsi="Times New Roman"/>
          <w:sz w:val="24"/>
        </w:rPr>
        <w:t xml:space="preserve"> interval. Forecast intervals therefore showed modest undercoverage at each reported level, despite lower WIS and pinball loss. Better aggregate proper scores indicate an improved balance between sharpness and calibration; they do not imply exact nominal coverage at every interval level.</w:t>
      </w:r>
    </w:p>
    <w:p>
      <w:pPr>
        <w:widowControl/>
        <w:spacing w:lineRule="auto" w:line="300" w:after="120"/>
        <w:jc w:val="both"/>
      </w:pPr>
      <w:r>
        <w:rPr>
          <w:rFonts w:ascii="Times New Roman" w:hAnsi="Times New Roman"/>
          <w:sz w:val="24"/>
        </w:rPr>
        <w:t>Ranking ensemble achieved NDCG@</w:t>
      </w:r>
      <w:r>
        <w:rPr>
          <w:rFonts w:ascii="Times New Roman" w:hAnsi="Times New Roman"/>
          <w:b/>
          <w:sz w:val="24"/>
        </w:rPr>
        <w:t>5 of 0.8208</w:t>
      </w:r>
      <w:r>
        <w:rPr>
          <w:rFonts w:ascii="Times New Roman" w:hAnsi="Times New Roman"/>
          <w:sz w:val="24"/>
        </w:rPr>
        <w:t xml:space="preserve"> and pairwise concordance of </w:t>
      </w:r>
      <w:r>
        <w:rPr>
          <w:rFonts w:ascii="Times New Roman" w:hAnsi="Times New Roman"/>
          <w:b/>
          <w:sz w:val="24"/>
        </w:rPr>
        <w:t>0.8697</w:t>
      </w:r>
      <w:r>
        <w:rPr>
          <w:rFonts w:ascii="Times New Roman" w:hAnsi="Times New Roman"/>
          <w:sz w:val="24"/>
        </w:rPr>
        <w:t xml:space="preserve">, compared with </w:t>
      </w:r>
      <w:r>
        <w:rPr>
          <w:rFonts w:ascii="Times New Roman" w:hAnsi="Times New Roman"/>
          <w:b/>
          <w:sz w:val="24"/>
        </w:rPr>
        <w:t>0.6594</w:t>
      </w:r>
      <w:r>
        <w:rPr>
          <w:rFonts w:ascii="Times New Roman" w:hAnsi="Times New Roman"/>
          <w:sz w:val="24"/>
        </w:rPr>
        <w:t xml:space="preserve"> and </w:t>
      </w:r>
      <w:r>
        <w:rPr>
          <w:rFonts w:ascii="Times New Roman" w:hAnsi="Times New Roman"/>
          <w:b/>
          <w:sz w:val="24"/>
        </w:rPr>
        <w:t>0.7159</w:t>
      </w:r>
      <w:r>
        <w:rPr>
          <w:rFonts w:ascii="Times New Roman" w:hAnsi="Times New Roman"/>
          <w:sz w:val="24"/>
        </w:rPr>
        <w:t>, respectively, under prior-fare ordering. These measures evaluate a different estimand from regression. Regression quantifies expected monetary fare, whereas learning-to-rank assesses whether offers with lower subsequently realised fares are placed near top of each query-specific choice set.</w:t>
      </w:r>
    </w:p>
    <w:p>
      <w:pPr>
        <w:pStyle w:val="Heading2"/>
        <w:keepNext/>
      </w:pPr>
      <w:r>
        <w:t>2.7 Purchase-Timing Policy</w:t>
      </w:r>
    </w:p>
    <w:p>
      <w:pPr>
        <w:widowControl/>
        <w:spacing w:lineRule="auto" w:line="300" w:after="120"/>
        <w:jc w:val="both"/>
      </w:pPr>
      <w:r>
        <w:rPr>
          <w:rFonts w:ascii="Times New Roman" w:hAnsi="Times New Roman"/>
          <w:sz w:val="24"/>
        </w:rPr>
        <w:t xml:space="preserve">Prespecified decision policy recommended WAIT when calibrated probability of a fare decrease exceeded </w:t>
      </w:r>
      <w:r>
        <w:rPr>
          <w:rFonts w:ascii="Times New Roman" w:hAnsi="Times New Roman"/>
          <w:b/>
          <w:sz w:val="24"/>
        </w:rPr>
        <w:t>0.30</w:t>
      </w:r>
      <w:r>
        <w:rPr>
          <w:rFonts w:ascii="Times New Roman" w:hAnsi="Times New Roman"/>
          <w:sz w:val="24"/>
        </w:rPr>
        <w:t xml:space="preserve">, after inclusion of </w:t>
      </w:r>
      <w:r>
        <w:rPr>
          <w:rFonts w:ascii="Times New Roman" w:hAnsi="Times New Roman"/>
          <w:b/>
          <w:sz w:val="24"/>
        </w:rPr>
        <w:t>50,000 VND</w:t>
      </w:r>
      <w:r>
        <w:rPr>
          <w:rFonts w:ascii="Times New Roman" w:hAnsi="Times New Roman"/>
          <w:sz w:val="24"/>
        </w:rPr>
        <w:t xml:space="preserve"> transaction friction. Across both prospective tests, mean regret was </w:t>
      </w:r>
      <w:r>
        <w:rPr>
          <w:rFonts w:ascii="Times New Roman" w:hAnsi="Times New Roman"/>
          <w:b/>
          <w:sz w:val="24"/>
        </w:rPr>
        <w:t>29,695.45 VND</w:t>
      </w:r>
      <w:r>
        <w:rPr>
          <w:rFonts w:ascii="Times New Roman" w:hAnsi="Times New Roman"/>
          <w:sz w:val="24"/>
        </w:rPr>
        <w:t xml:space="preserve"> under model policy and </w:t>
      </w:r>
      <w:r>
        <w:rPr>
          <w:rFonts w:ascii="Times New Roman" w:hAnsi="Times New Roman"/>
          <w:b/>
          <w:sz w:val="24"/>
        </w:rPr>
        <w:t>30,419.95 VND</w:t>
      </w:r>
      <w:r>
        <w:rPr>
          <w:rFonts w:ascii="Times New Roman" w:hAnsi="Times New Roman"/>
          <w:sz w:val="24"/>
        </w:rPr>
        <w:t xml:space="preserve"> under always-BUY policy, a difference of </w:t>
      </w:r>
      <w:r>
        <w:rPr>
          <w:rFonts w:ascii="Times New Roman" w:hAnsi="Times New Roman"/>
          <w:b/>
          <w:sz w:val="24"/>
        </w:rPr>
        <w:t>724.50 VND</w:t>
      </w:r>
      <w:r>
        <w:rPr>
          <w:rFonts w:ascii="Times New Roman" w:hAnsi="Times New Roman"/>
          <w:sz w:val="24"/>
        </w:rPr>
        <w:t xml:space="preserve">, or </w:t>
      </w:r>
      <w:r>
        <w:rPr>
          <w:rFonts w:ascii="Times New Roman" w:hAnsi="Times New Roman"/>
          <w:b/>
          <w:sz w:val="24"/>
        </w:rPr>
        <w:t>2.38%</w:t>
      </w:r>
      <w:r>
        <w:rPr>
          <w:rFonts w:ascii="Times New Roman" w:hAnsi="Times New Roman"/>
          <w:sz w:val="24"/>
        </w:rPr>
        <w:t>. CVaR</w:t>
      </w:r>
      <w:r>
        <w:rPr>
          <w:rFonts w:ascii="Times New Roman" w:hAnsi="Times New Roman"/>
          <w:b/>
          <w:sz w:val="24"/>
        </w:rPr>
        <w:t>95</w:t>
      </w:r>
      <w:r>
        <w:rPr>
          <w:rFonts w:ascii="Times New Roman" w:hAnsi="Times New Roman"/>
          <w:sz w:val="24"/>
        </w:rPr>
        <w:t xml:space="preserve"> decreased from </w:t>
      </w:r>
      <w:r>
        <w:rPr>
          <w:rFonts w:ascii="Times New Roman" w:hAnsi="Times New Roman"/>
          <w:b/>
          <w:sz w:val="24"/>
        </w:rPr>
        <w:t>416,654.08 VND</w:t>
      </w:r>
      <w:r>
        <w:rPr>
          <w:rFonts w:ascii="Times New Roman" w:hAnsi="Times New Roman"/>
          <w:sz w:val="24"/>
        </w:rPr>
        <w:t xml:space="preserve"> to </w:t>
      </w:r>
      <w:r>
        <w:rPr>
          <w:rFonts w:ascii="Times New Roman" w:hAnsi="Times New Roman"/>
          <w:b/>
          <w:sz w:val="24"/>
        </w:rPr>
        <w:t>400,395.87 VND</w:t>
      </w:r>
      <w:r>
        <w:rPr>
          <w:rFonts w:ascii="Times New Roman" w:hAnsi="Times New Roman"/>
          <w:sz w:val="24"/>
        </w:rPr>
        <w:t xml:space="preserve">, while WAIT was recommended for </w:t>
      </w:r>
      <w:r>
        <w:rPr>
          <w:rFonts w:ascii="Times New Roman" w:hAnsi="Times New Roman"/>
          <w:b/>
          <w:sz w:val="24"/>
        </w:rPr>
        <w:t>1.35%</w:t>
      </w:r>
      <w:r>
        <w:rPr>
          <w:rFonts w:ascii="Times New Roman" w:hAnsi="Times New Roman"/>
          <w:sz w:val="24"/>
        </w:rPr>
        <w:t xml:space="preserve"> of observations. Always-WAIT policy performed markedly worse, with mean regret of </w:t>
      </w:r>
      <w:r>
        <w:rPr>
          <w:rFonts w:ascii="Times New Roman" w:hAnsi="Times New Roman"/>
          <w:b/>
          <w:sz w:val="24"/>
        </w:rPr>
        <w:t>157,664.22 VND</w:t>
      </w:r>
      <w:r>
        <w:rPr>
          <w:rFonts w:ascii="Times New Roman" w:hAnsi="Times New Roman"/>
          <w:sz w:val="24"/>
        </w:rPr>
        <w:t>.</w:t>
      </w:r>
    </w:p>
    <w:p>
      <w:pPr>
        <w:widowControl/>
        <w:spacing w:lineRule="auto" w:line="300" w:after="120"/>
        <w:jc w:val="both"/>
      </w:pPr>
      <w:r>
        <w:rPr>
          <w:rFonts w:ascii="Times New Roman" w:hAnsi="Times New Roman"/>
          <w:sz w:val="24"/>
        </w:rPr>
        <w:t xml:space="preserve">Day-block bootstrap estimate for model-policy regret minus always-BUY regret was </w:t>
      </w:r>
      <w:r>
        <w:rPr>
          <w:rFonts w:ascii="Times New Roman" w:hAnsi="Times New Roman"/>
          <w:b/>
          <w:sz w:val="24"/>
        </w:rPr>
        <w:t>−697.73 VND</w:t>
      </w:r>
      <w:r>
        <w:rPr>
          <w:rFonts w:ascii="Times New Roman" w:hAnsi="Times New Roman"/>
          <w:sz w:val="24"/>
        </w:rPr>
        <w:t xml:space="preserve">, with </w:t>
      </w:r>
      <w:r>
        <w:rPr>
          <w:rFonts w:ascii="Times New Roman" w:hAnsi="Times New Roman"/>
          <w:b/>
          <w:sz w:val="24"/>
        </w:rPr>
        <w:t>95% confidence interval from −1,671.25 to 187.37 VND</w:t>
      </w:r>
      <w:r>
        <w:rPr>
          <w:rFonts w:ascii="Times New Roman" w:hAnsi="Times New Roman"/>
          <w:sz w:val="24"/>
        </w:rPr>
        <w:t>. Because interval included zero, prospective evidence did not establish superiority over immediate purchase. Predictive components were supported, but BUY remained defensible default action. WAIT should therefore be interpreted as a restricted experimental recommendation, not a validated replacement policy.</w:t>
      </w:r>
    </w:p>
    <w:p>
      <w:pPr>
        <w:pStyle w:val="Heading2"/>
        <w:keepNext/>
      </w:pPr>
      <w:r>
        <w:t>2.8 Final Production Refit</w:t>
      </w:r>
    </w:p>
    <w:p>
      <w:pPr>
        <w:widowControl/>
        <w:spacing w:lineRule="auto" w:line="300" w:after="120"/>
        <w:jc w:val="both"/>
      </w:pPr>
      <w:r>
        <w:rPr>
          <w:rFonts w:ascii="Times New Roman" w:hAnsi="Times New Roman"/>
          <w:sz w:val="24"/>
        </w:rPr>
        <w:t xml:space="preserve">After model selection, both prospective tests and all reported analyses had been frozen, the unchanged specification was refitted using labels available through </w:t>
      </w:r>
      <w:r>
        <w:rPr>
          <w:rFonts w:ascii="Times New Roman" w:hAnsi="Times New Roman"/>
          <w:b/>
          <w:sz w:val="24"/>
        </w:rPr>
        <w:t>19 August 2026</w:t>
      </w:r>
      <w:r>
        <w:rPr>
          <w:rFonts w:ascii="Times New Roman" w:hAnsi="Times New Roman"/>
          <w:sz w:val="24"/>
        </w:rPr>
        <w:t xml:space="preserve">. Full-data refit used </w:t>
      </w:r>
      <w:r>
        <w:rPr>
          <w:rFonts w:ascii="Times New Roman" w:hAnsi="Times New Roman"/>
          <w:b/>
          <w:sz w:val="24"/>
        </w:rPr>
        <w:t>1,114,445 standardised offers</w:t>
      </w:r>
      <w:r>
        <w:rPr>
          <w:rFonts w:ascii="Times New Roman" w:hAnsi="Times New Roman"/>
          <w:sz w:val="24"/>
        </w:rPr>
        <w:t xml:space="preserve">, including </w:t>
      </w:r>
      <w:r>
        <w:rPr>
          <w:rFonts w:ascii="Times New Roman" w:hAnsi="Times New Roman"/>
          <w:b/>
          <w:sz w:val="24"/>
        </w:rPr>
        <w:t>720,155 classification observations</w:t>
      </w:r>
      <w:r>
        <w:rPr>
          <w:rFonts w:ascii="Times New Roman" w:hAnsi="Times New Roman"/>
          <w:sz w:val="24"/>
        </w:rPr>
        <w:t xml:space="preserve"> and </w:t>
      </w:r>
      <w:r>
        <w:rPr>
          <w:rFonts w:ascii="Times New Roman" w:hAnsi="Times New Roman"/>
          <w:b/>
          <w:sz w:val="24"/>
        </w:rPr>
        <w:t>1,106,785 regression or probabilistic observations</w:t>
      </w:r>
      <w:r>
        <w:rPr>
          <w:rFonts w:ascii="Times New Roman" w:hAnsi="Times New Roman"/>
          <w:sz w:val="24"/>
        </w:rPr>
        <w:t xml:space="preserve">. This refit produced a final inference artefact but supplied no additional evidence of predictive performance. Because no untouched observations remained after fitting on all </w:t>
      </w:r>
      <w:r>
        <w:rPr>
          <w:rFonts w:ascii="Times New Roman" w:hAnsi="Times New Roman"/>
          <w:b/>
          <w:sz w:val="24"/>
        </w:rPr>
        <w:t>150 days</w:t>
      </w:r>
      <w:r>
        <w:rPr>
          <w:rFonts w:ascii="Times New Roman" w:hAnsi="Times New Roman"/>
          <w:sz w:val="24"/>
        </w:rPr>
        <w:t xml:space="preserve">, all generalisation claims remain anchored to Test </w:t>
      </w:r>
      <w:r>
        <w:rPr>
          <w:rFonts w:ascii="Times New Roman" w:hAnsi="Times New Roman"/>
          <w:b/>
          <w:sz w:val="24"/>
        </w:rPr>
        <w:t>1</w:t>
      </w:r>
      <w:r>
        <w:rPr>
          <w:rFonts w:ascii="Times New Roman" w:hAnsi="Times New Roman"/>
          <w:sz w:val="24"/>
        </w:rPr>
        <w:t xml:space="preserve"> and Test </w:t>
      </w:r>
      <w:r>
        <w:rPr>
          <w:rFonts w:ascii="Times New Roman" w:hAnsi="Times New Roman"/>
          <w:b/>
          <w:sz w:val="24"/>
        </w:rPr>
        <w:t>2</w:t>
      </w:r>
      <w:r>
        <w:rPr>
          <w:rFonts w:ascii="Times New Roman" w:hAnsi="Times New Roman"/>
          <w:sz w:val="24"/>
        </w:rPr>
        <w:t>.</w:t>
      </w:r>
    </w:p>
    <w:p>
      <w:pPr>
        <w:pStyle w:val="Heading2"/>
        <w:keepNext/>
      </w:pPr>
      <w:r>
        <w:t>2.9 Integrated Prospective Evaluation</w:t>
      </w:r>
    </w:p>
    <w:p>
      <w:pPr>
        <w:keepNext/>
        <w:spacing w:before="0" w:after="40"/>
        <w:jc w:val="center"/>
      </w:pPr>
      <w:r>
        <w:drawing>
          <wp:inline xmlns:a="http://schemas.openxmlformats.org/drawingml/2006/main" xmlns:pic="http://schemas.openxmlformats.org/drawingml/2006/picture">
            <wp:extent cx="5400000" cy="1944598"/>
            <wp:docPr id="6" name="Picture 6" descr="Classification prospective diagnostics"/>
            <wp:cNvGraphicFramePr>
              <a:graphicFrameLocks noChangeAspect="1"/>
            </wp:cNvGraphicFramePr>
            <a:graphic>
              <a:graphicData uri="http://schemas.openxmlformats.org/drawingml/2006/picture">
                <pic:pic>
                  <pic:nvPicPr>
                    <pic:cNvPr id="0" name="classification_prospective_diagnostics.png"/>
                    <pic:cNvPicPr/>
                  </pic:nvPicPr>
                  <pic:blipFill>
                    <a:blip r:embed="rId138"/>
                    <a:stretch>
                      <a:fillRect/>
                    </a:stretch>
                  </pic:blipFill>
                  <pic:spPr>
                    <a:xfrm>
                      <a:off x="0" y="0"/>
                      <a:ext cx="5400000" cy="1944598"/>
                    </a:xfrm>
                    <a:prstGeom prst="rect"/>
                  </pic:spPr>
                </pic:pic>
              </a:graphicData>
            </a:graphic>
          </wp:inline>
        </w:drawing>
      </w:r>
    </w:p>
    <w:p>
      <w:pPr>
        <w:keepLines/>
        <w:spacing w:before="0" w:after="60"/>
        <w:jc w:val="center"/>
      </w:pPr>
      <w:r>
        <w:rPr>
          <w:rFonts w:ascii="Times New Roman" w:hAnsi="Times New Roman"/>
          <w:b/>
          <w:sz w:val="18"/>
        </w:rPr>
        <w:t>Figure 6.</w:t>
      </w:r>
      <w:r>
        <w:rPr>
          <w:rFonts w:ascii="Times New Roman" w:hAnsi="Times New Roman"/>
          <w:sz w:val="18"/>
        </w:rPr>
        <w:t xml:space="preserve"> Prospective classification diagnostics. Precision–recall and receiver-operating-characteristic curves demonstrate discrimination above prevalence and chance references in both test periods; reliability curves report block-specific calibration. Final Brier scores were </w:t>
      </w:r>
      <w:r>
        <w:rPr>
          <w:rFonts w:ascii="Times New Roman" w:hAnsi="Times New Roman"/>
          <w:b/>
          <w:sz w:val="18"/>
        </w:rPr>
        <w:t>0.0982</w:t>
      </w:r>
      <w:r>
        <w:rPr>
          <w:rFonts w:ascii="Times New Roman" w:hAnsi="Times New Roman"/>
          <w:sz w:val="18"/>
        </w:rPr>
        <w:t xml:space="preserve"> and </w:t>
      </w:r>
      <w:r>
        <w:rPr>
          <w:rFonts w:ascii="Times New Roman" w:hAnsi="Times New Roman"/>
          <w:b/>
          <w:sz w:val="18"/>
        </w:rPr>
        <w:t>0.1268</w:t>
      </w:r>
      <w:r>
        <w:rPr>
          <w:rFonts w:ascii="Times New Roman" w:hAnsi="Times New Roman"/>
          <w:sz w:val="18"/>
        </w:rPr>
        <w:t>.</w:t>
      </w:r>
    </w:p>
    <w:p>
      <w:pPr>
        <w:keepNext/>
        <w:spacing w:before="0" w:after="40"/>
        <w:jc w:val="center"/>
      </w:pPr>
      <w:r>
        <w:drawing>
          <wp:inline xmlns:a="http://schemas.openxmlformats.org/drawingml/2006/main" xmlns:pic="http://schemas.openxmlformats.org/drawingml/2006/picture">
            <wp:extent cx="5400000" cy="2038411"/>
            <wp:docPr id="7" name="Picture 7" descr="Regression prospective diagnostics"/>
            <wp:cNvGraphicFramePr>
              <a:graphicFrameLocks noChangeAspect="1"/>
            </wp:cNvGraphicFramePr>
            <a:graphic>
              <a:graphicData uri="http://schemas.openxmlformats.org/drawingml/2006/picture">
                <pic:pic>
                  <pic:nvPicPr>
                    <pic:cNvPr id="0" name="regression_prospective_diagnostics.png"/>
                    <pic:cNvPicPr/>
                  </pic:nvPicPr>
                  <pic:blipFill>
                    <a:blip r:embed="rId139"/>
                    <a:stretch>
                      <a:fillRect/>
                    </a:stretch>
                  </pic:blipFill>
                  <pic:spPr>
                    <a:xfrm>
                      <a:off x="0" y="0"/>
                      <a:ext cx="5400000" cy="2038411"/>
                    </a:xfrm>
                    <a:prstGeom prst="rect"/>
                  </pic:spPr>
                </pic:pic>
              </a:graphicData>
            </a:graphic>
          </wp:inline>
        </w:drawing>
      </w:r>
    </w:p>
    <w:p>
      <w:pPr>
        <w:keepLines/>
        <w:spacing w:before="0" w:after="60"/>
        <w:jc w:val="center"/>
      </w:pPr>
      <w:r>
        <w:rPr>
          <w:rFonts w:ascii="Times New Roman" w:hAnsi="Times New Roman"/>
          <w:b/>
          <w:sz w:val="18"/>
        </w:rPr>
        <w:t>Figure 7.</w:t>
      </w:r>
      <w:r>
        <w:rPr>
          <w:rFonts w:ascii="Times New Roman" w:hAnsi="Times New Roman"/>
          <w:sz w:val="18"/>
        </w:rPr>
        <w:t xml:space="preserve"> Prospective regression diagnostics. Predicted and realised fares remained closely aligned in both tests, with R² of </w:t>
      </w:r>
      <w:r>
        <w:rPr>
          <w:rFonts w:ascii="Times New Roman" w:hAnsi="Times New Roman"/>
          <w:b/>
          <w:sz w:val="18"/>
        </w:rPr>
        <w:t>0.852</w:t>
      </w:r>
      <w:r>
        <w:rPr>
          <w:rFonts w:ascii="Times New Roman" w:hAnsi="Times New Roman"/>
          <w:sz w:val="18"/>
        </w:rPr>
        <w:t xml:space="preserve"> and </w:t>
      </w:r>
      <w:r>
        <w:rPr>
          <w:rFonts w:ascii="Times New Roman" w:hAnsi="Times New Roman"/>
          <w:b/>
          <w:sz w:val="18"/>
        </w:rPr>
        <w:t>0.812</w:t>
      </w:r>
      <w:r>
        <w:rPr>
          <w:rFonts w:ascii="Times New Roman" w:hAnsi="Times New Roman"/>
          <w:sz w:val="18"/>
        </w:rPr>
        <w:t xml:space="preserve"> and MAPE of </w:t>
      </w:r>
      <w:r>
        <w:rPr>
          <w:rFonts w:ascii="Times New Roman" w:hAnsi="Times New Roman"/>
          <w:b/>
          <w:sz w:val="18"/>
        </w:rPr>
        <w:t>7.31%</w:t>
      </w:r>
      <w:r>
        <w:rPr>
          <w:rFonts w:ascii="Times New Roman" w:hAnsi="Times New Roman"/>
          <w:sz w:val="18"/>
        </w:rPr>
        <w:t xml:space="preserve"> and </w:t>
      </w:r>
      <w:r>
        <w:rPr>
          <w:rFonts w:ascii="Times New Roman" w:hAnsi="Times New Roman"/>
          <w:b/>
          <w:sz w:val="18"/>
        </w:rPr>
        <w:t>6.87%</w:t>
      </w:r>
      <w:r>
        <w:rPr>
          <w:rFonts w:ascii="Times New Roman" w:hAnsi="Times New Roman"/>
          <w:sz w:val="18"/>
        </w:rPr>
        <w:t>; booking-window panels reveal residual heterogeneity concealed by pooled averages.</w:t>
      </w:r>
    </w:p>
    <w:p>
      <w:pPr>
        <w:keepNext/>
        <w:spacing w:before="0" w:after="40"/>
        <w:jc w:val="center"/>
      </w:pPr>
      <w:r>
        <w:drawing>
          <wp:inline xmlns:a="http://schemas.openxmlformats.org/drawingml/2006/main" xmlns:pic="http://schemas.openxmlformats.org/drawingml/2006/picture">
            <wp:extent cx="5400000" cy="1969904"/>
            <wp:docPr id="8" name="Picture 8" descr="Distribution and ranking prospective diagnostics"/>
            <wp:cNvGraphicFramePr>
              <a:graphicFrameLocks noChangeAspect="1"/>
            </wp:cNvGraphicFramePr>
            <a:graphic>
              <a:graphicData uri="http://schemas.openxmlformats.org/drawingml/2006/picture">
                <pic:pic>
                  <pic:nvPicPr>
                    <pic:cNvPr id="0" name="distribution_ranking_prospective_diagnostics.png"/>
                    <pic:cNvPicPr/>
                  </pic:nvPicPr>
                  <pic:blipFill>
                    <a:blip r:embed="rId140"/>
                    <a:stretch>
                      <a:fillRect/>
                    </a:stretch>
                  </pic:blipFill>
                  <pic:spPr>
                    <a:xfrm>
                      <a:off x="0" y="0"/>
                      <a:ext cx="5400000" cy="1969904"/>
                    </a:xfrm>
                    <a:prstGeom prst="rect"/>
                  </pic:spPr>
                </pic:pic>
              </a:graphicData>
            </a:graphic>
          </wp:inline>
        </w:drawing>
      </w:r>
    </w:p>
    <w:p>
      <w:pPr>
        <w:keepLines/>
        <w:spacing w:before="0" w:after="60"/>
        <w:jc w:val="center"/>
      </w:pPr>
      <w:r>
        <w:rPr>
          <w:rFonts w:ascii="Times New Roman" w:hAnsi="Times New Roman"/>
          <w:b/>
          <w:sz w:val="18"/>
        </w:rPr>
        <w:t>Figure 8.</w:t>
      </w:r>
      <w:r>
        <w:rPr>
          <w:rFonts w:ascii="Times New Roman" w:hAnsi="Times New Roman"/>
          <w:sz w:val="18"/>
        </w:rPr>
        <w:t xml:space="preserve"> Prospective probabilistic-forecasting and ranking diagnostics. Finalists reduced pooled WIS by </w:t>
      </w:r>
      <w:r>
        <w:rPr>
          <w:rFonts w:ascii="Times New Roman" w:hAnsi="Times New Roman"/>
          <w:b/>
          <w:sz w:val="18"/>
        </w:rPr>
        <w:t>34.8%</w:t>
      </w:r>
      <w:r>
        <w:rPr>
          <w:rFonts w:ascii="Times New Roman" w:hAnsi="Times New Roman"/>
          <w:sz w:val="18"/>
        </w:rPr>
        <w:t xml:space="preserve"> and increased pooled NDCG@</w:t>
      </w:r>
      <w:r>
        <w:rPr>
          <w:rFonts w:ascii="Times New Roman" w:hAnsi="Times New Roman"/>
          <w:b/>
          <w:sz w:val="18"/>
        </w:rPr>
        <w:t>5</w:t>
      </w:r>
      <w:r>
        <w:rPr>
          <w:rFonts w:ascii="Times New Roman" w:hAnsi="Times New Roman"/>
          <w:sz w:val="18"/>
        </w:rPr>
        <w:t xml:space="preserve"> by </w:t>
      </w:r>
      <w:r>
        <w:rPr>
          <w:rFonts w:ascii="Times New Roman" w:hAnsi="Times New Roman"/>
          <w:b/>
          <w:sz w:val="18"/>
        </w:rPr>
        <w:t>24.5%</w:t>
      </w:r>
      <w:r>
        <w:rPr>
          <w:rFonts w:ascii="Times New Roman" w:hAnsi="Times New Roman"/>
          <w:sz w:val="18"/>
        </w:rPr>
        <w:t xml:space="preserve"> relative to prediction-time-valid baselines; maximum absolute interval-coverage error was </w:t>
      </w:r>
      <w:r>
        <w:rPr>
          <w:rFonts w:ascii="Times New Roman" w:hAnsi="Times New Roman"/>
          <w:b/>
          <w:sz w:val="18"/>
        </w:rPr>
        <w:t>2.1 percentage points</w:t>
      </w:r>
      <w:r>
        <w:rPr>
          <w:rFonts w:ascii="Times New Roman" w:hAnsi="Times New Roman"/>
          <w:sz w:val="18"/>
        </w:rPr>
        <w:t>.</w:t>
      </w:r>
    </w:p>
    <w:p>
      <w:r>
        <w:br w:type="page"/>
      </w:r>
    </w:p>
    <w:p>
      <w:pPr>
        <w:pStyle w:val="Heading1"/>
        <w:keepNext/>
      </w:pPr>
      <w:r>
        <w:t>References</w:t>
      </w:r>
    </w:p>
    <w:p>
      <w:pPr>
        <w:widowControl/>
        <w:spacing w:lineRule="auto" w:line="300" w:after="120"/>
        <w:ind w:left="425" w:hanging="425"/>
        <w:jc w:val="left"/>
      </w:pPr>
      <w:r>
        <w:rPr>
          <w:rFonts w:ascii="Times New Roman" w:hAnsi="Times New Roman"/>
          <w:sz w:val="24"/>
        </w:rPr>
        <w:t xml:space="preserve">Bracher, J., Ray, E.L., Gneiting, T. and Reich, N.G. (2021) ‘Evaluating epidemic forecasts in an interval format’, </w:t>
      </w:r>
      <w:r>
        <w:rPr>
          <w:rFonts w:ascii="Times New Roman" w:hAnsi="Times New Roman"/>
          <w:i/>
          <w:sz w:val="24"/>
        </w:rPr>
        <w:t>PLOS Computational Biology</w:t>
      </w:r>
      <w:r>
        <w:rPr>
          <w:rFonts w:ascii="Times New Roman" w:hAnsi="Times New Roman"/>
          <w:sz w:val="24"/>
        </w:rPr>
        <w:t xml:space="preserve">, 17(2), e1008618. [Online]. [Accessed 24 August 2026]. Available from: </w:t>
      </w:r>
      <w:hyperlink r:id="rId141">
        <w:r>
          <w:rPr>
            <w:rFonts w:ascii="Times New Roman" w:hAnsi="Times New Roman"/>
            <w:color w:val="0563C1"/>
            <w:u w:val="single"/>
            <w:sz w:val="24"/>
          </w:rPr>
          <w:t>https://doi.org/10.1371/journal.pcbi.1008618</w:t>
        </w:r>
      </w:hyperlink>
      <w:r>
        <w:rPr>
          <w:rFonts w:ascii="Times New Roman" w:hAnsi="Times New Roman"/>
          <w:sz w:val="24"/>
        </w:rPr>
        <w:t>.</w:t>
      </w:r>
    </w:p>
    <w:p>
      <w:pPr>
        <w:widowControl/>
        <w:spacing w:lineRule="auto" w:line="300" w:after="120"/>
        <w:ind w:left="425" w:hanging="425"/>
        <w:jc w:val="left"/>
      </w:pPr>
      <w:r>
        <w:rPr>
          <w:rFonts w:ascii="Times New Roman" w:hAnsi="Times New Roman"/>
          <w:sz w:val="24"/>
        </w:rPr>
        <w:t xml:space="preserve">Etzioni, O., Tuchinda, R., Knoblock, C.A. and Yates, A. (2003) ‘To buy or not to buy: mining airfare data to minimize ticket purchase price’, in </w:t>
      </w:r>
      <w:r>
        <w:rPr>
          <w:rFonts w:ascii="Times New Roman" w:hAnsi="Times New Roman"/>
          <w:i/>
          <w:sz w:val="24"/>
        </w:rPr>
        <w:t>Proceedings of the Ninth ACM SIGKDD International Conference on Knowledge Discovery and Data Mining</w:t>
      </w:r>
      <w:r>
        <w:rPr>
          <w:rFonts w:ascii="Times New Roman" w:hAnsi="Times New Roman"/>
          <w:sz w:val="24"/>
        </w:rPr>
        <w:t xml:space="preserve">, pp. 119–128. [Online]. [Accessed 24 August 2026]. Available from: </w:t>
      </w:r>
      <w:hyperlink r:id="rId95">
        <w:r>
          <w:rPr>
            <w:rFonts w:ascii="Times New Roman" w:hAnsi="Times New Roman"/>
            <w:color w:val="0563C1"/>
            <w:u w:val="single"/>
            <w:sz w:val="24"/>
          </w:rPr>
          <w:t>https://doi.org/10.1145/956750.956767</w:t>
        </w:r>
      </w:hyperlink>
      <w:r>
        <w:rPr>
          <w:rFonts w:ascii="Times New Roman" w:hAnsi="Times New Roman"/>
          <w:sz w:val="24"/>
        </w:rPr>
        <w:t>.</w:t>
      </w:r>
    </w:p>
    <w:p>
      <w:pPr>
        <w:widowControl/>
        <w:spacing w:lineRule="auto" w:line="300" w:after="120"/>
        <w:ind w:left="425" w:hanging="425"/>
        <w:jc w:val="left"/>
      </w:pPr>
      <w:r>
        <w:rPr>
          <w:rFonts w:ascii="Times New Roman" w:hAnsi="Times New Roman"/>
          <w:sz w:val="24"/>
        </w:rPr>
        <w:t xml:space="preserve">Gorishniy, Y., Rubachev, I., Khrulkov, V. and Babenko, A. (2021) ‘Revisiting deep learning models for tabular data’, in </w:t>
      </w:r>
      <w:r>
        <w:rPr>
          <w:rFonts w:ascii="Times New Roman" w:hAnsi="Times New Roman"/>
          <w:i/>
          <w:sz w:val="24"/>
        </w:rPr>
        <w:t>Advances in Neural Information Processing Systems</w:t>
      </w:r>
      <w:r>
        <w:rPr>
          <w:rFonts w:ascii="Times New Roman" w:hAnsi="Times New Roman"/>
          <w:sz w:val="24"/>
        </w:rPr>
        <w:t xml:space="preserve">, 34, pp. 18932–18943. [Online]. [Accessed 24 August 2026]. Available from: </w:t>
      </w:r>
      <w:hyperlink r:id="rId142">
        <w:r>
          <w:rPr>
            <w:rFonts w:ascii="Times New Roman" w:hAnsi="Times New Roman"/>
            <w:color w:val="0563C1"/>
            <w:u w:val="single"/>
            <w:sz w:val="24"/>
          </w:rPr>
          <w:t>https://proceedings.neurips.cc/paper/2021/hash/9d86d83f925f2149e9edb0ac3b49229c-Abstract.html</w:t>
        </w:r>
      </w:hyperlink>
      <w:r>
        <w:rPr>
          <w:rFonts w:ascii="Times New Roman" w:hAnsi="Times New Roman"/>
          <w:sz w:val="24"/>
        </w:rPr>
        <w:t>.</w:t>
      </w:r>
    </w:p>
    <w:p>
      <w:pPr>
        <w:widowControl/>
        <w:spacing w:lineRule="auto" w:line="300" w:after="120"/>
        <w:ind w:left="425" w:hanging="425"/>
        <w:jc w:val="left"/>
      </w:pPr>
      <w:r>
        <w:rPr>
          <w:rFonts w:ascii="Times New Roman" w:hAnsi="Times New Roman"/>
          <w:sz w:val="24"/>
        </w:rPr>
        <w:t xml:space="preserve">Groves, W. and Gini, M.L. (2015) ‘On optimizing airline ticket purchase timing’, </w:t>
      </w:r>
      <w:r>
        <w:rPr>
          <w:rFonts w:ascii="Times New Roman" w:hAnsi="Times New Roman"/>
          <w:i/>
          <w:sz w:val="24"/>
        </w:rPr>
        <w:t>ACM Transactions on Intelligent Systems and Technology</w:t>
      </w:r>
      <w:r>
        <w:rPr>
          <w:rFonts w:ascii="Times New Roman" w:hAnsi="Times New Roman"/>
          <w:sz w:val="24"/>
        </w:rPr>
        <w:t xml:space="preserve">, 7(1), article 3. [Online]. [Accessed 24 August 2026]. Available from: </w:t>
      </w:r>
      <w:hyperlink r:id="rId102">
        <w:r>
          <w:rPr>
            <w:rFonts w:ascii="Times New Roman" w:hAnsi="Times New Roman"/>
            <w:color w:val="0563C1"/>
            <w:u w:val="single"/>
            <w:sz w:val="24"/>
          </w:rPr>
          <w:t>https://doi.org/10.1145/2733384</w:t>
        </w:r>
      </w:hyperlink>
      <w:r>
        <w:rPr>
          <w:rFonts w:ascii="Times New Roman" w:hAnsi="Times New Roman"/>
          <w:sz w:val="24"/>
        </w:rPr>
        <w:t>.</w:t>
      </w:r>
    </w:p>
    <w:p>
      <w:pPr>
        <w:widowControl/>
        <w:spacing w:lineRule="auto" w:line="300" w:after="120"/>
        <w:ind w:left="425" w:hanging="425"/>
        <w:jc w:val="left"/>
      </w:pPr>
      <w:r>
        <w:rPr>
          <w:rFonts w:ascii="Times New Roman" w:hAnsi="Times New Roman"/>
          <w:sz w:val="24"/>
        </w:rPr>
        <w:t xml:space="preserve">Järvelin, K. and Kekäläinen, J. (2002) ‘Cumulated gain-based evaluation of IR techniques’, </w:t>
      </w:r>
      <w:r>
        <w:rPr>
          <w:rFonts w:ascii="Times New Roman" w:hAnsi="Times New Roman"/>
          <w:i/>
          <w:sz w:val="24"/>
        </w:rPr>
        <w:t>ACM Transactions on Information Systems</w:t>
      </w:r>
      <w:r>
        <w:rPr>
          <w:rFonts w:ascii="Times New Roman" w:hAnsi="Times New Roman"/>
          <w:sz w:val="24"/>
        </w:rPr>
        <w:t xml:space="preserve">, 20(4), pp. 422–446. [Online]. [Accessed 24 August 2026]. Available from: </w:t>
      </w:r>
      <w:hyperlink r:id="rId143">
        <w:r>
          <w:rPr>
            <w:rFonts w:ascii="Times New Roman" w:hAnsi="Times New Roman"/>
            <w:color w:val="0563C1"/>
            <w:u w:val="single"/>
            <w:sz w:val="24"/>
          </w:rPr>
          <w:t>https://doi.org/10.1145/582415.582418</w:t>
        </w:r>
      </w:hyperlink>
      <w:r>
        <w:rPr>
          <w:rFonts w:ascii="Times New Roman" w:hAnsi="Times New Roman"/>
          <w:sz w:val="24"/>
        </w:rPr>
        <w:t>.</w:t>
      </w:r>
    </w:p>
    <w:p>
      <w:pPr>
        <w:widowControl/>
        <w:spacing w:lineRule="auto" w:line="300" w:after="120"/>
        <w:ind w:left="425" w:hanging="425"/>
        <w:jc w:val="left"/>
      </w:pPr>
      <w:r>
        <w:rPr>
          <w:rFonts w:ascii="Times New Roman" w:hAnsi="Times New Roman"/>
          <w:sz w:val="24"/>
        </w:rPr>
        <w:t xml:space="preserve">Kalampokas, T., Tziridis, K., Kalampokas, N., Nikolaou, A., Vrochidou, E. and Papakostas, G.A. (2023) ‘A holistic approach on airfare price prediction using machine learning techniques’, </w:t>
      </w:r>
      <w:r>
        <w:rPr>
          <w:rFonts w:ascii="Times New Roman" w:hAnsi="Times New Roman"/>
          <w:i/>
          <w:sz w:val="24"/>
        </w:rPr>
        <w:t>IEEE Access</w:t>
      </w:r>
      <w:r>
        <w:rPr>
          <w:rFonts w:ascii="Times New Roman" w:hAnsi="Times New Roman"/>
          <w:sz w:val="24"/>
        </w:rPr>
        <w:t xml:space="preserve">, 11, pp. 46627–46643. [Online]. [Accessed 24 August 2026]. Available from: </w:t>
      </w:r>
      <w:hyperlink r:id="rId144">
        <w:r>
          <w:rPr>
            <w:rFonts w:ascii="Times New Roman" w:hAnsi="Times New Roman"/>
            <w:color w:val="0563C1"/>
            <w:u w:val="single"/>
            <w:sz w:val="24"/>
          </w:rPr>
          <w:t>https://doi.org/10.1109/ACCESS.2023.3274669</w:t>
        </w:r>
      </w:hyperlink>
      <w:r>
        <w:rPr>
          <w:rFonts w:ascii="Times New Roman" w:hAnsi="Times New Roman"/>
          <w:sz w:val="24"/>
        </w:rPr>
        <w:t>.</w:t>
      </w:r>
    </w:p>
    <w:p>
      <w:pPr>
        <w:widowControl/>
        <w:spacing w:lineRule="auto" w:line="300" w:after="120"/>
        <w:ind w:left="425" w:hanging="425"/>
        <w:jc w:val="left"/>
      </w:pPr>
      <w:r>
        <w:rPr>
          <w:rFonts w:ascii="Times New Roman" w:hAnsi="Times New Roman"/>
          <w:sz w:val="24"/>
        </w:rPr>
        <w:t xml:space="preserve">Santana, E.J., Mastelini, S.M. and Barbon Jr., S. (2017) ‘Deep regressor stacking for air ticket prices prediction’, in </w:t>
      </w:r>
      <w:r>
        <w:rPr>
          <w:rFonts w:ascii="Times New Roman" w:hAnsi="Times New Roman"/>
          <w:i/>
          <w:sz w:val="24"/>
        </w:rPr>
        <w:t>Proceedings of the XIII Brazilian Symposium on Information Systems</w:t>
      </w:r>
      <w:r>
        <w:rPr>
          <w:rFonts w:ascii="Times New Roman" w:hAnsi="Times New Roman"/>
          <w:sz w:val="24"/>
        </w:rPr>
        <w:t xml:space="preserve">, pp. 25–31. [Online]. [Accessed 24 August 2026]. Available from: </w:t>
      </w:r>
      <w:hyperlink r:id="rId145">
        <w:r>
          <w:rPr>
            <w:rFonts w:ascii="Times New Roman" w:hAnsi="Times New Roman"/>
            <w:color w:val="0563C1"/>
            <w:u w:val="single"/>
            <w:sz w:val="24"/>
          </w:rPr>
          <w:t>https://doi.org/10.5753/sbsi.2017.6022</w:t>
        </w:r>
      </w:hyperlink>
      <w:r>
        <w:rPr>
          <w:rFonts w:ascii="Times New Roman" w:hAnsi="Times New Roman"/>
          <w:sz w:val="24"/>
        </w:rPr>
        <w:t>.</w:t>
      </w:r>
    </w:p>
    <w:p>
      <w:pPr>
        <w:widowControl/>
        <w:spacing w:lineRule="auto" w:line="300" w:after="120"/>
        <w:ind w:left="425" w:hanging="425"/>
        <w:jc w:val="left"/>
      </w:pPr>
      <w:r>
        <w:rPr>
          <w:rFonts w:ascii="Times New Roman" w:hAnsi="Times New Roman"/>
          <w:sz w:val="24"/>
        </w:rPr>
        <w:t xml:space="preserve">Tziridis, K., Kalampokas, T., Papakostas, G.A. and Diamantaras, K.I. (2017) ‘Airfare prices prediction using machine learning techniques’, in </w:t>
      </w:r>
      <w:r>
        <w:rPr>
          <w:rFonts w:ascii="Times New Roman" w:hAnsi="Times New Roman"/>
          <w:i/>
          <w:sz w:val="24"/>
        </w:rPr>
        <w:t>Proceedings of the 25th European Signal Processing Conference (EUSIPCO)</w:t>
      </w:r>
      <w:r>
        <w:rPr>
          <w:rFonts w:ascii="Times New Roman" w:hAnsi="Times New Roman"/>
          <w:sz w:val="24"/>
        </w:rPr>
        <w:t xml:space="preserve">, pp. 1036–1039. [Online]. [Accessed 24 August 2026]. Available from: </w:t>
      </w:r>
      <w:hyperlink r:id="rId122">
        <w:r>
          <w:rPr>
            <w:rFonts w:ascii="Times New Roman" w:hAnsi="Times New Roman"/>
            <w:color w:val="0563C1"/>
            <w:u w:val="single"/>
            <w:sz w:val="24"/>
          </w:rPr>
          <w:t>https://doi.org/10.23919/EUSIPCO.2017.8081365</w:t>
        </w:r>
      </w:hyperlink>
      <w:r>
        <w:rPr>
          <w:rFonts w:ascii="Times New Roman" w:hAnsi="Times New Roman"/>
          <w:sz w:val="24"/>
        </w:rPr>
        <w:t>.</w:t>
      </w:r>
    </w:p>
    <w:p>
      <w:pPr>
        <w:widowControl/>
        <w:spacing w:lineRule="auto" w:line="300" w:after="120"/>
        <w:ind w:left="425" w:hanging="425"/>
        <w:jc w:val="left"/>
      </w:pPr>
      <w:r>
        <w:rPr>
          <w:rFonts w:ascii="Times New Roman" w:hAnsi="Times New Roman"/>
          <w:sz w:val="24"/>
        </w:rPr>
        <w:t xml:space="preserve">Wang, T., Pouyanfar, S., Tian, H., Tao, Y., Alonso Jr., M., Luis, S. and Chen, S.-C. (2019) ‘A framework for airfare price prediction: a machine learning approach’, in </w:t>
      </w:r>
      <w:r>
        <w:rPr>
          <w:rFonts w:ascii="Times New Roman" w:hAnsi="Times New Roman"/>
          <w:i/>
          <w:sz w:val="24"/>
        </w:rPr>
        <w:t>Proceedings of the 20th IEEE International Conference on Information Reuse and Integration for Data Science</w:t>
      </w:r>
      <w:r>
        <w:rPr>
          <w:rFonts w:ascii="Times New Roman" w:hAnsi="Times New Roman"/>
          <w:sz w:val="24"/>
        </w:rPr>
        <w:t xml:space="preserve">, pp. 200–207. [Online]. [Accessed 24 August 2026]. Available from: </w:t>
      </w:r>
      <w:hyperlink r:id="rId146">
        <w:r>
          <w:rPr>
            <w:rFonts w:ascii="Times New Roman" w:hAnsi="Times New Roman"/>
            <w:color w:val="0563C1"/>
            <w:u w:val="single"/>
            <w:sz w:val="24"/>
          </w:rPr>
          <w:t>https://doi.org/10.1109/IRI.2019.00041</w:t>
        </w:r>
      </w:hyperlink>
      <w:r>
        <w:rPr>
          <w:rFonts w:ascii="Times New Roman" w:hAnsi="Times New Roman"/>
          <w:sz w:val="24"/>
        </w:rPr>
        <w:t>.</w:t>
      </w:r>
    </w:p>
    <w:sectPr w:rsidR="005D3747">
      <w:footerReference w:type="default" r:id="rId129"/>
      <w:headerReference w:type="default" r:id="rId13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AD3B26" w14:textId="77777777" w:rsidR="002F5973" w:rsidRDefault="002F5973">
      <w:pPr>
        <w:spacing w:line="240" w:lineRule="auto"/>
      </w:pPr>
      <w:r>
        <w:separator/>
      </w:r>
    </w:p>
  </w:endnote>
  <w:endnote w:type="continuationSeparator" w:id="0">
    <w:p w14:paraId="3E5D8C57" w14:textId="77777777" w:rsidR="002F5973" w:rsidRDefault="002F59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A03CD0" w14:textId="77777777" w:rsidR="00AC5D9F" w:rsidRDefault="00000000">
    <w:pPr>
      <w:jc w:val="center"/>
    </w:pP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BA16B" w14:textId="77777777" w:rsidR="002F5973" w:rsidRDefault="002F5973">
      <w:pPr>
        <w:spacing w:line="240" w:lineRule="auto"/>
      </w:pPr>
      <w:r>
        <w:separator/>
      </w:r>
    </w:p>
  </w:footnote>
  <w:footnote w:type="continuationSeparator" w:id="0">
    <w:p w14:paraId="727525B5" w14:textId="77777777" w:rsidR="002F5973" w:rsidRDefault="002F5973">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040E6"/>
    <w:multiLevelType w:val="hybridMultilevel"/>
    <w:tmpl w:val="F572BD3E"/>
    <w:lvl w:ilvl="0" w:tplc="8B6C3CAA">
      <w:start w:val="1"/>
      <w:numFmt w:val="bullet"/>
      <w:lvlText w:val="•"/>
      <w:lvlJc w:val="left"/>
      <w:pPr>
        <w:ind w:left="604" w:hanging="374"/>
      </w:pPr>
    </w:lvl>
    <w:lvl w:ilvl="1" w:tplc="BE5416DC">
      <w:numFmt w:val="decimal"/>
      <w:lvlText w:val=""/>
      <w:lvlJc w:val="left"/>
    </w:lvl>
    <w:lvl w:ilvl="2" w:tplc="43C44358">
      <w:numFmt w:val="decimal"/>
      <w:lvlText w:val=""/>
      <w:lvlJc w:val="left"/>
    </w:lvl>
    <w:lvl w:ilvl="3" w:tplc="11D8FC68">
      <w:numFmt w:val="decimal"/>
      <w:lvlText w:val=""/>
      <w:lvlJc w:val="left"/>
    </w:lvl>
    <w:lvl w:ilvl="4" w:tplc="A5AC61FA">
      <w:numFmt w:val="decimal"/>
      <w:lvlText w:val=""/>
      <w:lvlJc w:val="left"/>
    </w:lvl>
    <w:lvl w:ilvl="5" w:tplc="1102DE42">
      <w:numFmt w:val="decimal"/>
      <w:lvlText w:val=""/>
      <w:lvlJc w:val="left"/>
    </w:lvl>
    <w:lvl w:ilvl="6" w:tplc="494E8CDC">
      <w:numFmt w:val="decimal"/>
      <w:lvlText w:val=""/>
      <w:lvlJc w:val="left"/>
    </w:lvl>
    <w:lvl w:ilvl="7" w:tplc="4D66A184">
      <w:numFmt w:val="decimal"/>
      <w:lvlText w:val=""/>
      <w:lvlJc w:val="left"/>
    </w:lvl>
    <w:lvl w:ilvl="8" w:tplc="F3C8E71E">
      <w:numFmt w:val="decimal"/>
      <w:lvlText w:val=""/>
      <w:lvlJc w:val="left"/>
    </w:lvl>
  </w:abstractNum>
  <w:abstractNum w:abstractNumId="1" w15:restartNumberingAfterBreak="0">
    <w:nsid w:val="13B538A0"/>
    <w:multiLevelType w:val="hybridMultilevel"/>
    <w:tmpl w:val="1570EDF4"/>
    <w:lvl w:ilvl="0" w:tplc="680E4DE8">
      <w:start w:val="1"/>
      <w:numFmt w:val="bullet"/>
      <w:lvlText w:val="●"/>
      <w:lvlJc w:val="left"/>
      <w:pPr>
        <w:ind w:left="720" w:hanging="360"/>
      </w:pPr>
    </w:lvl>
    <w:lvl w:ilvl="1" w:tplc="20B293D2">
      <w:start w:val="1"/>
      <w:numFmt w:val="bullet"/>
      <w:lvlText w:val="○"/>
      <w:lvlJc w:val="left"/>
      <w:pPr>
        <w:ind w:left="1440" w:hanging="360"/>
      </w:pPr>
    </w:lvl>
    <w:lvl w:ilvl="2" w:tplc="41FCE444">
      <w:start w:val="1"/>
      <w:numFmt w:val="bullet"/>
      <w:lvlText w:val="■"/>
      <w:lvlJc w:val="left"/>
      <w:pPr>
        <w:ind w:left="2160" w:hanging="360"/>
      </w:pPr>
    </w:lvl>
    <w:lvl w:ilvl="3" w:tplc="C1DC8942">
      <w:start w:val="1"/>
      <w:numFmt w:val="bullet"/>
      <w:lvlText w:val="●"/>
      <w:lvlJc w:val="left"/>
      <w:pPr>
        <w:ind w:left="2880" w:hanging="360"/>
      </w:pPr>
    </w:lvl>
    <w:lvl w:ilvl="4" w:tplc="09CC16A8">
      <w:start w:val="1"/>
      <w:numFmt w:val="bullet"/>
      <w:lvlText w:val="○"/>
      <w:lvlJc w:val="left"/>
      <w:pPr>
        <w:ind w:left="3600" w:hanging="360"/>
      </w:pPr>
    </w:lvl>
    <w:lvl w:ilvl="5" w:tplc="B05EB726">
      <w:start w:val="1"/>
      <w:numFmt w:val="bullet"/>
      <w:lvlText w:val="■"/>
      <w:lvlJc w:val="left"/>
      <w:pPr>
        <w:ind w:left="4320" w:hanging="360"/>
      </w:pPr>
    </w:lvl>
    <w:lvl w:ilvl="6" w:tplc="AA24DA12">
      <w:start w:val="1"/>
      <w:numFmt w:val="bullet"/>
      <w:lvlText w:val="●"/>
      <w:lvlJc w:val="left"/>
      <w:pPr>
        <w:ind w:left="5040" w:hanging="360"/>
      </w:pPr>
    </w:lvl>
    <w:lvl w:ilvl="7" w:tplc="6B6C93B2">
      <w:start w:val="1"/>
      <w:numFmt w:val="bullet"/>
      <w:lvlText w:val="●"/>
      <w:lvlJc w:val="left"/>
      <w:pPr>
        <w:ind w:left="5760" w:hanging="360"/>
      </w:pPr>
    </w:lvl>
    <w:lvl w:ilvl="8" w:tplc="7C7AB580">
      <w:start w:val="1"/>
      <w:numFmt w:val="bullet"/>
      <w:lvlText w:val="●"/>
      <w:lvlJc w:val="left"/>
      <w:pPr>
        <w:ind w:left="6480" w:hanging="360"/>
      </w:pPr>
    </w:lvl>
  </w:abstractNum>
  <w:abstractNum w:abstractNumId="2" w15:restartNumberingAfterBreak="0">
    <w:nsid w:val="16352DFC"/>
    <w:multiLevelType w:val="hybridMultilevel"/>
    <w:tmpl w:val="96E446C6"/>
    <w:lvl w:ilvl="0" w:tplc="75F850CA">
      <w:start w:val="1"/>
      <w:numFmt w:val="bullet"/>
      <w:lvlText w:val="•"/>
      <w:lvlJc w:val="left"/>
      <w:pPr>
        <w:ind w:left="604" w:hanging="374"/>
      </w:pPr>
    </w:lvl>
    <w:lvl w:ilvl="1" w:tplc="ABA440B2">
      <w:numFmt w:val="decimal"/>
      <w:lvlText w:val=""/>
      <w:lvlJc w:val="left"/>
    </w:lvl>
    <w:lvl w:ilvl="2" w:tplc="6A94371E">
      <w:numFmt w:val="decimal"/>
      <w:lvlText w:val=""/>
      <w:lvlJc w:val="left"/>
    </w:lvl>
    <w:lvl w:ilvl="3" w:tplc="E4A29A06">
      <w:numFmt w:val="decimal"/>
      <w:lvlText w:val=""/>
      <w:lvlJc w:val="left"/>
    </w:lvl>
    <w:lvl w:ilvl="4" w:tplc="564AA86C">
      <w:numFmt w:val="decimal"/>
      <w:lvlText w:val=""/>
      <w:lvlJc w:val="left"/>
    </w:lvl>
    <w:lvl w:ilvl="5" w:tplc="C986B864">
      <w:numFmt w:val="decimal"/>
      <w:lvlText w:val=""/>
      <w:lvlJc w:val="left"/>
    </w:lvl>
    <w:lvl w:ilvl="6" w:tplc="58483E02">
      <w:numFmt w:val="decimal"/>
      <w:lvlText w:val=""/>
      <w:lvlJc w:val="left"/>
    </w:lvl>
    <w:lvl w:ilvl="7" w:tplc="4266A004">
      <w:numFmt w:val="decimal"/>
      <w:lvlText w:val=""/>
      <w:lvlJc w:val="left"/>
    </w:lvl>
    <w:lvl w:ilvl="8" w:tplc="3300ECA6">
      <w:numFmt w:val="decimal"/>
      <w:lvlText w:val=""/>
      <w:lvlJc w:val="left"/>
    </w:lvl>
  </w:abstractNum>
  <w:abstractNum w:abstractNumId="3" w15:restartNumberingAfterBreak="0">
    <w:nsid w:val="28CF54EB"/>
    <w:multiLevelType w:val="hybridMultilevel"/>
    <w:tmpl w:val="2BBC44AC"/>
    <w:lvl w:ilvl="0" w:tplc="D5AEEC1A">
      <w:start w:val="1"/>
      <w:numFmt w:val="decimal"/>
      <w:lvlText w:val="%1."/>
      <w:lvlJc w:val="left"/>
      <w:pPr>
        <w:ind w:left="576" w:hanging="403"/>
      </w:pPr>
    </w:lvl>
    <w:lvl w:ilvl="1" w:tplc="6602EB14">
      <w:numFmt w:val="decimal"/>
      <w:lvlText w:val=""/>
      <w:lvlJc w:val="left"/>
    </w:lvl>
    <w:lvl w:ilvl="2" w:tplc="0BEA576C">
      <w:numFmt w:val="decimal"/>
      <w:lvlText w:val=""/>
      <w:lvlJc w:val="left"/>
    </w:lvl>
    <w:lvl w:ilvl="3" w:tplc="3396569C">
      <w:numFmt w:val="decimal"/>
      <w:lvlText w:val=""/>
      <w:lvlJc w:val="left"/>
    </w:lvl>
    <w:lvl w:ilvl="4" w:tplc="0F243C16">
      <w:numFmt w:val="decimal"/>
      <w:lvlText w:val=""/>
      <w:lvlJc w:val="left"/>
    </w:lvl>
    <w:lvl w:ilvl="5" w:tplc="8B047846">
      <w:numFmt w:val="decimal"/>
      <w:lvlText w:val=""/>
      <w:lvlJc w:val="left"/>
    </w:lvl>
    <w:lvl w:ilvl="6" w:tplc="AA7C0CA2">
      <w:numFmt w:val="decimal"/>
      <w:lvlText w:val=""/>
      <w:lvlJc w:val="left"/>
    </w:lvl>
    <w:lvl w:ilvl="7" w:tplc="08BEBD30">
      <w:numFmt w:val="decimal"/>
      <w:lvlText w:val=""/>
      <w:lvlJc w:val="left"/>
    </w:lvl>
    <w:lvl w:ilvl="8" w:tplc="6DFE2920">
      <w:numFmt w:val="decimal"/>
      <w:lvlText w:val=""/>
      <w:lvlJc w:val="left"/>
    </w:lvl>
  </w:abstractNum>
  <w:abstractNum w:abstractNumId="4" w15:restartNumberingAfterBreak="0">
    <w:nsid w:val="338B11D3"/>
    <w:multiLevelType w:val="hybridMultilevel"/>
    <w:tmpl w:val="FC68CF30"/>
    <w:lvl w:ilvl="0" w:tplc="EE3E645A">
      <w:start w:val="1"/>
      <w:numFmt w:val="decimal"/>
      <w:lvlText w:val="%1."/>
      <w:lvlJc w:val="left"/>
      <w:pPr>
        <w:ind w:left="604" w:hanging="374"/>
      </w:pPr>
    </w:lvl>
    <w:lvl w:ilvl="1" w:tplc="6CE043B6">
      <w:numFmt w:val="decimal"/>
      <w:lvlText w:val=""/>
      <w:lvlJc w:val="left"/>
    </w:lvl>
    <w:lvl w:ilvl="2" w:tplc="FE687BF6">
      <w:numFmt w:val="decimal"/>
      <w:lvlText w:val=""/>
      <w:lvlJc w:val="left"/>
    </w:lvl>
    <w:lvl w:ilvl="3" w:tplc="09647D6A">
      <w:numFmt w:val="decimal"/>
      <w:lvlText w:val=""/>
      <w:lvlJc w:val="left"/>
    </w:lvl>
    <w:lvl w:ilvl="4" w:tplc="B2EA2BE4">
      <w:numFmt w:val="decimal"/>
      <w:lvlText w:val=""/>
      <w:lvlJc w:val="left"/>
    </w:lvl>
    <w:lvl w:ilvl="5" w:tplc="4F42F862">
      <w:numFmt w:val="decimal"/>
      <w:lvlText w:val=""/>
      <w:lvlJc w:val="left"/>
    </w:lvl>
    <w:lvl w:ilvl="6" w:tplc="549068A2">
      <w:numFmt w:val="decimal"/>
      <w:lvlText w:val=""/>
      <w:lvlJc w:val="left"/>
    </w:lvl>
    <w:lvl w:ilvl="7" w:tplc="B0EA9688">
      <w:numFmt w:val="decimal"/>
      <w:lvlText w:val=""/>
      <w:lvlJc w:val="left"/>
    </w:lvl>
    <w:lvl w:ilvl="8" w:tplc="66FAF268">
      <w:numFmt w:val="decimal"/>
      <w:lvlText w:val=""/>
      <w:lvlJc w:val="left"/>
    </w:lvl>
  </w:abstractNum>
  <w:abstractNum w:abstractNumId="5" w15:restartNumberingAfterBreak="0">
    <w:nsid w:val="40937E3A"/>
    <w:multiLevelType w:val="hybridMultilevel"/>
    <w:tmpl w:val="7862DF00"/>
    <w:lvl w:ilvl="0" w:tplc="82580CF8">
      <w:start w:val="1"/>
      <w:numFmt w:val="decimal"/>
      <w:lvlText w:val="%1."/>
      <w:lvlJc w:val="left"/>
      <w:pPr>
        <w:ind w:left="576" w:hanging="403"/>
      </w:pPr>
    </w:lvl>
    <w:lvl w:ilvl="1" w:tplc="E8D61304">
      <w:numFmt w:val="decimal"/>
      <w:lvlText w:val=""/>
      <w:lvlJc w:val="left"/>
    </w:lvl>
    <w:lvl w:ilvl="2" w:tplc="EC3C5EB0">
      <w:numFmt w:val="decimal"/>
      <w:lvlText w:val=""/>
      <w:lvlJc w:val="left"/>
    </w:lvl>
    <w:lvl w:ilvl="3" w:tplc="F9EC7C60">
      <w:numFmt w:val="decimal"/>
      <w:lvlText w:val=""/>
      <w:lvlJc w:val="left"/>
    </w:lvl>
    <w:lvl w:ilvl="4" w:tplc="FD901354">
      <w:numFmt w:val="decimal"/>
      <w:lvlText w:val=""/>
      <w:lvlJc w:val="left"/>
    </w:lvl>
    <w:lvl w:ilvl="5" w:tplc="F8380AAC">
      <w:numFmt w:val="decimal"/>
      <w:lvlText w:val=""/>
      <w:lvlJc w:val="left"/>
    </w:lvl>
    <w:lvl w:ilvl="6" w:tplc="E4A4FD52">
      <w:numFmt w:val="decimal"/>
      <w:lvlText w:val=""/>
      <w:lvlJc w:val="left"/>
    </w:lvl>
    <w:lvl w:ilvl="7" w:tplc="D8FE1156">
      <w:numFmt w:val="decimal"/>
      <w:lvlText w:val=""/>
      <w:lvlJc w:val="left"/>
    </w:lvl>
    <w:lvl w:ilvl="8" w:tplc="54EC7332">
      <w:numFmt w:val="decimal"/>
      <w:lvlText w:val=""/>
      <w:lvlJc w:val="left"/>
    </w:lvl>
  </w:abstractNum>
  <w:abstractNum w:abstractNumId="6" w15:restartNumberingAfterBreak="0">
    <w:nsid w:val="53286286"/>
    <w:multiLevelType w:val="hybridMultilevel"/>
    <w:tmpl w:val="D2F20804"/>
    <w:lvl w:ilvl="0" w:tplc="E90CF8DE">
      <w:start w:val="1"/>
      <w:numFmt w:val="bullet"/>
      <w:lvlText w:val="●"/>
      <w:lvlJc w:val="left"/>
      <w:pPr>
        <w:ind w:left="720" w:hanging="360"/>
      </w:pPr>
    </w:lvl>
    <w:lvl w:ilvl="1" w:tplc="FA66DA16">
      <w:start w:val="1"/>
      <w:numFmt w:val="bullet"/>
      <w:lvlText w:val="○"/>
      <w:lvlJc w:val="left"/>
      <w:pPr>
        <w:ind w:left="1440" w:hanging="360"/>
      </w:pPr>
    </w:lvl>
    <w:lvl w:ilvl="2" w:tplc="1436D922">
      <w:start w:val="1"/>
      <w:numFmt w:val="bullet"/>
      <w:lvlText w:val="■"/>
      <w:lvlJc w:val="left"/>
      <w:pPr>
        <w:ind w:left="2160" w:hanging="360"/>
      </w:pPr>
    </w:lvl>
    <w:lvl w:ilvl="3" w:tplc="9D22CE8A">
      <w:start w:val="1"/>
      <w:numFmt w:val="bullet"/>
      <w:lvlText w:val="●"/>
      <w:lvlJc w:val="left"/>
      <w:pPr>
        <w:ind w:left="2880" w:hanging="360"/>
      </w:pPr>
    </w:lvl>
    <w:lvl w:ilvl="4" w:tplc="14E63C94">
      <w:start w:val="1"/>
      <w:numFmt w:val="bullet"/>
      <w:lvlText w:val="○"/>
      <w:lvlJc w:val="left"/>
      <w:pPr>
        <w:ind w:left="3600" w:hanging="360"/>
      </w:pPr>
    </w:lvl>
    <w:lvl w:ilvl="5" w:tplc="864ED76C">
      <w:start w:val="1"/>
      <w:numFmt w:val="bullet"/>
      <w:lvlText w:val="■"/>
      <w:lvlJc w:val="left"/>
      <w:pPr>
        <w:ind w:left="4320" w:hanging="360"/>
      </w:pPr>
    </w:lvl>
    <w:lvl w:ilvl="6" w:tplc="0BDC7CD4">
      <w:start w:val="1"/>
      <w:numFmt w:val="bullet"/>
      <w:lvlText w:val="●"/>
      <w:lvlJc w:val="left"/>
      <w:pPr>
        <w:ind w:left="5040" w:hanging="360"/>
      </w:pPr>
    </w:lvl>
    <w:lvl w:ilvl="7" w:tplc="5EBE031E">
      <w:start w:val="1"/>
      <w:numFmt w:val="bullet"/>
      <w:lvlText w:val="●"/>
      <w:lvlJc w:val="left"/>
      <w:pPr>
        <w:ind w:left="5760" w:hanging="360"/>
      </w:pPr>
    </w:lvl>
    <w:lvl w:ilvl="8" w:tplc="EDBAAEC2">
      <w:start w:val="1"/>
      <w:numFmt w:val="bullet"/>
      <w:lvlText w:val="●"/>
      <w:lvlJc w:val="left"/>
      <w:pPr>
        <w:ind w:left="6480" w:hanging="360"/>
      </w:pPr>
    </w:lvl>
  </w:abstractNum>
  <w:abstractNum w:abstractNumId="7" w15:restartNumberingAfterBreak="0">
    <w:nsid w:val="626500FD"/>
    <w:multiLevelType w:val="hybridMultilevel"/>
    <w:tmpl w:val="0CAC769C"/>
    <w:lvl w:ilvl="0" w:tplc="CC00A43A">
      <w:start w:val="1"/>
      <w:numFmt w:val="bullet"/>
      <w:lvlText w:val="●"/>
      <w:lvlJc w:val="left"/>
      <w:pPr>
        <w:ind w:left="720" w:hanging="360"/>
      </w:pPr>
    </w:lvl>
    <w:lvl w:ilvl="1" w:tplc="BBA2C240">
      <w:start w:val="1"/>
      <w:numFmt w:val="bullet"/>
      <w:lvlText w:val="○"/>
      <w:lvlJc w:val="left"/>
      <w:pPr>
        <w:ind w:left="1440" w:hanging="360"/>
      </w:pPr>
    </w:lvl>
    <w:lvl w:ilvl="2" w:tplc="A606DE6A">
      <w:start w:val="1"/>
      <w:numFmt w:val="bullet"/>
      <w:lvlText w:val="■"/>
      <w:lvlJc w:val="left"/>
      <w:pPr>
        <w:ind w:left="2160" w:hanging="360"/>
      </w:pPr>
    </w:lvl>
    <w:lvl w:ilvl="3" w:tplc="02D27E1A">
      <w:start w:val="1"/>
      <w:numFmt w:val="bullet"/>
      <w:lvlText w:val="●"/>
      <w:lvlJc w:val="left"/>
      <w:pPr>
        <w:ind w:left="2880" w:hanging="360"/>
      </w:pPr>
    </w:lvl>
    <w:lvl w:ilvl="4" w:tplc="17FC8276">
      <w:start w:val="1"/>
      <w:numFmt w:val="bullet"/>
      <w:lvlText w:val="○"/>
      <w:lvlJc w:val="left"/>
      <w:pPr>
        <w:ind w:left="3600" w:hanging="360"/>
      </w:pPr>
    </w:lvl>
    <w:lvl w:ilvl="5" w:tplc="8024468C">
      <w:start w:val="1"/>
      <w:numFmt w:val="bullet"/>
      <w:lvlText w:val="■"/>
      <w:lvlJc w:val="left"/>
      <w:pPr>
        <w:ind w:left="4320" w:hanging="360"/>
      </w:pPr>
    </w:lvl>
    <w:lvl w:ilvl="6" w:tplc="FB965E7E">
      <w:start w:val="1"/>
      <w:numFmt w:val="bullet"/>
      <w:lvlText w:val="●"/>
      <w:lvlJc w:val="left"/>
      <w:pPr>
        <w:ind w:left="5040" w:hanging="360"/>
      </w:pPr>
    </w:lvl>
    <w:lvl w:ilvl="7" w:tplc="6C7EA80C">
      <w:start w:val="1"/>
      <w:numFmt w:val="bullet"/>
      <w:lvlText w:val="●"/>
      <w:lvlJc w:val="left"/>
      <w:pPr>
        <w:ind w:left="5760" w:hanging="360"/>
      </w:pPr>
    </w:lvl>
    <w:lvl w:ilvl="8" w:tplc="4090626C">
      <w:start w:val="1"/>
      <w:numFmt w:val="bullet"/>
      <w:lvlText w:val="●"/>
      <w:lvlJc w:val="left"/>
      <w:pPr>
        <w:ind w:left="6480" w:hanging="360"/>
      </w:pPr>
    </w:lvl>
  </w:abstractNum>
  <w:abstractNum w:abstractNumId="8" w15:restartNumberingAfterBreak="0">
    <w:nsid w:val="6BA6065A"/>
    <w:multiLevelType w:val="hybridMultilevel"/>
    <w:tmpl w:val="AE0691A0"/>
    <w:lvl w:ilvl="0" w:tplc="4014A6C6">
      <w:start w:val="1"/>
      <w:numFmt w:val="bullet"/>
      <w:lvlText w:val="●"/>
      <w:lvlJc w:val="left"/>
      <w:pPr>
        <w:ind w:left="720" w:hanging="360"/>
      </w:pPr>
    </w:lvl>
    <w:lvl w:ilvl="1" w:tplc="8E98C66C">
      <w:start w:val="1"/>
      <w:numFmt w:val="bullet"/>
      <w:lvlText w:val="○"/>
      <w:lvlJc w:val="left"/>
      <w:pPr>
        <w:ind w:left="1440" w:hanging="360"/>
      </w:pPr>
    </w:lvl>
    <w:lvl w:ilvl="2" w:tplc="C7A0E596">
      <w:start w:val="1"/>
      <w:numFmt w:val="bullet"/>
      <w:lvlText w:val="■"/>
      <w:lvlJc w:val="left"/>
      <w:pPr>
        <w:ind w:left="2160" w:hanging="360"/>
      </w:pPr>
    </w:lvl>
    <w:lvl w:ilvl="3" w:tplc="309A078C">
      <w:start w:val="1"/>
      <w:numFmt w:val="bullet"/>
      <w:lvlText w:val="●"/>
      <w:lvlJc w:val="left"/>
      <w:pPr>
        <w:ind w:left="2880" w:hanging="360"/>
      </w:pPr>
    </w:lvl>
    <w:lvl w:ilvl="4" w:tplc="FF645990">
      <w:start w:val="1"/>
      <w:numFmt w:val="bullet"/>
      <w:lvlText w:val="○"/>
      <w:lvlJc w:val="left"/>
      <w:pPr>
        <w:ind w:left="3600" w:hanging="360"/>
      </w:pPr>
    </w:lvl>
    <w:lvl w:ilvl="5" w:tplc="551A4154">
      <w:start w:val="1"/>
      <w:numFmt w:val="bullet"/>
      <w:lvlText w:val="■"/>
      <w:lvlJc w:val="left"/>
      <w:pPr>
        <w:ind w:left="4320" w:hanging="360"/>
      </w:pPr>
    </w:lvl>
    <w:lvl w:ilvl="6" w:tplc="A5203E66">
      <w:start w:val="1"/>
      <w:numFmt w:val="bullet"/>
      <w:lvlText w:val="●"/>
      <w:lvlJc w:val="left"/>
      <w:pPr>
        <w:ind w:left="5040" w:hanging="360"/>
      </w:pPr>
    </w:lvl>
    <w:lvl w:ilvl="7" w:tplc="2BD62A20">
      <w:start w:val="1"/>
      <w:numFmt w:val="bullet"/>
      <w:lvlText w:val="●"/>
      <w:lvlJc w:val="left"/>
      <w:pPr>
        <w:ind w:left="5760" w:hanging="360"/>
      </w:pPr>
    </w:lvl>
    <w:lvl w:ilvl="8" w:tplc="8C56220E">
      <w:start w:val="1"/>
      <w:numFmt w:val="bullet"/>
      <w:lvlText w:val="●"/>
      <w:lvlJc w:val="left"/>
      <w:pPr>
        <w:ind w:left="6480" w:hanging="360"/>
      </w:pPr>
    </w:lvl>
  </w:abstractNum>
  <w:abstractNum w:abstractNumId="9" w15:restartNumberingAfterBreak="0">
    <w:nsid w:val="6DF359BE"/>
    <w:multiLevelType w:val="hybridMultilevel"/>
    <w:tmpl w:val="13B45000"/>
    <w:lvl w:ilvl="0" w:tplc="923C8896">
      <w:start w:val="1"/>
      <w:numFmt w:val="decimal"/>
      <w:lvlText w:val="%1."/>
      <w:lvlJc w:val="left"/>
      <w:pPr>
        <w:ind w:left="604" w:hanging="374"/>
      </w:pPr>
    </w:lvl>
    <w:lvl w:ilvl="1" w:tplc="80CC786C">
      <w:numFmt w:val="decimal"/>
      <w:lvlText w:val=""/>
      <w:lvlJc w:val="left"/>
    </w:lvl>
    <w:lvl w:ilvl="2" w:tplc="599AEF38">
      <w:numFmt w:val="decimal"/>
      <w:lvlText w:val=""/>
      <w:lvlJc w:val="left"/>
    </w:lvl>
    <w:lvl w:ilvl="3" w:tplc="E4B45B08">
      <w:numFmt w:val="decimal"/>
      <w:lvlText w:val=""/>
      <w:lvlJc w:val="left"/>
    </w:lvl>
    <w:lvl w:ilvl="4" w:tplc="B7526728">
      <w:numFmt w:val="decimal"/>
      <w:lvlText w:val=""/>
      <w:lvlJc w:val="left"/>
    </w:lvl>
    <w:lvl w:ilvl="5" w:tplc="FC8C4766">
      <w:numFmt w:val="decimal"/>
      <w:lvlText w:val=""/>
      <w:lvlJc w:val="left"/>
    </w:lvl>
    <w:lvl w:ilvl="6" w:tplc="6F768592">
      <w:numFmt w:val="decimal"/>
      <w:lvlText w:val=""/>
      <w:lvlJc w:val="left"/>
    </w:lvl>
    <w:lvl w:ilvl="7" w:tplc="C73A6E92">
      <w:numFmt w:val="decimal"/>
      <w:lvlText w:val=""/>
      <w:lvlJc w:val="left"/>
    </w:lvl>
    <w:lvl w:ilvl="8" w:tplc="5358C5BE">
      <w:numFmt w:val="decimal"/>
      <w:lvlText w:val=""/>
      <w:lvlJc w:val="left"/>
    </w:lvl>
  </w:abstractNum>
  <w:abstractNum w:abstractNumId="10" w15:restartNumberingAfterBreak="0">
    <w:nsid w:val="6E324E8F"/>
    <w:multiLevelType w:val="hybridMultilevel"/>
    <w:tmpl w:val="06B25C8A"/>
    <w:lvl w:ilvl="0" w:tplc="8B720250">
      <w:start w:val="1"/>
      <w:numFmt w:val="decimal"/>
      <w:lvlText w:val="%1."/>
      <w:lvlJc w:val="left"/>
      <w:pPr>
        <w:ind w:left="576" w:hanging="403"/>
      </w:pPr>
    </w:lvl>
    <w:lvl w:ilvl="1" w:tplc="F02A06A6">
      <w:numFmt w:val="decimal"/>
      <w:lvlText w:val=""/>
      <w:lvlJc w:val="left"/>
    </w:lvl>
    <w:lvl w:ilvl="2" w:tplc="7730FE90">
      <w:numFmt w:val="decimal"/>
      <w:lvlText w:val=""/>
      <w:lvlJc w:val="left"/>
    </w:lvl>
    <w:lvl w:ilvl="3" w:tplc="9C46A714">
      <w:numFmt w:val="decimal"/>
      <w:lvlText w:val=""/>
      <w:lvlJc w:val="left"/>
    </w:lvl>
    <w:lvl w:ilvl="4" w:tplc="225C69E0">
      <w:numFmt w:val="decimal"/>
      <w:lvlText w:val=""/>
      <w:lvlJc w:val="left"/>
    </w:lvl>
    <w:lvl w:ilvl="5" w:tplc="43BE3758">
      <w:numFmt w:val="decimal"/>
      <w:lvlText w:val=""/>
      <w:lvlJc w:val="left"/>
    </w:lvl>
    <w:lvl w:ilvl="6" w:tplc="753E329C">
      <w:numFmt w:val="decimal"/>
      <w:lvlText w:val=""/>
      <w:lvlJc w:val="left"/>
    </w:lvl>
    <w:lvl w:ilvl="7" w:tplc="03366E82">
      <w:numFmt w:val="decimal"/>
      <w:lvlText w:val=""/>
      <w:lvlJc w:val="left"/>
    </w:lvl>
    <w:lvl w:ilvl="8" w:tplc="FFCE3A60">
      <w:numFmt w:val="decimal"/>
      <w:lvlText w:val=""/>
      <w:lvlJc w:val="left"/>
    </w:lvl>
  </w:abstractNum>
  <w:abstractNum w:abstractNumId="11" w15:restartNumberingAfterBreak="0">
    <w:nsid w:val="70A253C8"/>
    <w:multiLevelType w:val="hybridMultilevel"/>
    <w:tmpl w:val="D458F56C"/>
    <w:lvl w:ilvl="0" w:tplc="E598A4F8">
      <w:start w:val="1"/>
      <w:numFmt w:val="bullet"/>
      <w:lvlText w:val="●"/>
      <w:lvlJc w:val="left"/>
      <w:pPr>
        <w:ind w:left="720" w:hanging="360"/>
      </w:pPr>
    </w:lvl>
    <w:lvl w:ilvl="1" w:tplc="2A625DA8">
      <w:start w:val="1"/>
      <w:numFmt w:val="bullet"/>
      <w:lvlText w:val="○"/>
      <w:lvlJc w:val="left"/>
      <w:pPr>
        <w:ind w:left="1440" w:hanging="360"/>
      </w:pPr>
    </w:lvl>
    <w:lvl w:ilvl="2" w:tplc="4A7CC692">
      <w:start w:val="1"/>
      <w:numFmt w:val="bullet"/>
      <w:lvlText w:val="■"/>
      <w:lvlJc w:val="left"/>
      <w:pPr>
        <w:ind w:left="2160" w:hanging="360"/>
      </w:pPr>
    </w:lvl>
    <w:lvl w:ilvl="3" w:tplc="42727CBE">
      <w:start w:val="1"/>
      <w:numFmt w:val="bullet"/>
      <w:lvlText w:val="●"/>
      <w:lvlJc w:val="left"/>
      <w:pPr>
        <w:ind w:left="2880" w:hanging="360"/>
      </w:pPr>
    </w:lvl>
    <w:lvl w:ilvl="4" w:tplc="2D102402">
      <w:start w:val="1"/>
      <w:numFmt w:val="bullet"/>
      <w:lvlText w:val="○"/>
      <w:lvlJc w:val="left"/>
      <w:pPr>
        <w:ind w:left="3600" w:hanging="360"/>
      </w:pPr>
    </w:lvl>
    <w:lvl w:ilvl="5" w:tplc="B492C94E">
      <w:start w:val="1"/>
      <w:numFmt w:val="bullet"/>
      <w:lvlText w:val="■"/>
      <w:lvlJc w:val="left"/>
      <w:pPr>
        <w:ind w:left="4320" w:hanging="360"/>
      </w:pPr>
    </w:lvl>
    <w:lvl w:ilvl="6" w:tplc="5DC48B04">
      <w:start w:val="1"/>
      <w:numFmt w:val="bullet"/>
      <w:lvlText w:val="●"/>
      <w:lvlJc w:val="left"/>
      <w:pPr>
        <w:ind w:left="5040" w:hanging="360"/>
      </w:pPr>
    </w:lvl>
    <w:lvl w:ilvl="7" w:tplc="7FC62C1C">
      <w:start w:val="1"/>
      <w:numFmt w:val="bullet"/>
      <w:lvlText w:val="●"/>
      <w:lvlJc w:val="left"/>
      <w:pPr>
        <w:ind w:left="5760" w:hanging="360"/>
      </w:pPr>
    </w:lvl>
    <w:lvl w:ilvl="8" w:tplc="AE2A0F5A">
      <w:start w:val="1"/>
      <w:numFmt w:val="bullet"/>
      <w:lvlText w:val="●"/>
      <w:lvlJc w:val="left"/>
      <w:pPr>
        <w:ind w:left="6480" w:hanging="360"/>
      </w:pPr>
    </w:lvl>
  </w:abstractNum>
  <w:abstractNum w:abstractNumId="12" w15:restartNumberingAfterBreak="0">
    <w:nsid w:val="70B234BC"/>
    <w:multiLevelType w:val="hybridMultilevel"/>
    <w:tmpl w:val="BC908D38"/>
    <w:lvl w:ilvl="0" w:tplc="2E88722E">
      <w:start w:val="1"/>
      <w:numFmt w:val="bullet"/>
      <w:lvlText w:val="●"/>
      <w:lvlJc w:val="left"/>
      <w:pPr>
        <w:ind w:left="720" w:hanging="360"/>
      </w:pPr>
    </w:lvl>
    <w:lvl w:ilvl="1" w:tplc="B752703A">
      <w:start w:val="1"/>
      <w:numFmt w:val="bullet"/>
      <w:lvlText w:val="○"/>
      <w:lvlJc w:val="left"/>
      <w:pPr>
        <w:ind w:left="1440" w:hanging="360"/>
      </w:pPr>
    </w:lvl>
    <w:lvl w:ilvl="2" w:tplc="039E003A">
      <w:start w:val="1"/>
      <w:numFmt w:val="bullet"/>
      <w:lvlText w:val="■"/>
      <w:lvlJc w:val="left"/>
      <w:pPr>
        <w:ind w:left="2160" w:hanging="360"/>
      </w:pPr>
    </w:lvl>
    <w:lvl w:ilvl="3" w:tplc="1C56763C">
      <w:start w:val="1"/>
      <w:numFmt w:val="bullet"/>
      <w:lvlText w:val="●"/>
      <w:lvlJc w:val="left"/>
      <w:pPr>
        <w:ind w:left="2880" w:hanging="360"/>
      </w:pPr>
    </w:lvl>
    <w:lvl w:ilvl="4" w:tplc="47F610B0">
      <w:start w:val="1"/>
      <w:numFmt w:val="bullet"/>
      <w:lvlText w:val="○"/>
      <w:lvlJc w:val="left"/>
      <w:pPr>
        <w:ind w:left="3600" w:hanging="360"/>
      </w:pPr>
    </w:lvl>
    <w:lvl w:ilvl="5" w:tplc="6D5E2862">
      <w:start w:val="1"/>
      <w:numFmt w:val="bullet"/>
      <w:lvlText w:val="■"/>
      <w:lvlJc w:val="left"/>
      <w:pPr>
        <w:ind w:left="4320" w:hanging="360"/>
      </w:pPr>
    </w:lvl>
    <w:lvl w:ilvl="6" w:tplc="8A020E2E">
      <w:start w:val="1"/>
      <w:numFmt w:val="bullet"/>
      <w:lvlText w:val="●"/>
      <w:lvlJc w:val="left"/>
      <w:pPr>
        <w:ind w:left="5040" w:hanging="360"/>
      </w:pPr>
    </w:lvl>
    <w:lvl w:ilvl="7" w:tplc="7A9AC4C8">
      <w:start w:val="1"/>
      <w:numFmt w:val="bullet"/>
      <w:lvlText w:val="●"/>
      <w:lvlJc w:val="left"/>
      <w:pPr>
        <w:ind w:left="5760" w:hanging="360"/>
      </w:pPr>
    </w:lvl>
    <w:lvl w:ilvl="8" w:tplc="CFBE3DEC">
      <w:start w:val="1"/>
      <w:numFmt w:val="bullet"/>
      <w:lvlText w:val="●"/>
      <w:lvlJc w:val="left"/>
      <w:pPr>
        <w:ind w:left="6480" w:hanging="360"/>
      </w:pPr>
    </w:lvl>
  </w:abstractNum>
  <w:abstractNum w:abstractNumId="13" w15:restartNumberingAfterBreak="0">
    <w:nsid w:val="70CC1D2C"/>
    <w:multiLevelType w:val="hybridMultilevel"/>
    <w:tmpl w:val="D23853AC"/>
    <w:lvl w:ilvl="0" w:tplc="78082E7E">
      <w:start w:val="1"/>
      <w:numFmt w:val="bullet"/>
      <w:lvlText w:val="●"/>
      <w:lvlJc w:val="left"/>
      <w:pPr>
        <w:ind w:left="720" w:hanging="360"/>
      </w:pPr>
    </w:lvl>
    <w:lvl w:ilvl="1" w:tplc="E55EC73E">
      <w:start w:val="1"/>
      <w:numFmt w:val="bullet"/>
      <w:lvlText w:val="○"/>
      <w:lvlJc w:val="left"/>
      <w:pPr>
        <w:ind w:left="1440" w:hanging="360"/>
      </w:pPr>
    </w:lvl>
    <w:lvl w:ilvl="2" w:tplc="48B26C66">
      <w:start w:val="1"/>
      <w:numFmt w:val="bullet"/>
      <w:lvlText w:val="■"/>
      <w:lvlJc w:val="left"/>
      <w:pPr>
        <w:ind w:left="2160" w:hanging="360"/>
      </w:pPr>
    </w:lvl>
    <w:lvl w:ilvl="3" w:tplc="DE40CE3E">
      <w:start w:val="1"/>
      <w:numFmt w:val="bullet"/>
      <w:lvlText w:val="●"/>
      <w:lvlJc w:val="left"/>
      <w:pPr>
        <w:ind w:left="2880" w:hanging="360"/>
      </w:pPr>
    </w:lvl>
    <w:lvl w:ilvl="4" w:tplc="D4FC6A42">
      <w:start w:val="1"/>
      <w:numFmt w:val="bullet"/>
      <w:lvlText w:val="○"/>
      <w:lvlJc w:val="left"/>
      <w:pPr>
        <w:ind w:left="3600" w:hanging="360"/>
      </w:pPr>
    </w:lvl>
    <w:lvl w:ilvl="5" w:tplc="E2C0A4A0">
      <w:start w:val="1"/>
      <w:numFmt w:val="bullet"/>
      <w:lvlText w:val="■"/>
      <w:lvlJc w:val="left"/>
      <w:pPr>
        <w:ind w:left="4320" w:hanging="360"/>
      </w:pPr>
    </w:lvl>
    <w:lvl w:ilvl="6" w:tplc="01682C80">
      <w:start w:val="1"/>
      <w:numFmt w:val="bullet"/>
      <w:lvlText w:val="●"/>
      <w:lvlJc w:val="left"/>
      <w:pPr>
        <w:ind w:left="5040" w:hanging="360"/>
      </w:pPr>
    </w:lvl>
    <w:lvl w:ilvl="7" w:tplc="9B104DA2">
      <w:start w:val="1"/>
      <w:numFmt w:val="bullet"/>
      <w:lvlText w:val="●"/>
      <w:lvlJc w:val="left"/>
      <w:pPr>
        <w:ind w:left="5760" w:hanging="360"/>
      </w:pPr>
    </w:lvl>
    <w:lvl w:ilvl="8" w:tplc="C79411A2">
      <w:start w:val="1"/>
      <w:numFmt w:val="bullet"/>
      <w:lvlText w:val="●"/>
      <w:lvlJc w:val="left"/>
      <w:pPr>
        <w:ind w:left="6480" w:hanging="360"/>
      </w:pPr>
    </w:lvl>
  </w:abstractNum>
  <w:abstractNum w:abstractNumId="14" w15:restartNumberingAfterBreak="0">
    <w:nsid w:val="7D742319"/>
    <w:multiLevelType w:val="hybridMultilevel"/>
    <w:tmpl w:val="68A4CFE4"/>
    <w:lvl w:ilvl="0" w:tplc="02FA97F2">
      <w:start w:val="1"/>
      <w:numFmt w:val="bullet"/>
      <w:lvlText w:val="•"/>
      <w:lvlJc w:val="left"/>
      <w:pPr>
        <w:ind w:left="604" w:hanging="374"/>
      </w:pPr>
    </w:lvl>
    <w:lvl w:ilvl="1" w:tplc="9EDCCA30">
      <w:numFmt w:val="decimal"/>
      <w:lvlText w:val=""/>
      <w:lvlJc w:val="left"/>
    </w:lvl>
    <w:lvl w:ilvl="2" w:tplc="0952064A">
      <w:numFmt w:val="decimal"/>
      <w:lvlText w:val=""/>
      <w:lvlJc w:val="left"/>
    </w:lvl>
    <w:lvl w:ilvl="3" w:tplc="B3D2F108">
      <w:numFmt w:val="decimal"/>
      <w:lvlText w:val=""/>
      <w:lvlJc w:val="left"/>
    </w:lvl>
    <w:lvl w:ilvl="4" w:tplc="450A2100">
      <w:numFmt w:val="decimal"/>
      <w:lvlText w:val=""/>
      <w:lvlJc w:val="left"/>
    </w:lvl>
    <w:lvl w:ilvl="5" w:tplc="3FAE4D4C">
      <w:numFmt w:val="decimal"/>
      <w:lvlText w:val=""/>
      <w:lvlJc w:val="left"/>
    </w:lvl>
    <w:lvl w:ilvl="6" w:tplc="D73EE21E">
      <w:numFmt w:val="decimal"/>
      <w:lvlText w:val=""/>
      <w:lvlJc w:val="left"/>
    </w:lvl>
    <w:lvl w:ilvl="7" w:tplc="2CAE7356">
      <w:numFmt w:val="decimal"/>
      <w:lvlText w:val=""/>
      <w:lvlJc w:val="left"/>
    </w:lvl>
    <w:lvl w:ilvl="8" w:tplc="4D1E00AA">
      <w:numFmt w:val="decimal"/>
      <w:lvlText w:val=""/>
      <w:lvlJc w:val="left"/>
    </w:lvl>
  </w:abstractNum>
  <w:abstractNum w:abstractNumId="15" w15:restartNumberingAfterBreak="0">
    <w:nsid w:val="7FD44877"/>
    <w:multiLevelType w:val="hybridMultilevel"/>
    <w:tmpl w:val="85FA6064"/>
    <w:lvl w:ilvl="0" w:tplc="52F04B0A">
      <w:start w:val="1"/>
      <w:numFmt w:val="bullet"/>
      <w:lvlText w:val="●"/>
      <w:lvlJc w:val="left"/>
      <w:pPr>
        <w:ind w:left="720" w:hanging="360"/>
      </w:pPr>
    </w:lvl>
    <w:lvl w:ilvl="1" w:tplc="2952A8CA">
      <w:start w:val="1"/>
      <w:numFmt w:val="bullet"/>
      <w:lvlText w:val="○"/>
      <w:lvlJc w:val="left"/>
      <w:pPr>
        <w:ind w:left="1440" w:hanging="360"/>
      </w:pPr>
    </w:lvl>
    <w:lvl w:ilvl="2" w:tplc="B630BCEA">
      <w:start w:val="1"/>
      <w:numFmt w:val="bullet"/>
      <w:lvlText w:val="■"/>
      <w:lvlJc w:val="left"/>
      <w:pPr>
        <w:ind w:left="2160" w:hanging="360"/>
      </w:pPr>
    </w:lvl>
    <w:lvl w:ilvl="3" w:tplc="124418E6">
      <w:start w:val="1"/>
      <w:numFmt w:val="bullet"/>
      <w:lvlText w:val="●"/>
      <w:lvlJc w:val="left"/>
      <w:pPr>
        <w:ind w:left="2880" w:hanging="360"/>
      </w:pPr>
    </w:lvl>
    <w:lvl w:ilvl="4" w:tplc="72047EBC">
      <w:start w:val="1"/>
      <w:numFmt w:val="bullet"/>
      <w:lvlText w:val="○"/>
      <w:lvlJc w:val="left"/>
      <w:pPr>
        <w:ind w:left="3600" w:hanging="360"/>
      </w:pPr>
    </w:lvl>
    <w:lvl w:ilvl="5" w:tplc="779066B8">
      <w:start w:val="1"/>
      <w:numFmt w:val="bullet"/>
      <w:lvlText w:val="■"/>
      <w:lvlJc w:val="left"/>
      <w:pPr>
        <w:ind w:left="4320" w:hanging="360"/>
      </w:pPr>
    </w:lvl>
    <w:lvl w:ilvl="6" w:tplc="30323442">
      <w:start w:val="1"/>
      <w:numFmt w:val="bullet"/>
      <w:lvlText w:val="●"/>
      <w:lvlJc w:val="left"/>
      <w:pPr>
        <w:ind w:left="5040" w:hanging="360"/>
      </w:pPr>
    </w:lvl>
    <w:lvl w:ilvl="7" w:tplc="231AE8FC">
      <w:start w:val="1"/>
      <w:numFmt w:val="bullet"/>
      <w:lvlText w:val="●"/>
      <w:lvlJc w:val="left"/>
      <w:pPr>
        <w:ind w:left="5760" w:hanging="360"/>
      </w:pPr>
    </w:lvl>
    <w:lvl w:ilvl="8" w:tplc="AA74D2CE">
      <w:start w:val="1"/>
      <w:numFmt w:val="bullet"/>
      <w:lvlText w:val="●"/>
      <w:lvlJc w:val="left"/>
      <w:pPr>
        <w:ind w:left="6480" w:hanging="360"/>
      </w:pPr>
    </w:lvl>
  </w:abstractNum>
  <w:num w:numId="1" w16cid:durableId="19556341">
    <w:abstractNumId w:val="11"/>
    <w:lvlOverride w:ilvl="0">
      <w:startOverride w:val="1"/>
    </w:lvlOverride>
  </w:num>
  <w:num w:numId="2" w16cid:durableId="32001706">
    <w:abstractNumId w:val="3"/>
    <w:lvlOverride w:ilvl="0">
      <w:startOverride w:val="1"/>
    </w:lvlOverride>
  </w:num>
  <w:num w:numId="3" w16cid:durableId="764303042">
    <w:abstractNumId w:val="10"/>
    <w:lvlOverride w:ilvl="0">
      <w:startOverride w:val="1"/>
    </w:lvlOverride>
  </w:num>
  <w:num w:numId="4" w16cid:durableId="641733674">
    <w:abstractNumId w:val="6"/>
    <w:lvlOverride w:ilvl="0">
      <w:startOverride w:val="1"/>
    </w:lvlOverride>
  </w:num>
  <w:num w:numId="5" w16cid:durableId="359283123">
    <w:abstractNumId w:val="8"/>
    <w:lvlOverride w:ilvl="0">
      <w:startOverride w:val="1"/>
    </w:lvlOverride>
  </w:num>
  <w:num w:numId="6" w16cid:durableId="1718121313">
    <w:abstractNumId w:val="1"/>
    <w:lvlOverride w:ilvl="0">
      <w:startOverride w:val="1"/>
    </w:lvlOverride>
  </w:num>
  <w:num w:numId="7" w16cid:durableId="1951235976">
    <w:abstractNumId w:val="9"/>
    <w:lvlOverride w:ilvl="0">
      <w:startOverride w:val="1"/>
    </w:lvlOverride>
  </w:num>
  <w:num w:numId="8" w16cid:durableId="128207056">
    <w:abstractNumId w:val="4"/>
    <w:lvlOverride w:ilvl="0">
      <w:startOverride w:val="1"/>
    </w:lvlOverride>
  </w:num>
  <w:num w:numId="9" w16cid:durableId="939220849">
    <w:abstractNumId w:val="14"/>
    <w:lvlOverride w:ilvl="0">
      <w:startOverride w:val="1"/>
    </w:lvlOverride>
  </w:num>
  <w:num w:numId="10" w16cid:durableId="663508942">
    <w:abstractNumId w:val="12"/>
    <w:lvlOverride w:ilvl="0">
      <w:startOverride w:val="1"/>
    </w:lvlOverride>
  </w:num>
  <w:num w:numId="11" w16cid:durableId="90510446">
    <w:abstractNumId w:val="15"/>
    <w:lvlOverride w:ilvl="0">
      <w:startOverride w:val="1"/>
    </w:lvlOverride>
  </w:num>
  <w:num w:numId="12" w16cid:durableId="713237047">
    <w:abstractNumId w:val="0"/>
    <w:lvlOverride w:ilvl="0">
      <w:startOverride w:val="1"/>
    </w:lvlOverride>
  </w:num>
  <w:num w:numId="13" w16cid:durableId="2044283412">
    <w:abstractNumId w:val="7"/>
    <w:lvlOverride w:ilvl="0">
      <w:startOverride w:val="1"/>
    </w:lvlOverride>
  </w:num>
  <w:num w:numId="14" w16cid:durableId="591861635">
    <w:abstractNumId w:val="2"/>
    <w:lvlOverride w:ilvl="0">
      <w:startOverride w:val="1"/>
    </w:lvlOverride>
  </w:num>
  <w:num w:numId="15" w16cid:durableId="1647513344">
    <w:abstractNumId w:val="1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D1A"/>
    <w:rsid w:val="001847D3"/>
    <w:rsid w:val="0022730A"/>
    <w:rsid w:val="002F5973"/>
    <w:rsid w:val="0034461B"/>
    <w:rsid w:val="003A247D"/>
    <w:rsid w:val="005813F0"/>
    <w:rsid w:val="005D3747"/>
    <w:rsid w:val="00690E49"/>
    <w:rsid w:val="007E504D"/>
    <w:rsid w:val="00804E81"/>
    <w:rsid w:val="00840C4F"/>
    <w:rsid w:val="008C1C1F"/>
    <w:rsid w:val="0097716A"/>
    <w:rsid w:val="00A27336"/>
    <w:rsid w:val="00AC5D9F"/>
    <w:rsid w:val="00B8282B"/>
    <w:rsid w:val="00B91CA3"/>
    <w:rsid w:val="00C1035A"/>
    <w:rsid w:val="00CD7866"/>
    <w:rsid w:val="00D401F2"/>
    <w:rsid w:val="00DB4778"/>
    <w:rsid w:val="00E05DD2"/>
    <w:rsid w:val="00E70D1A"/>
    <w:rsid w:val="00EA360C"/>
    <w:rsid w:val="00F564E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3E50"/>
  <w15:docId w15:val="{29EDF484-61C7-204C-AD93-69F06B3DC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4"/>
        <w:szCs w:val="24"/>
        <w:lang w:val="en-V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lineRule="auto" w:line="300" w:before="0" w:after="120"/>
      <w:ind w:firstLine="0"/>
      <w:jc w:val="both"/>
    </w:pPr>
    <w:rPr>
      <w:rFonts w:ascii="Times New Roman" w:hAnsi="Times New Roman"/>
      <w:color w:val="000000"/>
      <w:sz w:val="24"/>
    </w:rPr>
  </w:style>
  <w:style w:type="paragraph" w:styleId="Heading1">
    <w:name w:val="heading 1"/>
    <w:uiPriority w:val="9"/>
    <w:qFormat/>
    <w:pPr>
      <w:keepNext/>
      <w:spacing w:before="240" w:after="120"/>
      <w:outlineLvl w:val="0"/>
    </w:pPr>
    <w:rPr>
      <w:rFonts w:ascii="Times New Roman" w:hAnsi="Times New Roman"/>
      <w:b/>
      <w:bCs/>
      <w:color w:val="000000"/>
      <w:sz w:val="32"/>
      <w:szCs w:val="32"/>
    </w:rPr>
  </w:style>
  <w:style w:type="paragraph" w:styleId="Heading2">
    <w:name w:val="heading 2"/>
    <w:uiPriority w:val="9"/>
    <w:unhideWhenUsed/>
    <w:qFormat/>
    <w:pPr>
      <w:keepNext/>
      <w:spacing w:before="200" w:after="100"/>
      <w:outlineLvl w:val="1"/>
    </w:pPr>
    <w:rPr>
      <w:rFonts w:ascii="Times New Roman" w:hAnsi="Times New Roman"/>
      <w:b/>
      <w:bCs/>
      <w:color w:val="000000"/>
      <w:sz w:val="28"/>
      <w:szCs w:val="28"/>
    </w:rPr>
  </w:style>
  <w:style w:type="paragraph" w:styleId="Heading3">
    <w:name w:val="heading 3"/>
    <w:uiPriority w:val="9"/>
    <w:unhideWhenUsed/>
    <w:qFormat/>
    <w:pPr>
      <w:keepNext/>
      <w:spacing w:before="160" w:after="80"/>
      <w:outlineLvl w:val="2"/>
    </w:pPr>
    <w:rPr>
      <w:rFonts w:ascii="Times New Roman" w:hAnsi="Times New Roman"/>
      <w:b/>
      <w:color w:val="1F4D78"/>
      <w:sz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840C4F"/>
    <w:pPr>
      <w:spacing w:before="100" w:beforeAutospacing="1" w:after="100" w:afterAutospacing="1" w:line="240" w:lineRule="auto"/>
    </w:pPr>
    <w:rPr>
      <w:color w:val="auto"/>
    </w:rPr>
  </w:style>
  <w:style w:type="character" w:styleId="Strong">
    <w:name w:val="Strong"/>
    <w:basedOn w:val="DefaultParagraphFont"/>
    <w:uiPriority w:val="22"/>
    <w:qFormat/>
    <w:rsid w:val="00840C4F"/>
    <w:rPr>
      <w:b/>
      <w:bCs/>
    </w:rPr>
  </w:style>
  <w:style w:type="character" w:styleId="UnresolvedMention">
    <w:name w:val="Unresolved Mention"/>
    <w:basedOn w:val="DefaultParagraphFont"/>
    <w:uiPriority w:val="99"/>
    <w:semiHidden/>
    <w:unhideWhenUsed/>
    <w:rsid w:val="00840C4F"/>
    <w:rPr>
      <w:color w:val="605E5C"/>
      <w:shd w:val="clear" w:color="auto" w:fill="E1DFDD"/>
    </w:rPr>
  </w:style>
  <w:style w:type="character" w:styleId="FollowedHyperlink">
    <w:name w:val="FollowedHyperlink"/>
    <w:basedOn w:val="DefaultParagraphFont"/>
    <w:uiPriority w:val="99"/>
    <w:semiHidden/>
    <w:unhideWhenUsed/>
    <w:rsid w:val="005D37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help.skyscanner.net/hc/en-gb/articles/115002499829-How-do-I-set-up-or-cancel-email-price-alerts" TargetMode="External"/><Relationship Id="rId21" Type="http://schemas.openxmlformats.org/officeDocument/2006/relationships/image" Target="media/image14.png"/><Relationship Id="rId42" Type="http://schemas.openxmlformats.org/officeDocument/2006/relationships/hyperlink" Target="https://jupyter.org/" TargetMode="External"/><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hyperlink" Target="https://agilemanifesto.org/" TargetMode="External"/><Relationship Id="rId89" Type="http://schemas.openxmlformats.org/officeDocument/2006/relationships/hyperlink" Target="https://doi.org/10.1175/1520-0493(1950)078" TargetMode="External"/><Relationship Id="rId112" Type="http://schemas.openxmlformats.org/officeDocument/2006/relationships/hyperlink" Target="https://www.postgresql.org/" TargetMode="External"/><Relationship Id="rId16" Type="http://schemas.openxmlformats.org/officeDocument/2006/relationships/image" Target="media/image9.png"/><Relationship Id="rId107" Type="http://schemas.openxmlformats.org/officeDocument/2006/relationships/hyperlink" Target="https://ico.org.uk/for-organisations/uk-gdpr-guidance-and-resources/personal-information-what-is-it/what-is-personal-data/what-is-personal-data/" TargetMode="External"/><Relationship Id="rId11" Type="http://schemas.openxmlformats.org/officeDocument/2006/relationships/image" Target="media/image4.png"/><Relationship Id="rId32" Type="http://schemas.openxmlformats.org/officeDocument/2006/relationships/hyperlink" Target="https://parquet.apache.org/" TargetMode="External"/><Relationship Id="rId37" Type="http://schemas.openxmlformats.org/officeDocument/2006/relationships/hyperlink" Target="https://xgboost.readthedocs.io/" TargetMode="External"/><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hyperlink" Target="https://doi.org/10.1145/2733384" TargetMode="External"/><Relationship Id="rId123" Type="http://schemas.openxmlformats.org/officeDocument/2006/relationships/hyperlink" Target="https://doi.org/10.1016/S0893-6080(05)80023-1" TargetMode="External"/><Relationship Id="rId128" Type="http://schemas.openxmlformats.org/officeDocument/2006/relationships/hyperlink" Target="https://github.com/quyncgcs230483/Final-Year-Project-flight_dynamic_pricing-" TargetMode="External"/><Relationship Id="rId5" Type="http://schemas.openxmlformats.org/officeDocument/2006/relationships/webSettings" Target="webSettings.xml"/><Relationship Id="rId90" Type="http://schemas.openxmlformats.org/officeDocument/2006/relationships/hyperlink" Target="https://doi.org/10.1145/2939672.2939785" TargetMode="External"/><Relationship Id="rId95" Type="http://schemas.openxmlformats.org/officeDocument/2006/relationships/hyperlink" Target="https://doi.org/10.1145/956750.956767" TargetMode="External"/><Relationship Id="rId22" Type="http://schemas.openxmlformats.org/officeDocument/2006/relationships/image" Target="media/image15.png"/><Relationship Id="rId27" Type="http://schemas.openxmlformats.org/officeDocument/2006/relationships/hyperlink" Target="https://www.python.org/community/logos/" TargetMode="External"/><Relationship Id="rId43" Type="http://schemas.openxmlformats.org/officeDocument/2006/relationships/hyperlink" Target="https://vast.ai/press-kit" TargetMode="External"/><Relationship Id="rId48" Type="http://schemas.openxmlformats.org/officeDocument/2006/relationships/image" Target="media/image21.png"/><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hyperlink" Target="https://proceedings.neurips.cc/paper/2018/hash/14491b756b3a51daac41c24863285549-Abstract.html" TargetMode="External"/><Relationship Id="rId118" Type="http://schemas.openxmlformats.org/officeDocument/2006/relationships/hyperlink" Target="https://doi.org/10.3390/make3020020" TargetMode="External"/><Relationship Id="rId80" Type="http://schemas.openxmlformats.org/officeDocument/2006/relationships/hyperlink" Target="https://doi.org/10.1016/j.jksuci.2019.02.001" TargetMode="External"/><Relationship Id="rId85" Type="http://schemas.openxmlformats.org/officeDocument/2006/relationships/hyperlink" Target="https://agilemanifesto.org/principles.html" TargetMode="Externa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pandas.pydata.org/" TargetMode="External"/><Relationship Id="rId38" Type="http://schemas.openxmlformats.org/officeDocument/2006/relationships/hyperlink" Target="https://catboost.ai/" TargetMode="External"/><Relationship Id="rId59" Type="http://schemas.openxmlformats.org/officeDocument/2006/relationships/image" Target="media/image32.png"/><Relationship Id="rId103" Type="http://schemas.openxmlformats.org/officeDocument/2006/relationships/hyperlink" Target="https://proceedings.mlr.press/v70/guo17a.html" TargetMode="External"/><Relationship Id="rId108" Type="http://schemas.openxmlformats.org/officeDocument/2006/relationships/hyperlink" Target="https://www.kayak.com/c/help/about/" TargetMode="External"/><Relationship Id="rId124" Type="http://schemas.openxmlformats.org/officeDocument/2006/relationships/image" Target="media/image53.png"/><Relationship Id="rId129" Type="http://schemas.openxmlformats.org/officeDocument/2006/relationships/footer" Target="footer1.xml"/><Relationship Id="rId54" Type="http://schemas.openxmlformats.org/officeDocument/2006/relationships/image" Target="media/image27.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hyperlink" Target="https://doi.org/10.3115/v1/D14-1179" TargetMode="External"/><Relationship Id="rId96" Type="http://schemas.openxmlformats.org/officeDocument/2006/relationships/hyperlink" Target="https://doi.org/10.1214/aos/101320345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hyperlink" Target="https://github.com/punitarani/fli" TargetMode="External"/><Relationship Id="rId49" Type="http://schemas.openxmlformats.org/officeDocument/2006/relationships/image" Target="media/image22.png"/><Relationship Id="rId114" Type="http://schemas.openxmlformats.org/officeDocument/2006/relationships/hyperlink" Target="https://github.com/punitarani/fli" TargetMode="External"/><Relationship Id="rId119" Type="http://schemas.openxmlformats.org/officeDocument/2006/relationships/hyperlink" Target="https://doi.org/10.1007/b139000" TargetMode="External"/><Relationship Id="rId44" Type="http://schemas.openxmlformats.org/officeDocument/2006/relationships/hyperlink" Target="https://matplotlib.org/" TargetMode="External"/><Relationship Id="rId60" Type="http://schemas.openxmlformats.org/officeDocument/2006/relationships/image" Target="media/image33.png"/><Relationship Id="rId65" Type="http://schemas.openxmlformats.org/officeDocument/2006/relationships/image" Target="media/image38.png"/><Relationship Id="rId81" Type="http://schemas.openxmlformats.org/officeDocument/2006/relationships/hyperlink" Target="https://www.microsoft.com/en-us/research/publication/software-engineering-for-machine-learning-a-case-study/" TargetMode="External"/><Relationship Id="rId86" Type="http://schemas.openxmlformats.org/officeDocument/2006/relationships/hyperlink" Target="https://doi.org/10.1109/2.59" TargetMode="External"/><Relationship Id="rId130"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tensorflow.org/" TargetMode="External"/><Relationship Id="rId109" Type="http://schemas.openxmlformats.org/officeDocument/2006/relationships/hyperlink" Target="https://doi.org/10.1023/A:1022859003006" TargetMode="External"/><Relationship Id="rId34" Type="http://schemas.openxmlformats.org/officeDocument/2006/relationships/hyperlink" Target="https://numpy.org/press-kit/" TargetMode="Externa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9.png"/><Relationship Id="rId97" Type="http://schemas.openxmlformats.org/officeDocument/2006/relationships/hyperlink" Target="https://doi.org/10.1198/016214506000001437" TargetMode="External"/><Relationship Id="rId104" Type="http://schemas.openxmlformats.org/officeDocument/2006/relationships/hyperlink" Target="https://doi.org/10.1162/neco.1997.9.8.1735" TargetMode="External"/><Relationship Id="rId120" Type="http://schemas.openxmlformats.org/officeDocument/2006/relationships/hyperlink" Target="https://doi.org/10.1016/S0169-2070(00)00065-0" TargetMode="External"/><Relationship Id="rId125" Type="http://schemas.openxmlformats.org/officeDocument/2006/relationships/image" Target="media/image54.png"/><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hyperlink" Target="https://doi.org/10.1007/BF00994018" TargetMode="External"/><Relationship Id="rId2" Type="http://schemas.openxmlformats.org/officeDocument/2006/relationships/numbering" Target="numbering.xml"/><Relationship Id="rId29" Type="http://schemas.openxmlformats.org/officeDocument/2006/relationships/hyperlink" Target="https://www.trip.com/" TargetMode="External"/><Relationship Id="rId24" Type="http://schemas.openxmlformats.org/officeDocument/2006/relationships/image" Target="media/image17.png"/><Relationship Id="rId40" Type="http://schemas.openxmlformats.org/officeDocument/2006/relationships/hyperlink" Target="https://keras.io/" TargetMode="External"/><Relationship Id="rId45" Type="http://schemas.openxmlformats.org/officeDocument/2006/relationships/hyperlink" Target="https://seaborn.pydata.org/" TargetMode="External"/><Relationship Id="rId66" Type="http://schemas.openxmlformats.org/officeDocument/2006/relationships/image" Target="media/image39.png"/><Relationship Id="rId87" Type="http://schemas.openxmlformats.org/officeDocument/2006/relationships/hyperlink" Target="https://doi.org/10.1023/A:1018054314350" TargetMode="External"/><Relationship Id="rId110" Type="http://schemas.openxmlformats.org/officeDocument/2006/relationships/hyperlink" Target="https://playwright.dev/python/docs/intro" TargetMode="External"/><Relationship Id="rId115" Type="http://schemas.openxmlformats.org/officeDocument/2006/relationships/hyperlink" Target="https://www.praxisframework.org/files/royce1970.pdf" TargetMode="External"/><Relationship Id="rId131" Type="http://schemas.openxmlformats.org/officeDocument/2006/relationships/theme" Target="theme/theme1.xml"/><Relationship Id="rId61" Type="http://schemas.openxmlformats.org/officeDocument/2006/relationships/image" Target="media/image34.png"/><Relationship Id="rId82" Type="http://schemas.openxmlformats.org/officeDocument/2006/relationships/hyperlink" Target="https://openreview.net/forum?id=gerNCVqqtR"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github.com/daijro/camoufox" TargetMode="External"/><Relationship Id="rId35" Type="http://schemas.openxmlformats.org/officeDocument/2006/relationships/hyperlink" Target="https://scipy.org/" TargetMode="External"/><Relationship Id="rId56" Type="http://schemas.openxmlformats.org/officeDocument/2006/relationships/image" Target="media/image29.png"/><Relationship Id="rId77" Type="http://schemas.openxmlformats.org/officeDocument/2006/relationships/image" Target="media/image50.png"/><Relationship Id="rId100" Type="http://schemas.openxmlformats.org/officeDocument/2006/relationships/hyperlink" Target="https://support.google.com/travel/answer/7664728?hl=en" TargetMode="External"/><Relationship Id="rId105" Type="http://schemas.openxmlformats.org/officeDocument/2006/relationships/hyperlink" Target="https://help.hopper.com/en_us/about-our-price-predictions-Hy7cLt_Fv" TargetMode="External"/><Relationship Id="rId126"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hyperlink" Target="https://github.com/daijro/camoufox" TargetMode="External"/><Relationship Id="rId98" Type="http://schemas.openxmlformats.org/officeDocument/2006/relationships/hyperlink" Target="https://policies.google.com/terms" TargetMode="External"/><Relationship Id="rId121" Type="http://schemas.openxmlformats.org/officeDocument/2006/relationships/hyperlink" Target="https://us.trip.com/contents/service-guideline/terms.html?locale=en_us"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hyperlink" Target="https://reflex.dev/" TargetMode="External"/><Relationship Id="rId67" Type="http://schemas.openxmlformats.org/officeDocument/2006/relationships/image" Target="media/image40.png"/><Relationship Id="rId116" Type="http://schemas.openxmlformats.org/officeDocument/2006/relationships/hyperlink" Target="https://doi.org/10.1371/journal.pone.0118432" TargetMode="External"/><Relationship Id="rId20" Type="http://schemas.openxmlformats.org/officeDocument/2006/relationships/image" Target="media/image13.png"/><Relationship Id="rId41" Type="http://schemas.openxmlformats.org/officeDocument/2006/relationships/hyperlink" Target="https://huggingface.co/amazon/chronos-2" TargetMode="External"/><Relationship Id="rId62" Type="http://schemas.openxmlformats.org/officeDocument/2006/relationships/image" Target="media/image35.png"/><Relationship Id="rId83" Type="http://schemas.openxmlformats.org/officeDocument/2006/relationships/hyperlink" Target="https://www.bcs.org/membership-and-registrations/become-a-member/bcs-code-of-conduct/" TargetMode="External"/><Relationship Id="rId88" Type="http://schemas.openxmlformats.org/officeDocument/2006/relationships/hyperlink" Target="https://doi.org/10.1023/A:1010933404324" TargetMode="External"/><Relationship Id="rId111" Type="http://schemas.openxmlformats.org/officeDocument/2006/relationships/hyperlink" Target="https://vanban.chinhphu.vn/?docid=209798&amp;pageid=27160" TargetMode="External"/><Relationship Id="rId15" Type="http://schemas.openxmlformats.org/officeDocument/2006/relationships/image" Target="media/image8.png"/><Relationship Id="rId36" Type="http://schemas.openxmlformats.org/officeDocument/2006/relationships/hyperlink" Target="https://scikit-learn.org/" TargetMode="External"/><Relationship Id="rId57" Type="http://schemas.openxmlformats.org/officeDocument/2006/relationships/image" Target="media/image30.png"/><Relationship Id="rId106" Type="http://schemas.openxmlformats.org/officeDocument/2006/relationships/hyperlink" Target="https://doi.org/10.1016/j.ijforecast.2006.03.001" TargetMode="External"/><Relationship Id="rId127" Type="http://schemas.openxmlformats.org/officeDocument/2006/relationships/hyperlink" Target="https://drive.google.com/drive/u/0/folders/1bZ_MYJlPwL9y-Yn5Af-g1lKphlssmUyF" TargetMode="External"/><Relationship Id="rId10" Type="http://schemas.openxmlformats.org/officeDocument/2006/relationships/image" Target="media/image3.png"/><Relationship Id="rId31" Type="http://schemas.openxmlformats.org/officeDocument/2006/relationships/hyperlink" Target="https://www.postgresql.org/" TargetMode="External"/><Relationship Id="rId52" Type="http://schemas.openxmlformats.org/officeDocument/2006/relationships/image" Target="media/image25.png"/><Relationship Id="rId73" Type="http://schemas.openxmlformats.org/officeDocument/2006/relationships/image" Target="media/image46.png"/><Relationship Id="rId78" Type="http://schemas.openxmlformats.org/officeDocument/2006/relationships/image" Target="media/image51.png"/><Relationship Id="rId94" Type="http://schemas.openxmlformats.org/officeDocument/2006/relationships/hyperlink" Target="https://doi.org/10.1016/j.jairtraman.2014.06.010" TargetMode="External"/><Relationship Id="rId99" Type="http://schemas.openxmlformats.org/officeDocument/2006/relationships/hyperlink" Target="https://support.google.com/travel/answer/6235879?hl=en" TargetMode="External"/><Relationship Id="rId101" Type="http://schemas.openxmlformats.org/officeDocument/2006/relationships/hyperlink" Target="https://doi.org/10.1016/j.neunet.2005.06.042" TargetMode="External"/><Relationship Id="rId122" Type="http://schemas.openxmlformats.org/officeDocument/2006/relationships/hyperlink" Target="https://doi.org/10.23919/EUSIPCO.2017.8081365"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132" Type="http://schemas.openxmlformats.org/officeDocument/2006/relationships/header" Target="header1.xml"/><Relationship Id="rId133" Type="http://schemas.openxmlformats.org/officeDocument/2006/relationships/image" Target="media/image56.png"/><Relationship Id="rId134" Type="http://schemas.openxmlformats.org/officeDocument/2006/relationships/image" Target="media/image57.png"/><Relationship Id="rId135" Type="http://schemas.openxmlformats.org/officeDocument/2006/relationships/image" Target="media/image58.png"/><Relationship Id="rId136" Type="http://schemas.openxmlformats.org/officeDocument/2006/relationships/image" Target="media/image59.png"/><Relationship Id="rId137" Type="http://schemas.openxmlformats.org/officeDocument/2006/relationships/image" Target="media/image60.png"/><Relationship Id="rId138" Type="http://schemas.openxmlformats.org/officeDocument/2006/relationships/image" Target="media/image61.png"/><Relationship Id="rId139" Type="http://schemas.openxmlformats.org/officeDocument/2006/relationships/image" Target="media/image62.png"/><Relationship Id="rId140" Type="http://schemas.openxmlformats.org/officeDocument/2006/relationships/image" Target="media/image63.png"/><Relationship Id="rId141" Type="http://schemas.openxmlformats.org/officeDocument/2006/relationships/hyperlink" Target="https://doi.org/10.1371/journal.pcbi.1008618" TargetMode="External"/><Relationship Id="rId142" Type="http://schemas.openxmlformats.org/officeDocument/2006/relationships/hyperlink" Target="https://proceedings.neurips.cc/paper/2021/hash/9d86d83f925f2149e9edb0ac3b49229c-Abstract.html" TargetMode="External"/><Relationship Id="rId143" Type="http://schemas.openxmlformats.org/officeDocument/2006/relationships/hyperlink" Target="https://doi.org/10.1145/582415.582418" TargetMode="External"/><Relationship Id="rId144" Type="http://schemas.openxmlformats.org/officeDocument/2006/relationships/hyperlink" Target="https://doi.org/10.1109/ACCESS.2023.3274669" TargetMode="External"/><Relationship Id="rId145" Type="http://schemas.openxmlformats.org/officeDocument/2006/relationships/hyperlink" Target="https://doi.org/10.5753/sbsi.2017.6022" TargetMode="External"/><Relationship Id="rId146" Type="http://schemas.openxmlformats.org/officeDocument/2006/relationships/hyperlink" Target="https://doi.org/10.1109/IRI.2019.00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D1921-F052-A34D-812F-818506AF5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75</Pages>
  <Words>22657</Words>
  <Characters>129151</Characters>
  <Application>Microsoft Office Word</Application>
  <DocSecurity>0</DocSecurity>
  <Lines>1076</Lines>
  <Paragraphs>303</Paragraphs>
  <ScaleCrop>false</ScaleCrop>
  <HeadingPairs>
    <vt:vector size="2" baseType="variant">
      <vt:variant>
        <vt:lpstr>Title</vt:lpstr>
      </vt:variant>
      <vt:variant>
        <vt:i4>1</vt:i4>
      </vt:variant>
    </vt:vector>
  </HeadingPairs>
  <TitlesOfParts>
    <vt:vector size="1" baseType="lpstr">
      <vt:lpstr>SkyFare — Chapter 1: Introduction</vt:lpstr>
    </vt:vector>
  </TitlesOfParts>
  <Company/>
  <LinksUpToDate>false</LinksUpToDate>
  <CharactersWithSpaces>151505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and Results</dc:title>
  <dc:creator>Final-year research report</dc:creator>
  <cp:lastModifiedBy>Nguyen Quy</cp:lastModifiedBy>
  <cp:revision>5</cp:revision>
  <dcterms:created xsi:type="dcterms:W3CDTF">2026-08-01T10:00:00Z</dcterms:created>
  <dcterms:modified xsi:type="dcterms:W3CDTF">2026-08-01T14:10:00Z</dcterms:modified>
  <dc:subject>Prospective evaluation of airfare forecasting and purchase-timing models</dc:subject>
</cp:coreProperties>
</file>