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HackerOne Program Application</w:t>
      </w:r>
    </w:p>
    <w:p>
      <w:pPr>
        <w:pStyle w:val="Subtitle"/>
      </w:pPr>
      <w:r>
        <w:t xml:space="preserve">VSP</w:t>
      </w:r>
      <w:r>
        <w:t xml:space="preserve"> </w:t>
      </w:r>
      <w:r>
        <w:t xml:space="preserve">Bug</w:t>
      </w:r>
      <w:r>
        <w:t xml:space="preserve"> </w:t>
      </w:r>
      <w:r>
        <w:t xml:space="preserve">Bounty</w:t>
      </w:r>
      <w:r>
        <w:t xml:space="preserve"> </w:t>
      </w:r>
      <w:r>
        <w:t xml:space="preserve">Program</w:t>
      </w:r>
      <w:r>
        <w:t xml:space="preserve"> </w:t>
      </w:r>
      <w:r>
        <w:t xml:space="preserve">—</w:t>
      </w:r>
      <w:r>
        <w:t xml:space="preserve"> </w:t>
      </w:r>
      <w:r>
        <w:t xml:space="preserve">pre-filled</w:t>
      </w:r>
      <w:r>
        <w:t xml:space="preserve"> </w:t>
      </w:r>
      <w:r>
        <w:t xml:space="preserve">application</w:t>
      </w:r>
      <w:r>
        <w:t xml:space="preserve"> </w:t>
      </w:r>
      <w:r>
        <w:t xml:space="preserve">content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Security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bookmarkStart w:id="22" w:name="application-overview"/>
    <w:p>
      <w:pPr>
        <w:pStyle w:val="Heading1"/>
      </w:pPr>
      <w:r>
        <w:t xml:space="preserve">1. Application overview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Cs/>
          <w:b/>
        </w:rPr>
        <w:t xml:space="preserve">pre-filled content</w:t>
      </w:r>
      <w:r>
        <w:t xml:space="preserve"> </w:t>
      </w:r>
      <w:r>
        <w:t xml:space="preserve">to paste into the HackerOne</w:t>
      </w:r>
      <w:r>
        <w:t xml:space="preserve"> </w:t>
      </w:r>
      <w:r>
        <w:t xml:space="preserve">Customer onboarding form at</w:t>
      </w:r>
      <w:r>
        <w:t xml:space="preserve"> </w:t>
      </w:r>
      <w:r>
        <w:rPr>
          <w:rStyle w:val="VerbatimChar"/>
        </w:rPr>
        <w:t xml:space="preserve">https://hackerone.com/start</w:t>
      </w:r>
      <w:r>
        <w:t xml:space="preserve">. It</w:t>
      </w:r>
      <w:r>
        <w:t xml:space="preserve"> </w:t>
      </w:r>
      <w:r>
        <w:t xml:space="preserve">mirrors VSP’s already-published Vulnerability Disclosure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docs/security/VULNERABILITY_DISCLOSURE_POLICY.md</w:t>
      </w:r>
      <w:r>
        <w:t xml:space="preserve">) so the program</w:t>
      </w:r>
      <w:r>
        <w:t xml:space="preserve"> </w:t>
      </w:r>
      <w:r>
        <w:t xml:space="preserve">launch is immediate.</w:t>
      </w:r>
    </w:p>
    <w:p>
      <w:pPr>
        <w:pStyle w:val="BodyText"/>
      </w:pPr>
      <w:r>
        <w:rPr>
          <w:bCs/>
          <w:b/>
        </w:rPr>
        <w:t xml:space="preserve">Alternative platforms</w:t>
      </w:r>
      <w:r>
        <w:t xml:space="preserve"> </w:t>
      </w:r>
      <w:r>
        <w:t xml:space="preserve">(use same content, different signup form):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Intigriti</w:t>
        </w:r>
      </w:hyperlink>
      <w:r>
        <w:t xml:space="preserve"> </w:t>
      </w:r>
      <w:r>
        <w:t xml:space="preserve">— EU-headquartered alternative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Bugcrowd</w:t>
        </w:r>
      </w:hyperlink>
      <w:r>
        <w:t xml:space="preserve"> </w:t>
      </w:r>
      <w:r>
        <w:t xml:space="preserve">— US alternative</w:t>
      </w:r>
    </w:p>
    <w:p>
      <w:pPr>
        <w:pStyle w:val="FirstParagraph"/>
      </w:pPr>
      <w:r>
        <w:t xml:space="preserve">Recommend HackerOne as primary; Intigriti has stronger EU coverage</w:t>
      </w:r>
      <w:r>
        <w:t xml:space="preserve"> </w:t>
      </w:r>
      <w:r>
        <w:t xml:space="preserve">and is the preferred platform for the EU-customer NIS2 attestation</w:t>
      </w:r>
      <w:r>
        <w:t xml:space="preserve"> </w:t>
      </w:r>
      <w:r>
        <w:t xml:space="preserve">narrative.</w:t>
      </w:r>
    </w:p>
    <w:bookmarkEnd w:id="22"/>
    <w:bookmarkStart w:id="23" w:name="company-profile"/>
    <w:p>
      <w:pPr>
        <w:pStyle w:val="Heading1"/>
      </w:pPr>
      <w:r>
        <w:t xml:space="preserve">2. Company profile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 — Vietnam Security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security / DevSecOps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https://vsp.vn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founded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2024</w:t>
            </w:r>
            <w:r>
              <w:t xml:space="preserve"> </w:t>
            </w:r>
            <w:r>
              <w:t xml:space="preserve">(adjust per 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&lt;50</w:t>
            </w:r>
            <w:r>
              <w:t xml:space="preserve"> </w:t>
            </w:r>
            <w:r>
              <w:t xml:space="preserve">(adjust per 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&lt;$10M ARR</w:t>
            </w:r>
            <w:r>
              <w:t xml:space="preserve"> </w:t>
            </w:r>
            <w:r>
              <w:t xml:space="preserve">(adjust per 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security@vsp.vn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security-triage@vsp.vn</w:t>
            </w:r>
          </w:p>
        </w:tc>
      </w:tr>
    </w:tbl>
    <w:bookmarkEnd w:id="23"/>
    <w:bookmarkStart w:id="24" w:name="program-type"/>
    <w:p>
      <w:pPr>
        <w:pStyle w:val="Heading1"/>
      </w:pPr>
      <w:r>
        <w:t xml:space="preserve">3. Program type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(recommended) — researchers can sign up and submit reports</w:t>
      </w:r>
      <w:r>
        <w:t xml:space="preserve"> </w:t>
      </w:r>
      <w:r>
        <w:t xml:space="preserve">without VSP-side approval.</w:t>
      </w:r>
    </w:p>
    <w:p>
      <w:pPr>
        <w:pStyle w:val="BodyText"/>
      </w:pPr>
      <w:r>
        <w:t xml:space="preserve">If launching cautiously, start as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for 30 days (selective</w:t>
      </w:r>
      <w:r>
        <w:t xml:space="preserve"> </w:t>
      </w:r>
      <w:r>
        <w:t xml:space="preserve">researchers only) then flip to public.</w:t>
      </w:r>
    </w:p>
    <w:bookmarkEnd w:id="24"/>
    <w:bookmarkStart w:id="25" w:name="asset-scope-in-scope"/>
    <w:p>
      <w:pPr>
        <w:pStyle w:val="Heading1"/>
      </w:pPr>
      <w:r>
        <w:t xml:space="preserve">4. Asset scope (in-scope)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https://app.vsp.vn/*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https://staging.vsp.vn/*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https://api.vsp.vn/api/v1/*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clients (when published)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/ Android (TBD)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ghcr.io/vsp/*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github.com/vsp-platform/vsp</w:t>
            </w:r>
          </w:p>
        </w:tc>
      </w:tr>
    </w:tbl>
    <w:bookmarkEnd w:id="25"/>
    <w:bookmarkStart w:id="26" w:name="out-of-scope"/>
    <w:p>
      <w:pPr>
        <w:pStyle w:val="Heading1"/>
      </w:pPr>
      <w:r>
        <w:t xml:space="preserve">5. Out-of-scope</w:t>
      </w:r>
    </w:p>
    <w:p>
      <w:pPr>
        <w:pStyle w:val="FirstParagraph"/>
      </w:pPr>
      <w:r>
        <w:t xml:space="preserve">Copy-paste from</w:t>
      </w:r>
      <w:r>
        <w:t xml:space="preserve"> </w:t>
      </w:r>
      <w:r>
        <w:rPr>
          <w:rStyle w:val="VerbatimChar"/>
        </w:rPr>
        <w:t xml:space="preserve">docs/security/VULNERABILITY_DISCLOSURE_POLICY.md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Third-party services we integrate with (Stripe, Sentry, etc.) —</w:t>
      </w:r>
      <w:r>
        <w:t xml:space="preserve"> </w:t>
      </w:r>
      <w:r>
        <w:t xml:space="preserve">report to them directly</w:t>
      </w:r>
    </w:p>
    <w:p>
      <w:pPr>
        <w:numPr>
          <w:ilvl w:val="0"/>
          <w:numId w:val="1002"/>
        </w:numPr>
        <w:pStyle w:val="Compact"/>
      </w:pPr>
      <w:r>
        <w:t xml:space="preserve">Findings dependent on physical access, social engineering, or</w:t>
      </w:r>
      <w:r>
        <w:t xml:space="preserve"> </w:t>
      </w:r>
      <w:r>
        <w:t xml:space="preserve">insider threat</w:t>
      </w:r>
    </w:p>
    <w:p>
      <w:pPr>
        <w:numPr>
          <w:ilvl w:val="0"/>
          <w:numId w:val="1002"/>
        </w:numPr>
        <w:pStyle w:val="Compact"/>
      </w:pPr>
      <w:r>
        <w:t xml:space="preserve">Self-XSS, missing security headers without exploit, descriptive</w:t>
      </w:r>
      <w:r>
        <w:t xml:space="preserve"> </w:t>
      </w:r>
      <w:r>
        <w:t xml:space="preserve">error messages</w:t>
      </w:r>
    </w:p>
    <w:p>
      <w:pPr>
        <w:numPr>
          <w:ilvl w:val="0"/>
          <w:numId w:val="1002"/>
        </w:numPr>
        <w:pStyle w:val="Compact"/>
      </w:pPr>
      <w:r>
        <w:t xml:space="preserve">Denial-of-service attacks against production</w:t>
      </w:r>
    </w:p>
    <w:p>
      <w:pPr>
        <w:numPr>
          <w:ilvl w:val="0"/>
          <w:numId w:val="1002"/>
        </w:numPr>
        <w:pStyle w:val="Compact"/>
      </w:pPr>
      <w:r>
        <w:t xml:space="preserve">Spam / phishing of VSP staff</w:t>
      </w:r>
    </w:p>
    <w:bookmarkEnd w:id="26"/>
    <w:bookmarkStart w:id="27" w:name="sla-commitments"/>
    <w:p>
      <w:pPr>
        <w:pStyle w:val="Heading1"/>
      </w:pPr>
      <w:r>
        <w:t xml:space="preserve">6. SLA commitments</w:t>
      </w:r>
    </w:p>
    <w:p>
      <w:pPr>
        <w:pStyle w:val="FirstParagraph"/>
      </w:pPr>
      <w:r>
        <w:t xml:space="preserve">These match the VDP we’ve already published.</w:t>
      </w:r>
      <w:r>
        <w:t xml:space="preserve"> </w:t>
      </w:r>
      <w:r>
        <w:rPr>
          <w:bCs/>
          <w:b/>
        </w:rPr>
        <w:t xml:space="preserve">DO NOT relax these</w:t>
      </w:r>
      <w:r>
        <w:rPr>
          <w:bCs/>
          <w:b/>
        </w:rPr>
        <w:t xml:space="preserve"> </w:t>
      </w:r>
      <w:r>
        <w:rPr>
          <w:bCs/>
          <w:b/>
        </w:rPr>
        <w:t xml:space="preserve">on the HackerOne form</w:t>
      </w:r>
      <w:r>
        <w:t xml:space="preserve"> </w:t>
      </w:r>
      <w:r>
        <w:t xml:space="preserve">— researchers will use them in disputes.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Disclosure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triage</w:t>
            </w:r>
          </w:p>
        </w:tc>
      </w:tr>
    </w:tbl>
    <w:bookmarkEnd w:id="27"/>
    <w:bookmarkStart w:id="28" w:name="bounty-rewards"/>
    <w:p>
      <w:pPr>
        <w:pStyle w:val="Heading1"/>
      </w:pPr>
      <w:r>
        <w:t xml:space="preserve">7. Bounty rewards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v3.1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Bounty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9.0–10.0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$2,000–$5,000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7.0–8.9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$500–$1,500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4.0–6.9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$100–$500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Anti-collusion rules:</w:t>
      </w:r>
      <w:r>
        <w:t xml:space="preserve"> </w:t>
      </w:r>
      <w:r>
        <w:t xml:space="preserve">- Bounty paid only to first valid reporter</w:t>
      </w:r>
      <w:r>
        <w:t xml:space="preserve"> </w:t>
      </w:r>
      <w:r>
        <w:t xml:space="preserve">- Duplicates within 7 days = first reporter only</w:t>
      </w:r>
      <w:r>
        <w:t xml:space="preserve"> </w:t>
      </w:r>
      <w:r>
        <w:t xml:space="preserve">- Reports already triaged through</w:t>
      </w:r>
      <w:r>
        <w:t xml:space="preserve"> </w:t>
      </w:r>
      <w:r>
        <w:rPr>
          <w:rStyle w:val="VerbatimChar"/>
        </w:rPr>
        <w:t xml:space="preserve">/api/v1/security/disclose</w:t>
      </w:r>
      <w:r>
        <w:t xml:space="preserve"> </w:t>
      </w:r>
      <w:r>
        <w:t xml:space="preserve">intake do not qualify (we count those as internal)</w:t>
      </w:r>
    </w:p>
    <w:bookmarkEnd w:id="28"/>
    <w:bookmarkStart w:id="29" w:name="safe-harbour"/>
    <w:p>
      <w:pPr>
        <w:pStyle w:val="Heading1"/>
      </w:pPr>
      <w:r>
        <w:t xml:space="preserve">8. Safe harbour</w:t>
      </w:r>
    </w:p>
    <w:p>
      <w:pPr>
        <w:pStyle w:val="FirstParagraph"/>
      </w:pPr>
      <w:r>
        <w:t xml:space="preserve">Standard ISO/IEC 29147 safe-harbour text — copy from VDP §</w:t>
      </w:r>
      <w:r>
        <w:t xml:space="preserve">“</w:t>
      </w:r>
      <w:r>
        <w:t xml:space="preserve">Safe</w:t>
      </w:r>
      <w:r>
        <w:t xml:space="preserve"> </w:t>
      </w:r>
      <w:r>
        <w:t xml:space="preserve">Harbour</w:t>
      </w:r>
      <w:r>
        <w:t xml:space="preserve">”</w:t>
      </w:r>
      <w:r>
        <w:t xml:space="preserve">:</w:t>
      </w:r>
    </w:p>
    <w:p>
      <w:pPr>
        <w:pStyle w:val="BlockText"/>
      </w:pPr>
      <w:r>
        <w:t xml:space="preserve">We will not pursue civil or criminal action against researchers</w:t>
      </w:r>
      <w:r>
        <w:t xml:space="preserve"> </w:t>
      </w:r>
      <w:r>
        <w:t xml:space="preserve">who:</w:t>
      </w:r>
    </w:p>
    <w:p>
      <w:pPr>
        <w:numPr>
          <w:ilvl w:val="0"/>
          <w:numId w:val="1003"/>
        </w:numPr>
        <w:pStyle w:val="Compact"/>
      </w:pPr>
      <w:r>
        <w:t xml:space="preserve">Comply with this policy</w:t>
      </w:r>
    </w:p>
    <w:p>
      <w:pPr>
        <w:numPr>
          <w:ilvl w:val="0"/>
          <w:numId w:val="1003"/>
        </w:numPr>
        <w:pStyle w:val="Compact"/>
      </w:pPr>
      <w:r>
        <w:t xml:space="preserve">Avoid privacy violations, data destruction, and service</w:t>
      </w:r>
      <w:r>
        <w:t xml:space="preserve"> </w:t>
      </w:r>
      <w:r>
        <w:t xml:space="preserve">disruption</w:t>
      </w:r>
    </w:p>
    <w:p>
      <w:pPr>
        <w:numPr>
          <w:ilvl w:val="0"/>
          <w:numId w:val="1003"/>
        </w:numPr>
        <w:pStyle w:val="Compact"/>
      </w:pPr>
      <w:r>
        <w:t xml:space="preserve">Do not access more data than necessary to demonstrate the issue</w:t>
      </w:r>
    </w:p>
    <w:p>
      <w:pPr>
        <w:numPr>
          <w:ilvl w:val="0"/>
          <w:numId w:val="1003"/>
        </w:numPr>
        <w:pStyle w:val="Compact"/>
      </w:pPr>
      <w:r>
        <w:t xml:space="preserve">Give us reasonable time to remediate before public disclosure</w:t>
      </w:r>
    </w:p>
    <w:bookmarkEnd w:id="29"/>
    <w:bookmarkStart w:id="30" w:name="triage-workflow-integration"/>
    <w:p>
      <w:pPr>
        <w:pStyle w:val="Heading1"/>
      </w:pPr>
      <w:r>
        <w:t xml:space="preserve">9. Triage workflow integration</w:t>
      </w:r>
    </w:p>
    <w:p>
      <w:pPr>
        <w:pStyle w:val="FirstParagraph"/>
      </w:pPr>
      <w:r>
        <w:t xml:space="preserve">VSP intake endpoint:</w:t>
      </w:r>
      <w:r>
        <w:t xml:space="preserve"> </w:t>
      </w:r>
      <w:r>
        <w:rPr>
          <w:rStyle w:val="VerbatimChar"/>
          <w:bCs/>
          <w:b/>
        </w:rPr>
        <w:t xml:space="preserve">POST /api/v1/security/disclose</w:t>
      </w:r>
      <w:r>
        <w:t xml:space="preserve">.</w:t>
      </w:r>
    </w:p>
    <w:p>
      <w:pPr>
        <w:pStyle w:val="BodyText"/>
      </w:pPr>
      <w:r>
        <w:t xml:space="preserve">Configure HackerOne to forward submissions to this endpoint via</w:t>
      </w:r>
      <w:r>
        <w:t xml:space="preserve"> </w:t>
      </w:r>
      <w:r>
        <w:t xml:space="preserve">their</w:t>
      </w:r>
      <w:r>
        <w:t xml:space="preserve"> </w:t>
      </w:r>
      <w:r>
        <w:rPr>
          <w:bCs/>
          <w:b/>
        </w:rPr>
        <w:t xml:space="preserve">Custom Webhook</w:t>
      </w:r>
      <w:r>
        <w:t xml:space="preserve"> </w:t>
      </w:r>
      <w:r>
        <w:t xml:space="preserve">integration. The endpoint expects: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title (≤200 chars)"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report (Markdown OK, ≤64k)"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 / 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"cvss_v3"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Our backend automatically:</w:t>
      </w:r>
      <w:r>
        <w:t xml:space="preserve"> </w:t>
      </w:r>
      <w:r>
        <w:t xml:space="preserve">- Computes ack-due / triage-due timestamps from VDP SLAs</w:t>
      </w:r>
      <w:r>
        <w:t xml:space="preserve"> </w:t>
      </w:r>
      <w:r>
        <w:t xml:space="preserve">- Generates public reference</w:t>
      </w:r>
      <w:r>
        <w:t xml:space="preserve"> </w:t>
      </w:r>
      <w:r>
        <w:rPr>
          <w:rStyle w:val="VerbatimChar"/>
        </w:rPr>
        <w:t xml:space="preserve">VSP-VDR-YYYY-NNNN</w:t>
      </w:r>
      <w:r>
        <w:t xml:space="preserve"> </w:t>
      </w:r>
      <w:r>
        <w:t xml:space="preserve">after acknowledgement</w:t>
      </w:r>
      <w:r>
        <w:t xml:space="preserve"> </w:t>
      </w:r>
      <w:r>
        <w:t xml:space="preserve">- Routes to security@vsp.vn for triage assignment</w:t>
      </w:r>
      <w:r>
        <w:t xml:space="preserve"> </w:t>
      </w:r>
      <w:r>
        <w:t xml:space="preserve">- Audit-logs every state transition</w:t>
      </w:r>
    </w:p>
    <w:bookmarkEnd w:id="30"/>
    <w:bookmarkStart w:id="31" w:name="launch-checklist-pre-public"/>
    <w:p>
      <w:pPr>
        <w:pStyle w:val="Heading1"/>
      </w:pPr>
      <w:r>
        <w:t xml:space="preserve">10. Launch checklist (pre-public)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08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HackerOne private program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researcher private invitations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rotation calendar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valid report processed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Bounty payment processor verified (wire / Stripe)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 to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/trust/</w:t>
            </w:r>
            <w:r>
              <w:t xml:space="preserve"> </w:t>
            </w:r>
            <w:r>
              <w:t xml:space="preserve">Trust Center with HackerOne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/.well-known/security.txt</w:t>
            </w:r>
            <w:r>
              <w:t xml:space="preserve"> </w:t>
            </w:r>
            <w:r>
              <w:t xml:space="preserve">Contact: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quarterly report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Q3</w:t>
            </w:r>
          </w:p>
        </w:tc>
      </w:tr>
    </w:tbl>
    <w:bookmarkEnd w:id="31"/>
    <w:bookmarkStart w:id="32" w:name="budget-alignment"/>
    <w:p>
      <w:pPr>
        <w:pStyle w:val="Heading1"/>
      </w:pPr>
      <w:r>
        <w:t xml:space="preserve">11. Budget alignment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docs/outreach/02_CFO_BUDGET_MEMO.md</w:t>
      </w:r>
      <w:r>
        <w:t xml:space="preserve"> </w:t>
      </w:r>
      <w:r>
        <w:t xml:space="preserve">§5:</w:t>
      </w:r>
      <w:r>
        <w:t xml:space="preserve"> </w:t>
      </w:r>
      <w:r>
        <w:rPr>
          <w:bCs/>
          <w:b/>
        </w:rPr>
        <w:t xml:space="preserve">$5,000–$15,000 per</w:t>
      </w:r>
      <w:r>
        <w:rPr>
          <w:bCs/>
          <w:b/>
        </w:rPr>
        <w:t xml:space="preserve"> </w:t>
      </w:r>
      <w:r>
        <w:rPr>
          <w:bCs/>
          <w:b/>
        </w:rPr>
        <w:t xml:space="preserve">quarter</w:t>
      </w:r>
      <w:r>
        <w:t xml:space="preserve"> </w:t>
      </w:r>
      <w:r>
        <w:t xml:space="preserve">($20k–$60k/year).</w:t>
      </w:r>
    </w:p>
    <w:p>
      <w:pPr>
        <w:pStyle w:val="BodyText"/>
      </w:pPr>
      <w:r>
        <w:t xml:space="preserve">Within that envelope, expect:</w:t>
      </w:r>
    </w:p>
    <w:p>
      <w:pPr>
        <w:numPr>
          <w:ilvl w:val="0"/>
          <w:numId w:val="1004"/>
        </w:numPr>
        <w:pStyle w:val="Compact"/>
      </w:pPr>
      <w:r>
        <w:t xml:space="preserve">Platform fee: $5,000–$10,000/quarter (HackerOne tiered)</w:t>
      </w:r>
    </w:p>
    <w:p>
      <w:pPr>
        <w:numPr>
          <w:ilvl w:val="0"/>
          <w:numId w:val="1004"/>
        </w:numPr>
        <w:pStyle w:val="Compact"/>
      </w:pPr>
      <w:r>
        <w:t xml:space="preserve">Bounty payouts: $1,000–$5,000/quarter (first 2 quarters; scales with</w:t>
      </w:r>
      <w:r>
        <w:t xml:space="preserve"> </w:t>
      </w:r>
      <w:r>
        <w:t xml:space="preserve">program maturity)</w:t>
      </w:r>
    </w:p>
    <w:p>
      <w:pPr>
        <w:numPr>
          <w:ilvl w:val="0"/>
          <w:numId w:val="1004"/>
        </w:numPr>
        <w:pStyle w:val="Compact"/>
      </w:pPr>
      <w:r>
        <w:t xml:space="preserve">Triage time (internal): security team allocates ~20% of one FTE</w:t>
      </w:r>
    </w:p>
    <w:bookmarkEnd w:id="32"/>
    <w:bookmarkStart w:id="33" w:name="submission"/>
    <w:p>
      <w:pPr>
        <w:pStyle w:val="Heading1"/>
      </w:pPr>
      <w:r>
        <w:t xml:space="preserve">12. Submission</w:t>
      </w:r>
    </w:p>
    <w:p>
      <w:pPr>
        <w:pStyle w:val="FirstParagraph"/>
      </w:pPr>
      <w:r>
        <w:t xml:space="preserve">After CFO approves the $250k Q3 budget:</w:t>
      </w:r>
    </w:p>
    <w:p>
      <w:pPr>
        <w:numPr>
          <w:ilvl w:val="0"/>
          <w:numId w:val="1005"/>
        </w:numPr>
        <w:pStyle w:val="Compact"/>
      </w:pPr>
      <w:r>
        <w:t xml:space="preserve">CISO logs into HackerOne and creates the program (15 minutes)</w:t>
      </w:r>
    </w:p>
    <w:p>
      <w:pPr>
        <w:numPr>
          <w:ilvl w:val="0"/>
          <w:numId w:val="1005"/>
        </w:numPr>
        <w:pStyle w:val="Compact"/>
      </w:pPr>
      <w:r>
        <w:t xml:space="preserve">Pastes content from §2-§9 of this document</w:t>
      </w:r>
    </w:p>
    <w:p>
      <w:pPr>
        <w:numPr>
          <w:ilvl w:val="0"/>
          <w:numId w:val="1005"/>
        </w:numPr>
        <w:pStyle w:val="Compact"/>
      </w:pPr>
      <w:r>
        <w:t xml:space="preserve">Connects payment via Stripe / wire</w:t>
      </w:r>
    </w:p>
    <w:p>
      <w:pPr>
        <w:numPr>
          <w:ilvl w:val="0"/>
          <w:numId w:val="1005"/>
        </w:numPr>
        <w:pStyle w:val="Compact"/>
      </w:pPr>
      <w:r>
        <w:t xml:space="preserve">Sends 5 private invitations to vetted researchers</w:t>
      </w:r>
    </w:p>
    <w:p>
      <w:pPr>
        <w:numPr>
          <w:ilvl w:val="0"/>
          <w:numId w:val="1005"/>
        </w:numPr>
        <w:pStyle w:val="Compact"/>
      </w:pPr>
      <w:r>
        <w:t xml:space="preserve">After 30 days, flips to public + announces on</w:t>
      </w:r>
      <w:r>
        <w:t xml:space="preserve"> </w:t>
      </w:r>
      <w:r>
        <w:rPr>
          <w:rStyle w:val="VerbatimChar"/>
        </w:rPr>
        <w:t xml:space="preserve">/trust/</w:t>
      </w:r>
      <w:r>
        <w:t xml:space="preserve"> </w:t>
      </w:r>
      <w:r>
        <w:t xml:space="preserve">+ Twitter</w:t>
      </w:r>
    </w:p>
    <w:p>
      <w:pPr>
        <w:numPr>
          <w:ilvl w:val="1"/>
          <w:numId w:val="1006"/>
        </w:numPr>
        <w:pStyle w:val="Compact"/>
      </w:pPr>
      <w:r>
        <w:t xml:space="preserve">Vietnamese tech community channels</w:t>
      </w:r>
    </w:p>
    <w:p>
      <w:pPr>
        <w:pStyle w:val="FirstParagraph"/>
      </w:pPr>
      <w:r>
        <w:rPr>
          <w:bCs/>
          <w:b/>
        </w:rPr>
        <w:t xml:space="preserve">Total elapsed time from CFO signoff to public launch: ~35 days.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bugcrowd.com/" TargetMode="External" /><Relationship Type="http://schemas.openxmlformats.org/officeDocument/2006/relationships/hyperlink" Id="rId20" Target="https://www.intigriti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bugcrowd.com/" TargetMode="External" /><Relationship Type="http://schemas.openxmlformats.org/officeDocument/2006/relationships/hyperlink" Id="rId20" Target="https://www.intigriti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HackerOne Program Application</dc:title>
  <dc:creator>VSP Security</dc:creator>
  <cp:keywords/>
  <dcterms:created xsi:type="dcterms:W3CDTF">2026-05-08T07:25:37Z</dcterms:created>
  <dcterms:modified xsi:type="dcterms:W3CDTF">2026-05-08T07:25:37Z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May 2026</vt:lpwstr>
  </property>
  <property fmtid="{D5CDD505-2E9C-101B-9397-08002B2CF9AE}" pid="3" name="subtitle">
    <vt:lpwstr>VSP Bug Bounty Program — pre-filled application content</vt:lpwstr>
  </property>
</Properties>
</file>