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Làm việc chỉn chu để làm gì? Trước hết là vì ai?</w:t>
      </w:r>
    </w:p>
    <w:p w:rsidR="00000000" w:rsidDel="00000000" w:rsidP="00000000" w:rsidRDefault="00000000" w:rsidRPr="00000000" w14:paraId="00000002">
      <w:pPr>
        <w:rPr/>
      </w:pPr>
      <w:r w:rsidDel="00000000" w:rsidR="00000000" w:rsidRPr="00000000">
        <w:rPr>
          <w:rtl w:val="0"/>
        </w:rPr>
        <w:t xml:space="preserve">Trước hết là vì mình, để mình ko bị ngộp lặn trong 1 mớ bòng bong, để mình làm chủ được công việc của mình, để mình đứng từ trên bao quát xuống toàn bộ dự án, đặt mình ra khỏi dự án, và nhìn vào dự án của chính mình, để xem dự án đang chạy như thế nào, ở đâu đã ổn, ở đâu chưa tốt, mình cần làm gì để tốt hơn, cho mọi người có thể thể hiện được năng lực của mọi người và cùng nhau làm việc chill chill mà hiệu suất như mong muốn.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