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p>
      <w:pPr>
        <w:pStyle w:val="FirstParagraph"/>
      </w:pPr>
      <w:r>
        <w:rPr>
          <w:b/>
          <w:bCs/>
        </w:rPr>
        <w:t xml:space="preserve">Block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Nghia Van Trong ·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2026-09-23</w:t>
      </w:r>
    </w:p>
    <w:p>
      <w:pPr>
        <w:pStyle w:val="BodyText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reduction.</w:t>
      </w:r>
    </w:p>
    <w:p>
      <w:pPr>
        <w:pStyle w:val="BodyText"/>
      </w:pPr>
      <w:r>
        <w:t xml:space="preserve">Why the specification says what it says — the two designs that were dropped, the</w:t>
      </w:r>
      <w:r>
        <w:t xml:space="preserve"> </w:t>
      </w:r>
      <w:r>
        <w:t xml:space="preserve">evidence read out of Ibex, the questions that closed —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p>
      <w:r>
        <w:pict>
          <v:rect style="width:0;height:1.5pt" o:hralign="center" o:hrstd="t" o:hr="t"/>
        </w:pict>
      </w:r>
    </w:p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only: 1284 lines to 327.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. Tables in 7.2, 7.3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groups the interrupt sources of fourteen blocks onto the CPU’s fast</w:t>
      </w:r>
      <w:r>
        <w:t xml:space="preserve"> </w:t>
      </w:r>
      <w:r>
        <w:t xml:space="preserve">interrupt lines, one line per peripheral, and passes the watchdog bark straight</w:t>
      </w:r>
      <w:r>
        <w:t xml:space="preserve"> </w:t>
      </w:r>
      <w:r>
        <w:t xml:space="preserve">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2026-09-23T06:24:00Z</dcterms:created>
  <dcterms:modified xsi:type="dcterms:W3CDTF">2026-09-23T06:24:00Z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