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p>
      <w:r>
        <w:br w:type="page"/>
      </w:r>
    </w:p>
    <w:sdt>
      <w:sdtPr>
        <w:docPartObj>
          <w:docPartGallery w:val="Table of Contents"/>
          <w:docPartUnique/>
        </w:docPartObj>
      </w:sdtPr>
      <w:sdtContent>
        <w:p>
          <w:pPr>
            <w:pStyle w:val="TOCHeading"/>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RAM sits in QSOC</w:t>
          </w:r>
        </w:p>
        <w:p>
          <w:pPr>
            <w:pStyle w:val="TOC1"/>
            <w:ind w:left="180"/>
            <w:jc w:val="left"/>
          </w:pPr>
          <w:r>
            <w:t xml:space="preserve">Figure 3-1. Figure 2 – The AXI4 SRAM controller and its macro</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3-1. 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V1.9</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b/>
      <w:bCs/>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2026-09-23T06:23:59Z</dcterms:created>
  <dcterms:modified xsi:type="dcterms:W3CDTF">2026-09-23T06:23:59Z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