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 it groups the sources of twelve</w:t>
      </w:r>
      <w:r>
        <w:t xml:space="preserve"> </w:t>
      </w:r>
      <w:r>
        <w:t xml:space="preserve">peripherals, in eight blocks, onto the core’s fast interrupt lines, one line per peripheral, and passes</w:t>
      </w:r>
      <w:r>
        <w:t xml:space="preserve"> </w:t>
      </w:r>
      <w:r>
        <w:t xml:space="preserve">the watchdog bark straight 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|i_int_spi_device;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i_int_wdt_wakeup;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t xml:space="preserve">is the index of the wire in</w:t>
      </w:r>
      <w:r>
        <w:t xml:space="preserve"> </w:t>
      </w:r>
      <w:r>
        <w:rPr>
          <w:rStyle w:val="VerbatimChar"/>
        </w:rPr>
        <w:t xml:space="preserve">irq_fast_i[14:0]</w:t>
      </w:r>
      <w:r>
        <w:t xml:space="preserve">, the fifteen-bit input</w:t>
      </w:r>
      <w:r>
        <w:t xml:space="preserve"> </w:t>
      </w:r>
      <w:r>
        <w:t xml:space="preserve">port on the core. Line 3 means</w:t>
      </w:r>
      <w:r>
        <w:t xml:space="preserve"> </w:t>
      </w:r>
      <w:r>
        <w:rPr>
          <w:rStyle w:val="VerbatimChar"/>
        </w:rPr>
        <w:t xml:space="preserve">irq_fast_i[3]</w:t>
      </w:r>
      <w:r>
        <w:t xml:space="preserve">, nothing more. The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priority: Ibex resolves the lowest index first, so this table fixes the default</w:t>
      </w:r>
      <w:r>
        <w:t xml:space="preserve"> </w:t>
      </w:r>
      <w:r>
        <w:t xml:space="preserve">priority order as well as the wiring, and changing it requires re-synthesis.</w:t>
      </w:r>
    </w:p>
    <w:p>
      <w:pPr>
        <w:pStyle w:val="BodyText"/>
      </w:pPr>
      <w:r>
        <w:rPr>
          <w:rStyle w:val="VerbatimChar"/>
          <w:b/>
          <w:bCs/>
        </w:rPr>
        <w:t xml:space="preserve">mcause</w:t>
      </w:r>
      <w:r>
        <w:t xml:space="preserve"> </w:t>
      </w:r>
      <w:r>
        <w:t xml:space="preserve">is the CSR the core writes when it traps, so firmware can read it and</w:t>
      </w:r>
      <w:r>
        <w:t xml:space="preserve"> </w:t>
      </w:r>
      <w:r>
        <w:t xml:space="preserve">find out why. For 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because Ibex maps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mip</w:t>
      </w:r>
      <w:r>
        <w:t xml:space="preserve">/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 to 30 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 It is the same number as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the</w:t>
      </w:r>
      <w:r>
        <w:t xml:space="preserve"> </w:t>
      </w:r>
      <w:r>
        <w:t xml:space="preserve">line, so one number serves both purposes: write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20 to enable UART0, and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20 to learn UART0 was what interrupted.</w:t>
      </w:r>
    </w:p>
    <w:p>
      <w:pPr>
        <w:pStyle w:val="BodyText"/>
      </w:pPr>
      <w:r>
        <w:rPr>
          <w:b/>
          <w:bCs/>
        </w:rPr>
        <w:t xml:space="preserve">Vector</w:t>
      </w:r>
      <w:r>
        <w:t xml:space="preserve"> </w:t>
      </w:r>
      <w:r>
        <w:t xml:space="preserve">is where the core jumps.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permanently vectored, so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 </w:t>
      </w:r>
      <w:r>
        <w:t xml:space="preserve">– the core reaches the peripheral’s handler</w:t>
      </w:r>
      <w:r>
        <w:t xml:space="preserve"> </w:t>
      </w:r>
      <w:r>
        <w:t xml:space="preserve">directly, with no dispatch code and no register read on the way.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ast interrupt line assignmen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Start w:id="41" w:name="a-gated-peripheral-holds-its-line"/>
    <w:p>
      <w:pPr>
        <w:pStyle w:val="Heading2"/>
      </w:pPr>
      <w:r>
        <w:t xml:space="preserve">7.6 A gated peripheral holds its line</w:t>
      </w:r>
    </w:p>
    <w:p>
      <w:pPr>
        <w:pStyle w:val="FirstParagraph"/>
      </w:pPr>
      <w:r>
        <w:t xml:space="preserve">All ten interrupt-producing peripheral blocks are in the</w:t>
      </w:r>
      <w:r>
        <w:t xml:space="preserve"> </w:t>
      </w:r>
      <w:r>
        <w:rPr>
          <w:rStyle w:val="VerbatimChar"/>
          <w:b/>
          <w:bCs/>
        </w:rPr>
        <w:t xml:space="preserve">peri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may stop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Stopping a clock</w:t>
      </w:r>
      <w:r>
        <w:t xml:space="preserve"> </w:t>
      </w:r>
      <w:r>
        <w:rPr>
          <w:b/>
          <w:bCs/>
        </w:rPr>
        <w:t xml:space="preserve">retains flip-flop state</w:t>
      </w:r>
      <w:r>
        <w:t xml:space="preserve">, so a</w:t>
      </w:r>
      <w:r>
        <w:t xml:space="preserve"> </w:t>
      </w:r>
      <w:r>
        <w:t xml:space="preserve">peripheral gated with its status register set</w:t>
      </w:r>
      <w:r>
        <w:t xml:space="preserve"> </w:t>
      </w:r>
      <w:r>
        <w:rPr>
          <w:b/>
          <w:bCs/>
        </w:rPr>
        <w:t xml:space="preserve">keeps driving its line high</w:t>
      </w:r>
      <w:r>
        <w:t xml:space="preserve">, and</w:t>
      </w:r>
      <w:r>
        <w:t xml:space="preserve"> </w:t>
      </w:r>
      <w:r>
        <w:t xml:space="preserve">this block passes that through – it has no clock of its own to notice with.</w:t>
      </w:r>
    </w:p>
    <w:p>
      <w:pPr>
        <w:pStyle w:val="BodyText"/>
      </w:pPr>
      <w:r>
        <w:t xml:space="preserve">The consequence is an order-of-operations rule, not a design change here: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set for that line, the core re-enters the handler for as long as the</w:t>
      </w:r>
      <w:r>
        <w:t xml:space="preserve"> </w:t>
      </w:r>
      <w:r>
        <w:t xml:space="preserve">line is asserted.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handler clears the source by writing the peripheral’s status register, and</w:t>
      </w:r>
      <w:r>
        <w:t xml:space="preserve"> </w:t>
      </w:r>
      <w:r>
        <w:t xml:space="preserve">that write needs the peripheral’s clock. Gated, it cannot complete.</w:t>
      </w:r>
    </w:p>
    <w:p>
      <w:pPr>
        <w:pStyle w:val="FirstParagraph"/>
      </w:pPr>
      <w:r>
        <w:rPr>
          <w:b/>
          <w:bCs/>
        </w:rPr>
        <w:t xml:space="preserve">Firmware must clear a peripheral’s interrupt before gating it</w:t>
      </w:r>
      <w:r>
        <w:t xml:space="preserve">, and ungate before</w:t>
      </w:r>
      <w:r>
        <w:t xml:space="preserve"> </w:t>
      </w:r>
      <w:r>
        <w:t xml:space="preserve">attempting to clear one.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states the analogous rule for PWM in the</w:t>
      </w:r>
      <w:r>
        <w:t xml:space="preserve"> </w:t>
      </w:r>
      <w:r>
        <w:t xml:space="preserve">contract –</w:t>
      </w:r>
      <w:r>
        <w:t xml:space="preserve"> </w:t>
      </w:r>
      <w:r>
        <w:rPr>
          <w:i/>
          <w:iCs/>
        </w:rPr>
        <w:t xml:space="preserve">never gate a running block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out_filter</w:t>
      </w:r>
      <w:r>
        <w:t xml:space="preserve"> </w:t>
      </w:r>
      <w:r>
        <w:t xml:space="preserve">freezes at its current</w:t>
      </w:r>
      <w:r>
        <w:t xml:space="preserve"> </w:t>
      </w:r>
      <w:r>
        <w:t xml:space="preserve">level – so this is the same hazard on the interrupt path rather than a new one.</w:t>
      </w:r>
    </w:p>
    <w:p>
      <w:pPr>
        <w:pStyle w:val="BodyText"/>
      </w:pPr>
      <w:r>
        <w:t xml:space="preserve">This block cannot prevent it: with no clock and no register, it has nothing to</w:t>
      </w:r>
      <w:r>
        <w:t xml:space="preserve"> </w:t>
      </w:r>
      <w:r>
        <w:t xml:space="preserve">qualify the input with. Whether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should refuse to gate a peripheral whose</w:t>
      </w:r>
      <w:r>
        <w:t xml:space="preserve"> </w:t>
      </w:r>
      <w:r>
        <w:t xml:space="preserve">interrupt is asserted is the SCRC owner’s decision, recorded in section 11.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 the core 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PLIC</w:t>
            </w:r>
            <w:r>
              <w:t xml:space="preserve"> </w:t>
            </w:r>
            <w:r>
              <w:t xml:space="preserve">– a bus slave with priority, per-source enable and claim/complete registers. QSOC has none, and 11 lines fit in the 15 the core offers without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CLINT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. QSOC has none,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and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second hart to send the inter-processor interrupt. QSOC has one</w:t>
            </w:r>
          </w:p>
        </w:tc>
      </w:tr>
    </w:tbl>
    <w:p>
      <w:pPr>
        <w:pStyle w:val="BodyText"/>
      </w:pPr>
      <w:r>
        <w:t xml:space="preserve">These tie-offs are made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not here: this block drives eleven bits</w:t>
      </w:r>
      <w:r>
        <w:t xml:space="preserve"> </w:t>
      </w:r>
      <w:r>
        <w:t xml:space="preserve">and the core’s port is fifteen wide, so the remaining four are tied where the core</w:t>
      </w:r>
      <w:r>
        <w:t xml:space="preserve"> </w:t>
      </w:r>
      <w:r>
        <w:t xml:space="preserve">is instantiated. The rows are in this specification because it is the document that</w:t>
      </w:r>
      <w:r>
        <w:t xml:space="preserve"> </w:t>
      </w:r>
      <w:r>
        <w:t xml:space="preserve">accounts for every interrupt input the core has.</w:t>
      </w:r>
    </w:p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whether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may gate a peripheral whose interrupt is asserted, or whether the ordering is left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in RTL. If left to firmware it must be written into the programming guide, because the failure is a handler that cannot clear its own source – section 7.6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peripheral gated with its interrupt asserted holds the line, and this block</w:t>
      </w:r>
      <w:r>
        <w:t xml:space="preserve"> </w:t>
      </w:r>
      <w:r>
        <w:t xml:space="preserve">cannot qualify it away — 7.6. The rule is an ordering constraint on firmware.</w:t>
      </w:r>
    </w:p>
    <w:p>
      <w:pPr>
        <w:pStyle w:val="FirstParagraph"/>
      </w:pPr>
      <w:r>
        <w:rPr>
          <w:b/>
          <w:bCs/>
        </w:rPr>
        <w:t xml:space="preserve">Open on this block</w:t>
      </w:r>
      <w:r>
        <w:t xml:space="preserve">, blocking nobody, and listed so a reviewer can see they were</w:t>
      </w:r>
      <w:r>
        <w:t xml:space="preserve"> </w:t>
      </w:r>
      <w:r>
        <w:t xml:space="preserve">not overlooked: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Propagation delay.</w:t>
      </w:r>
      <w:r>
        <w:t xml:space="preserve"> </w:t>
      </w:r>
      <w:r>
        <w:t xml:space="preserve">The worst path is the eight-input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,</w:t>
      </w:r>
      <w:r>
        <w:t xml:space="preserve"> </w:t>
      </w:r>
      <w:r>
        <w:t xml:space="preserve">three levels of two-input gates. At 20 MHz on 28 nm this is expected to be far</w:t>
      </w:r>
      <w:r>
        <w:t xml:space="preserve"> </w:t>
      </w:r>
      <w:r>
        <w:t xml:space="preserve">inside the period, but</w:t>
      </w:r>
      <w:r>
        <w:t xml:space="preserve"> </w:t>
      </w:r>
      <w:r>
        <w:rPr>
          <w:b/>
          <w:bCs/>
        </w:rPr>
        <w:t xml:space="preserve">it is an expectation, not a number</w:t>
      </w:r>
      <w:r>
        <w:t xml:space="preserve"> </w:t>
      </w:r>
      <w:r>
        <w:t xml:space="preserve">– there is no</w:t>
      </w:r>
      <w:r>
        <w:t xml:space="preserve"> </w:t>
      </w:r>
      <w:r>
        <w:t xml:space="preserve">synthesis yet. It becomes a number with the first run, and it is the one thing</w:t>
      </w:r>
      <w:r>
        <w:t xml:space="preserve"> </w:t>
      </w:r>
      <w:r>
        <w:t xml:space="preserve">that could ever make this block need a register.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Area.</w:t>
      </w:r>
      <w:r>
        <w:t xml:space="preserve"> </w:t>
      </w:r>
      <w:r>
        <w:t xml:space="preserve">Eleven OR gates with twenty-six inputs between them. Same answer: the</w:t>
      </w:r>
      <w:r>
        <w:t xml:space="preserve"> </w:t>
      </w:r>
      <w:r>
        <w:t xml:space="preserve">figure comes from synthesis.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X propagation.</w:t>
      </w:r>
      <w:r>
        <w:t xml:space="preserve"> </w:t>
      </w:r>
      <w:r>
        <w:t xml:space="preserve">A reduction OR passes X through, so a peripheral driving X</w:t>
      </w:r>
      <w:r>
        <w:t xml:space="preserve"> </w:t>
      </w:r>
      <w:r>
        <w:t xml:space="preserve">before its own reset completes would drive its line X. The core already catches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ibex_top.sv</w:t>
      </w:r>
      <w:r>
        <w:t xml:space="preserve"> </w:t>
      </w:r>
      <w:r>
        <w:t xml:space="preserve">line 1591 asserts</w:t>
      </w:r>
      <w:r>
        <w:t xml:space="preserve"> </w:t>
      </w:r>
      <w:r>
        <w:rPr>
          <w:rStyle w:val="VerbatimChar"/>
        </w:rPr>
        <w:t xml:space="preserve">ASSERT_KNOWN(IbexIrqX, {irq_software_i, irq_timer_i, irq_external_i, irq_fast_i, irq_nm_i})</w:t>
      </w:r>
      <w:r>
        <w:t xml:space="preserve">,</w:t>
      </w:r>
      <w:r>
        <w:t xml:space="preserve"> </w:t>
      </w:r>
      <w:r>
        <w:t xml:space="preserve">which fires in simulation at the boundary this block feeds.</w:t>
      </w:r>
      <w:r>
        <w:t xml:space="preserve"> </w:t>
      </w:r>
      <w:r>
        <w:rPr>
          <w:b/>
          <w:bCs/>
        </w:rPr>
        <w:t xml:space="preserve">Open</w:t>
      </w:r>
      <w:r>
        <w:t xml:space="preserve">: whether</w:t>
      </w:r>
      <w:r>
        <w:t xml:space="preserve"> </w:t>
      </w:r>
      <w:r>
        <w:t xml:space="preserve">that is sufficient, or whether this block should assert its own inputs known and</w:t>
      </w:r>
      <w:r>
        <w:t xml:space="preserve"> </w:t>
      </w:r>
      <w:r>
        <w:t xml:space="preserve">fail nearer the cause. The core’s assertion names the bundle, not the source.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requiring a bus model: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A held input keeps its line asserted for as long as it is held, which is what</w:t>
      </w:r>
      <w:r>
        <w:t xml:space="preserve"> </w:t>
      </w:r>
      <w:r>
        <w:t xml:space="preserve">makes the gating case in 7.6 behave as described.</w:t>
      </w:r>
    </w:p>
    <w:p>
      <w:pPr>
        <w:pStyle w:val="Compact"/>
        <w:numPr>
          <w:ilvl w:val="0"/>
          <w:numId w:val="1005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7.6.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: the ordering rule is a request on the SCRC owner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2026-09-23T09:09:03Z</dcterms:created>
  <dcterms:modified xsi:type="dcterms:W3CDTF">2026-09-23T09:09:03Z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