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pads (</w:t>
            </w:r>
            <w:r>
              <w:rPr>
                <w:rStyle w:val="VerbatimChar"/>
              </w:rPr>
              <w:t xml:space="preserve">TCK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TRST_N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a dedicated input pad, pull-down on the board. If no pad is free, it may share a pad whose IO MUX default is an input, since it is sampled only after 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five JTAG pads 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2026-09-24T04:58:51Z</dcterms:created>
  <dcterms:modified xsi:type="dcterms:W3CDTF">2026-09-24T04:58:51Z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