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8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TOCHeading"/>
            <w:jc w:val="left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Upstream IP used</w:t>
          </w:r>
        </w:p>
        <w:p>
          <w:pPr>
            <w:pStyle w:val="TOC1"/>
            <w:ind w:left="180"/>
            <w:jc w:val="left"/>
          </w:pPr>
          <w:r>
            <w:t xml:space="preserve">Table 4-1.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6-1.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6-2.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6-3.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8-1.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9-1.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10-1.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TOCHeading"/>
            <w:jc w:val="left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2-1. INTMAP — 27 sources, one OR per peripheral, 12 wires to the CPU</w:t>
          </w:r>
        </w:p>
      </w:sdtContent>
    </w:sdt>
    <w:bookmarkStart w:id="48" w:name="qnsc_interrupt_map_mas"/>
    <w:p>
      <w:pPr>
        <w:pStyle w:val="Heading1"/>
      </w:pPr>
      <w:r>
        <w:t xml:space="preserve">QNSC_Interrupt_Map_MAS</w:t>
      </w:r>
    </w:p>
    <w:p>
      <w:pPr>
        <w:pStyle w:val="FirstParagraph"/>
      </w:pPr>
      <w:r>
        <w:rPr>
          <w:b/>
          <w:bCs/>
        </w:rPr>
        <w:t xml:space="preserve">Block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Nghia Van Trong ·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2026-09-23</w:t>
      </w:r>
    </w:p>
    <w:p>
      <w:pPr>
        <w:pStyle w:val="BodyText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reduction.</w:t>
      </w:r>
    </w:p>
    <w:p>
      <w:pPr>
        <w:pStyle w:val="BodyText"/>
      </w:pPr>
      <w:r>
        <w:t xml:space="preserve">Why the specification says what it says — the two designs that were dropped, the</w:t>
      </w:r>
      <w:r>
        <w:t xml:space="preserve"> </w:t>
      </w:r>
      <w:r>
        <w:t xml:space="preserve">evidence read out of Ibex, the questions that closed —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p>
      <w:r>
        <w:pict>
          <v:rect style="width:0;height:1.5pt" o:hralign="center" o:hrstd="t" o:hr="t"/>
        </w:pict>
      </w:r>
    </w:p>
    <w:bookmarkStart w:id="26" w:name="revision-history"/>
    <w:p>
      <w:pPr>
        <w:pStyle w:val="Heading2"/>
      </w:pPr>
      <w:r>
        <w:t xml:space="preserve">Revision history</w:t>
      </w:r>
    </w:p>
    <w:p>
      <w:pPr>
        <w:pStyle w:val="FirstParagraph"/>
      </w:pPr>
      <w:r>
        <w:t xml:space="preserve">One line per version. The reasoning behind each change, and the evidence it rests</w:t>
      </w:r>
      <w:r>
        <w:t xml:space="preserve"> </w:t>
      </w:r>
      <w:r>
        <w:t xml:space="preserve">on,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issue, against a candidate IP set: 74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for the IP set actually selected: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Specified as registered, wrongly – see V11.3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 list and parameters added; derived figures reconciled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Audited against the IP assignment sheet and each IP’s RTL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corrected to</w:t>
            </w:r>
            <w:r>
              <w:t xml:space="preserve"> </w:t>
            </w:r>
            <w:r>
              <w:rPr>
                <w:rStyle w:val="VerbatimChar"/>
              </w:rPr>
              <w:t xml:space="preserve">pulp-platform/apb_gpio</w:t>
            </w:r>
            <w:r>
              <w:t xml:space="preserve">: total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rv_plic</w:t>
            </w:r>
            <w:r>
              <w:t xml:space="preserve"> </w:t>
            </w:r>
            <w:r>
              <w:t xml:space="preserve">considered and rejected; Ibex fast lines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Reconciled against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and the DMA, TIMER, WDT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v4_r1 settles four open items, all in favour of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source counts closed; one correction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TIMER0, TIMER1, PWM ownership transfers in; each gets its own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ruled one line for four instances – action item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questions closed from Ibex RTL.</w:t>
            </w:r>
            <w:r>
              <w:t xml:space="preserve"> </w:t>
            </w:r>
            <w:r>
              <w:rPr>
                <w:b/>
                <w:bCs/>
              </w:rPr>
              <w:t xml:space="preserve">Block is combinational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reframed after reading the bus owner’s three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rewritten from the IPs’ RTL, not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questions closed, one narrowed, from the SPI owner’s specs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reset-cause table corrected:</w:t>
            </w:r>
            <w:r>
              <w:t xml:space="preserve"> </w:t>
            </w:r>
            <w:r>
              <w:rPr>
                <w:rStyle w:val="VerbatimChar"/>
              </w:rPr>
              <w:t xml:space="preserve">ndmreset</w:t>
            </w:r>
            <w:r>
              <w:t xml:space="preserve"> </w:t>
            </w:r>
            <w:r>
              <w:t xml:space="preserve">is gone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2 restated as a shaped request, not a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two questions take positions; specification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answered by its owner: level, not pulse. Central limit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Rewritten as specification only: 1284 lines to 220. History and rationale moved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_DECISIONS</w:t>
            </w:r>
            <w:r>
              <w:rPr>
                <w:b/>
                <w:bCs/>
              </w:rPr>
              <w:t xml:space="preserve">. Tables in 6.2, 6.3 and 9 are now generated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util/qsoc_contract.yml</w:t>
            </w:r>
          </w:p>
        </w:tc>
      </w:tr>
    </w:tbl>
    <w:bookmarkEnd w:id="26"/>
    <w:bookmarkStart w:id="27" w:name="scope"/>
    <w:p>
      <w:pPr>
        <w:pStyle w:val="Heading2"/>
      </w:pPr>
      <w:r>
        <w:t xml:space="preserve">1. Scope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groups the interrupt sources of fourteen blocks onto the CPU’s fast</w:t>
      </w:r>
      <w:r>
        <w:t xml:space="preserve"> </w:t>
      </w:r>
      <w:r>
        <w:t xml:space="preserve">interrupt lines, one line per peripheral, and passes the watchdog bark straight</w:t>
      </w:r>
      <w:r>
        <w:t xml:space="preserve"> </w:t>
      </w:r>
      <w:r>
        <w:t xml:space="preserve">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bookmarkEnd w:id="27"/>
    <w:bookmarkStart w:id="31" w:name="block-diagram"/>
    <w:p>
      <w:pPr>
        <w:pStyle w:val="Heading2"/>
      </w:pPr>
      <w:r>
        <w:t xml:space="preserve">2.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29" name="Picture"/>
            <a:graphic>
              <a:graphicData uri="http://schemas.openxmlformats.org/drawingml/2006/picture">
                <pic:pic>
                  <pic:nvPicPr>
                    <pic:cNvPr descr="../img/fig_intr_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2-1.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1"/>
    <w:bookmarkStart w:id="32" w:name="ip-used"/>
    <w:p>
      <w:pPr>
        <w:pStyle w:val="Heading2"/>
      </w:pPr>
      <w:r>
        <w:t xml:space="preserve">3. IP used</w:t>
      </w:r>
    </w:p>
    <w:p>
      <w:pPr>
        <w:pStyle w:val="Tablecaption0"/>
      </w:pPr>
      <w:r>
        <w:t xml:space="preserve">Table 3-1.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2"/>
    <w:bookmarkStart w:id="33" w:name="interface"/>
    <w:p>
      <w:pPr>
        <w:pStyle w:val="Heading2"/>
      </w:pPr>
      <w:r>
        <w:t xml:space="preserve">4.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4-1.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3"/>
    <w:bookmarkStart w:id="34" w:name="register-map"/>
    <w:p>
      <w:pPr>
        <w:pStyle w:val="Heading2"/>
      </w:pPr>
      <w:r>
        <w:t xml:space="preserve">5.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4"/>
    <w:bookmarkStart w:id="40" w:name="functional-behaviour"/>
    <w:p>
      <w:pPr>
        <w:pStyle w:val="Heading2"/>
      </w:pPr>
      <w:r>
        <w:t xml:space="preserve">6. Functional behaviour</w:t>
      </w:r>
    </w:p>
    <w:bookmarkStart w:id="35" w:name="one-or-gate-per-peripheral"/>
    <w:p>
      <w:pPr>
        <w:pStyle w:val="Heading3"/>
      </w:pPr>
      <w:r>
        <w:t xml:space="preserve">6.1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5"/>
    <w:bookmarkStart w:id="36" w:name="line-assignment"/>
    <w:p>
      <w:pPr>
        <w:pStyle w:val="Heading3"/>
      </w:pPr>
      <w:r>
        <w:t xml:space="preserve">6.2 Line assignment</w:t>
      </w:r>
    </w:p>
    <w:p>
      <w:pPr>
        <w:pStyle w:val="FirstParagraph"/>
      </w:pPr>
      <w:r>
        <w:t xml:space="preserve">The line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priority: Ibex resolves the lowest index first. This</w:t>
      </w:r>
      <w:r>
        <w:t xml:space="preserve"> </w:t>
      </w:r>
      <w:r>
        <w:t xml:space="preserve">table therefore fixes the default priority order as well as the wiring, and</w:t>
      </w:r>
      <w:r>
        <w:t xml:space="preserve"> </w:t>
      </w:r>
      <w:r>
        <w:t xml:space="preserve">changing it requires re-synthesis.</w:t>
      </w:r>
    </w:p>
    <w:p>
      <w:pPr>
        <w:pStyle w:val="Tablecaption0"/>
      </w:pPr>
      <w:r>
        <w:t xml:space="preserve">Table 6-1. Fast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ast interrupt line assignment"/>
      </w:tblPr>
      <w:tblGrid>
        <w:gridCol w:w="1508"/>
        <w:gridCol w:w="1508"/>
        <w:gridCol w:w="1131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  <w:r>
              <w:t xml:space="preserve">, on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6-2.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6"/>
    <w:bookmarkStart w:id="37" w:name="X15705b84463ad13b4d316df2afd1a3dbce4807c"/>
    <w:p>
      <w:pPr>
        <w:pStyle w:val="Heading3"/>
      </w:pPr>
      <w:r>
        <w:t xml:space="preserve">6.3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7"/>
    <w:bookmarkStart w:id="38" w:name="the-nmi-bypasses-this-block"/>
    <w:p>
      <w:pPr>
        <w:pStyle w:val="Heading3"/>
      </w:pPr>
      <w:r>
        <w:t xml:space="preserve">6.4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8"/>
    <w:bookmarkStart w:id="39" w:name="Xd91e5a1c70d8f55def3a88ed9113b6f4ce7105b"/>
    <w:p>
      <w:pPr>
        <w:pStyle w:val="Heading3"/>
      </w:pPr>
      <w:r>
        <w:t xml:space="preserve">6.5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6-3.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39"/>
    <w:bookmarkEnd w:id="40"/>
    <w:bookmarkStart w:id="41" w:name="instances"/>
    <w:p>
      <w:pPr>
        <w:pStyle w:val="Heading2"/>
      </w:pPr>
      <w:r>
        <w:t xml:space="preserve">7.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1"/>
    <w:bookmarkStart w:id="42" w:name="X31074a9102d88bba972e4f71edc3e97f3cd819b"/>
    <w:p>
      <w:pPr>
        <w:pStyle w:val="Heading2"/>
      </w:pPr>
      <w:r>
        <w:t xml:space="preserve">8. What is not provided here, and who provides it</w:t>
      </w:r>
    </w:p>
    <w:p>
      <w:pPr>
        <w:pStyle w:val="Tablecaption0"/>
      </w:pPr>
      <w:r>
        <w:t xml:space="preserve">Table 8-1.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2"/>
    <w:bookmarkStart w:id="43" w:name="tie-offs"/>
    <w:p>
      <w:pPr>
        <w:pStyle w:val="Heading2"/>
      </w:pPr>
      <w:r>
        <w:t xml:space="preserve">9. Tie-offs</w:t>
      </w:r>
    </w:p>
    <w:p>
      <w:pPr>
        <w:pStyle w:val="Tablecaption0"/>
      </w:pPr>
      <w:r>
        <w:t xml:space="preserve">Table 9-1.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3"/>
    <w:bookmarkStart w:id="44" w:name="requirements-on-others-and-open-items"/>
    <w:p>
      <w:pPr>
        <w:pStyle w:val="Heading2"/>
      </w:pPr>
      <w:r>
        <w:t xml:space="preserve">10. Requirements on others, and open items</w:t>
      </w:r>
    </w:p>
    <w:p>
      <w:pPr>
        <w:pStyle w:val="Tablecaption0"/>
      </w:pPr>
      <w:r>
        <w:t xml:space="preserve">Table 10-1.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6.5.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4"/>
    <w:bookmarkStart w:id="45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6.2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5"/>
    <w:bookmarkStart w:id="46" w:name="appendix-a.-acronyms"/>
    <w:p>
      <w:pPr>
        <w:pStyle w:val="Heading2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6"/>
    <w:bookmarkStart w:id="47" w:name="appendix-b.-first-review"/>
    <w:p>
      <w:pPr>
        <w:pStyle w:val="Heading2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6.5: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7"/>
    <w:bookmarkEnd w:id="4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</w:t>
    </w:r>
    <w:r>
      <w:rPr>
        <w:szCs w:val="26"/>
      </w:rPr>
      <w:t>1</w:t>
    </w:r>
    <w:r w:rsidR="00DB5448" w:rsidRPr="009B5907">
      <w:rPr>
        <w:szCs w:val="26"/>
      </w:rPr>
      <w:t>.</w:t>
    </w:r>
    <w:r>
      <w:rPr>
        <w:szCs w:val="26"/>
      </w:rPr>
      <w:t>0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  <w:cap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color w:val="2E74B5"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left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pBdr>
        <w:top w:color="auto" w:space="1" w:sz="4" w:val="single"/>
      </w:pBdr>
      <w:spacing w:after="360" w:before="360"/>
      <w:jc w:val="right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8" Target="media/rId28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2026-09-23T05:03:42Z</dcterms:created>
  <dcterms:modified xsi:type="dcterms:W3CDTF">2026-09-23T05:03:42Z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