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56.png" ContentType="image/png"/>
  <Override PartName="/word/media/rId68.png" ContentType="image/png"/>
  <Override PartName="/word/media/rId47.png" ContentType="image/png"/>
  <Override PartName="/word/media/rId30.png" ContentType="image/png"/>
  <Override PartName="/word/media/rId52.png" ContentType="image/png"/>
  <Override PartName="/word/media/rId37.png" ContentType="image/png"/>
  <Override PartName="/word/media/rId6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debugger sits in QSOC</w:t>
          </w:r>
        </w:p>
        <w:p>
          <w:pPr>
            <w:pStyle w:val="TOC1"/>
            <w:ind w:left="180"/>
            <w:jc w:val="left"/>
          </w:pPr>
          <w:r>
            <w:t xml:space="preserve">Figure 3-1. Figure 2 – Internal structure, the two clock domains, and the crossing between them</w:t>
          </w:r>
        </w:p>
        <w:p>
          <w:pPr>
            <w:pStyle w:val="TOC1"/>
            <w:ind w:left="180"/>
            <w:jc w:val="left"/>
          </w:pPr>
          <w:r>
            <w:t xml:space="preserve">Figure 4-1. Figure 3 – The ACCESS register, bit by bit</w:t>
          </w:r>
        </w:p>
        <w:p>
          <w:pPr>
            <w:pStyle w:val="TOC1"/>
            <w:ind w:left="180"/>
            <w:jc w:val="left"/>
          </w:pPr>
          <w:r>
            <w:t xml:space="preserve">Figure 4-2. Figure 4 – Command FSM</w:t>
          </w:r>
        </w:p>
        <w:p>
          <w:pPr>
            <w:pStyle w:val="TOC1"/>
            <w:ind w:left="180"/>
            <w:jc w:val="left"/>
          </w:pPr>
          <w:r>
            <w:t xml:space="preserve">Figure 4-3. Figure 5 – Halting the CPU, end to end</w:t>
          </w:r>
        </w:p>
        <w:p>
          <w:pPr>
            <w:pStyle w:val="TOC1"/>
            <w:ind w:left="180"/>
            <w:jc w:val="left"/>
          </w:pPr>
          <w:r>
            <w:t xml:space="preserve">Figure 4-4. Figure 6 – What one bus port can and cannot reach</w:t>
          </w:r>
        </w:p>
        <w:p>
          <w:pPr>
            <w:pStyle w:val="TOC1"/>
            <w:ind w:left="180"/>
            <w:jc w:val="left"/>
          </w:pPr>
          <w:r>
            <w:t xml:space="preserve">Figure 4-5. Figure 7 –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pct" w:w="5000"/>
        <w:tblLayout w:type="fixed"/>
        <w:tblLook w:firstRow="1" w:lastRow="0" w:firstColumn="0" w:lastColumn="0" w:noHBand="0" w:noVBand="0" w:val="0020"/>
      </w:tblPr>
      <w:tblGrid>
        <w:gridCol w:w="4224"/>
        <w:gridCol w:w="3696"/>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Internal structure, the two clock domains, and the crossing</w:t>
            </w:r>
          </w:p>
        </w:tc>
      </w:tr>
      <w:tr>
        <w:tc>
          <w:tcPr/>
          <w:p>
            <w:pPr>
              <w:pStyle w:val="Compact"/>
              <w:jc w:val="left"/>
            </w:pPr>
            <w:r>
              <w:t xml:space="preserve">Figure 3</w:t>
            </w:r>
          </w:p>
        </w:tc>
        <w:tc>
          <w:tcPr/>
          <w:p>
            <w:pPr>
              <w:pStyle w:val="Compact"/>
              <w:jc w:val="left"/>
            </w:pPr>
            <w:r>
              <w:t xml:space="preserve">The ACCESS register, bit by bit</w:t>
            </w:r>
          </w:p>
        </w:tc>
      </w:tr>
      <w:tr>
        <w:tc>
          <w:tcPr/>
          <w:p>
            <w:pPr>
              <w:pStyle w:val="Compact"/>
              <w:jc w:val="left"/>
            </w:pPr>
            <w:r>
              <w:t xml:space="preserve">Figure 4</w:t>
            </w:r>
          </w:p>
        </w:tc>
        <w:tc>
          <w:tcPr/>
          <w:p>
            <w:pPr>
              <w:pStyle w:val="Compact"/>
              <w:jc w:val="left"/>
            </w:pPr>
            <w:r>
              <w:t xml:space="preserve">Command FSM</w:t>
            </w:r>
          </w:p>
        </w:tc>
      </w:tr>
      <w:tr>
        <w:tc>
          <w:tcPr/>
          <w:p>
            <w:pPr>
              <w:pStyle w:val="Compact"/>
              <w:jc w:val="left"/>
            </w:pPr>
            <w:r>
              <w:t xml:space="preserve">Figure 5</w:t>
            </w:r>
          </w:p>
        </w:tc>
        <w:tc>
          <w:tcPr/>
          <w:p>
            <w:pPr>
              <w:pStyle w:val="Compact"/>
              <w:jc w:val="left"/>
            </w:pPr>
            <w:r>
              <w:t xml:space="preserve">Halting the CPU, end to end</w:t>
            </w:r>
          </w:p>
        </w:tc>
      </w:tr>
      <w:tr>
        <w:tc>
          <w:tcPr/>
          <w:p>
            <w:pPr>
              <w:pStyle w:val="Compact"/>
              <w:jc w:val="left"/>
            </w:pPr>
            <w:r>
              <w:t xml:space="preserve">Figure 6</w:t>
            </w:r>
          </w:p>
        </w:tc>
        <w:tc>
          <w:tcPr/>
          <w:p>
            <w:pPr>
              <w:pStyle w:val="Compact"/>
              <w:jc w:val="left"/>
            </w:pPr>
            <w:r>
              <w:t xml:space="preserve">What one bus port can and cannot reach</w:t>
            </w:r>
          </w:p>
        </w:tc>
      </w:tr>
      <w:tr>
        <w:tc>
          <w:tcPr/>
          <w:p>
            <w:pPr>
              <w:pStyle w:val="Compact"/>
              <w:jc w:val="left"/>
            </w:pPr>
            <w:r>
              <w:t xml:space="preserve">Figure 7</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2869762"/>
            <wp:effectExtent b="0" l="0" r="0" t="0"/>
            <wp:docPr descr="Figure 2 – Internal structure, the two clock domains, and the crossing between them" title="" id="38" name="Picture"/>
            <a:graphic>
              <a:graphicData uri="http://schemas.openxmlformats.org/drawingml/2006/picture">
                <pic:pic>
                  <pic:nvPicPr>
                    <pic:cNvPr descr="../img/fig_sysdbg_internal.png" id="39" name="Picture"/>
                    <pic:cNvPicPr>
                      <a:picLocks noChangeArrowheads="1" noChangeAspect="1"/>
                    </pic:cNvPicPr>
                  </pic:nvPicPr>
                  <pic:blipFill>
                    <a:blip r:embed="rId37"/>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3-1. Figure 2 – Internal structure, the two clock domains, and the crossing between them</w:t>
      </w:r>
    </w:p>
    <w:bookmarkEnd w:id="40"/>
    <w:bookmarkStart w:id="73"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BodyText"/>
      </w:pPr>
      <w:r>
        <w:t xml:space="preserve">Figure 2 in section 3 is the same design as Table 2, drawn as a loop: a command</w:t>
      </w:r>
      <w:r>
        <w:t xml:space="preserve"> </w:t>
      </w:r>
      <w:r>
        <w:t xml:space="preserve">travels left to right across the top, the answer returns right to left along the</w:t>
      </w:r>
      <w:r>
        <w:t xml:space="preserve"> </w:t>
      </w:r>
      <w:r>
        <w:t xml:space="preserve">bottom, and both directions pass through the one CDC. The numbered steps are walked</w:t>
      </w:r>
      <w:r>
        <w:t xml:space="preserve"> </w:t>
      </w:r>
      <w:r>
        <w:t xml:space="preserve">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1"/>
    <w:bookmarkStart w:id="42"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2"/>
    <w:bookmarkStart w:id="43"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3"/>
    <w:bookmarkStart w:id="44"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4"/>
    <w:bookmarkStart w:id="45"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5"/>
    <w:bookmarkStart w:id="46"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6"/>
    <w:bookmarkStart w:id="50"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3 – The ACCESS register, bit by bit" title="" id="48" name="Picture"/>
            <a:graphic>
              <a:graphicData uri="http://schemas.openxmlformats.org/drawingml/2006/picture">
                <pic:pic>
                  <pic:nvPicPr>
                    <pic:cNvPr descr="../img/fig_jtag_cmd.png" id="49" name="Picture"/>
                    <pic:cNvPicPr>
                      <a:picLocks noChangeArrowheads="1" noChangeAspect="1"/>
                    </pic:cNvPicPr>
                  </pic:nvPicPr>
                  <pic:blipFill>
                    <a:blip r:embed="rId47"/>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4-1. Figure 3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0"/>
    <w:bookmarkStart w:id="51"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1"/>
    <w:bookmarkStart w:id="55" w:name="command-fsm"/>
    <w:p>
      <w:pPr>
        <w:pStyle w:val="Heading2"/>
      </w:pPr>
      <w:r>
        <w:t xml:space="preserve">4.8 Command FSM</w:t>
      </w:r>
    </w:p>
    <w:p>
      <w:pPr>
        <w:pStyle w:val="CaptionedFigure"/>
        <w:jc w:val="left"/>
      </w:pPr>
      <w:r>
        <w:drawing>
          <wp:inline>
            <wp:extent cx="5486400" cy="2772445"/>
            <wp:effectExtent b="0" l="0" r="0" t="0"/>
            <wp:docPr descr="Figure 4 – Command FSM" title="" id="53" name="Picture"/>
            <a:graphic>
              <a:graphicData uri="http://schemas.openxmlformats.org/drawingml/2006/picture">
                <pic:pic>
                  <pic:nvPicPr>
                    <pic:cNvPr descr="../img/fig_sysdbg_fsm.png" id="54" name="Picture"/>
                    <pic:cNvPicPr>
                      <a:picLocks noChangeArrowheads="1" noChangeAspect="1"/>
                    </pic:cNvPicPr>
                  </pic:nvPicPr>
                  <pic:blipFill>
                    <a:blip r:embed="rId52"/>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4-2. Figure 4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5"/>
    <w:bookmarkStart w:id="59"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5 – Halting the CPU, end to end" title="" id="57" name="Picture"/>
            <a:graphic>
              <a:graphicData uri="http://schemas.openxmlformats.org/drawingml/2006/picture">
                <pic:pic>
                  <pic:nvPicPr>
                    <pic:cNvPr descr="../img/fig_halt_flow.png" id="58" name="Picture"/>
                    <pic:cNvPicPr>
                      <a:picLocks noChangeArrowheads="1" noChangeAspect="1"/>
                    </pic:cNvPicPr>
                  </pic:nvPicPr>
                  <pic:blipFill>
                    <a:blip r:embed="rId56"/>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4-3. Figure 5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59"/>
    <w:bookmarkStart w:id="60"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0"/>
    <w:bookmarkStart w:id="62"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1"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1"/>
    <w:bookmarkEnd w:id="62"/>
    <w:bookmarkStart w:id="67" w:name="reading-a-cpu-register"/>
    <w:p>
      <w:pPr>
        <w:pStyle w:val="Heading2"/>
      </w:pPr>
      <w:r>
        <w:t xml:space="preserve">4.12 Reading a CPU register</w:t>
      </w:r>
    </w:p>
    <w:p>
      <w:pPr>
        <w:pStyle w:val="CaptionedFigure"/>
        <w:jc w:val="left"/>
      </w:pPr>
      <w:r>
        <w:drawing>
          <wp:inline>
            <wp:extent cx="5669280" cy="4693201"/>
            <wp:effectExtent b="0" l="0" r="0" t="0"/>
            <wp:docPr descr="Figure 6 – What one bus port can and cannot reach" title="" id="64" name="Picture"/>
            <a:graphic>
              <a:graphicData uri="http://schemas.openxmlformats.org/drawingml/2006/picture">
                <pic:pic>
                  <pic:nvPicPr>
                    <pic:cNvPr descr="../img/fig_sysdbg_ports.png" id="65" name="Picture"/>
                    <pic:cNvPicPr>
                      <a:picLocks noChangeArrowheads="1" noChangeAspect="1"/>
                    </pic:cNvPicPr>
                  </pic:nvPicPr>
                  <pic:blipFill>
                    <a:blip r:embed="rId63"/>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4-4. Figure 6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6"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6"/>
    <w:bookmarkEnd w:id="67"/>
    <w:bookmarkStart w:id="71"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7 – Host software stack" title="" id="69" name="Picture"/>
            <a:graphic>
              <a:graphicData uri="http://schemas.openxmlformats.org/drawingml/2006/picture">
                <pic:pic>
                  <pic:nvPicPr>
                    <pic:cNvPr descr="../img/fig_host_stack.png" id="70" name="Picture"/>
                    <pic:cNvPicPr>
                      <a:picLocks noChangeArrowheads="1" noChangeAspect="1"/>
                    </pic:cNvPicPr>
                  </pic:nvPicPr>
                  <pic:blipFill>
                    <a:blip r:embed="rId68"/>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4-5. Figure 7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1"/>
    <w:bookmarkStart w:id="72"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2"/>
    <w:bookmarkEnd w:id="73"/>
    <w:bookmarkStart w:id="76" w:name="integration-into-qsoc"/>
    <w:p>
      <w:pPr>
        <w:pStyle w:val="Heading1"/>
      </w:pPr>
      <w:r>
        <w:t xml:space="preserve">5. Integration into QSOC</w:t>
      </w:r>
    </w:p>
    <w:bookmarkStart w:id="74"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4"/>
    <w:bookmarkStart w:id="75"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5"/>
    <w:bookmarkEnd w:id="76"/>
    <w:bookmarkStart w:id="77"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77"/>
    <w:bookmarkStart w:id="78"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78"/>
    <w:bookmarkStart w:id="7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79"/>
    <w:bookmarkStart w:id="81"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0">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56" Target="media/rId56.png" /><Relationship Type="http://schemas.openxmlformats.org/officeDocument/2006/relationships/image" Id="rId68" Target="media/rId68.png"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image" Id="rId52" Target="media/rId52.png"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hyperlink" Id="rId80"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0"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2026-09-23T08:58:07Z</dcterms:created>
  <dcterms:modified xsi:type="dcterms:W3CDTF">2026-09-23T08:58:07Z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