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PWM sub-modules, within one timer module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4-2. Achievable frequency and resolution at 20 MHz</w:t>
          </w:r>
        </w:p>
        <w:p>
          <w:pPr>
            <w:pStyle w:val="TOC1"/>
            <w:ind w:left="180"/>
            <w:jc w:val="left"/>
          </w:pPr>
          <w:r>
            <w:t xml:space="preserve">Table 5-1. Block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outputs against pads</w:t>
          </w:r>
        </w:p>
        <w:p>
          <w:pPr>
            <w:pStyle w:val="TOC1"/>
            <w:ind w:left="180"/>
            <w:jc w:val="left"/>
          </w:pPr>
          <w:r>
            <w:t xml:space="preserve">Table 7-2. Address decode against region size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firmware, integration and DFT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12-1. Verification QSOC must add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PWM block: four timer modules behind one APB register file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six versions before it, and the reasoning behind each</w:t>
      </w:r>
      <w:r>
        <w:t xml:space="preserve"> </w:t>
      </w:r>
      <w:r>
        <w:t xml:space="preserve">decision, are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 the other blocks follow. Tables and figures are numbered by the build. The stale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  <w:r>
              <w:t xml:space="preserve"> </w:t>
            </w:r>
            <w:r>
              <w:t xml:space="preserve">/ bit 15 clock-domain numbering is replaced by the</w:t>
            </w:r>
            <w:r>
              <w:t xml:space="preserve"> </w:t>
            </w: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the contract defines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the pulse-width modulation block of QSOC, an integration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behind an APB4 slave. It contains</w:t>
      </w:r>
      <w:r>
        <w:t xml:space="preserve"> </w:t>
      </w:r>
      <w:r>
        <w:rPr>
          <w:b/>
          <w:bCs/>
        </w:rPr>
        <w:t xml:space="preserve">four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timer modules of four channels each – sixteen channels</w:t>
      </w:r>
      <w:r>
        <w:t xml:space="preserve"> </w:t>
      </w:r>
      <w:r>
        <w:t xml:space="preserve">– of which</w:t>
      </w:r>
      <w:r>
        <w:t xml:space="preserve"> </w:t>
      </w:r>
      <w:r>
        <w:rPr>
          <w:b/>
          <w:bCs/>
        </w:rPr>
        <w:t xml:space="preserve">eight leave the</w:t>
      </w:r>
      <w:r>
        <w:rPr>
          <w:b/>
          <w:bCs/>
        </w:rPr>
        <w:t xml:space="preserve"> </w:t>
      </w:r>
      <w:r>
        <w:rPr>
          <w:b/>
          <w:bCs/>
        </w:rPr>
        <w:t xml:space="preserve">chip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0x80034000</w:t>
      </w:r>
      <w:r>
        <w:t xml:space="preserve">, 16 KiB, on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. One interrupt line, line 7 of</w:t>
      </w:r>
      <w:r>
        <w:t xml:space="preserve"> </w:t>
      </w:r>
      <w:r>
        <w:rPr>
          <w:rStyle w:val="VerbatimChar"/>
        </w:rPr>
        <w:t xml:space="preserve">irq_fast_i</w:t>
      </w:r>
      <w:r>
        <w:t xml:space="preserve">,</w:t>
      </w:r>
      <w:r>
        <w:t xml:space="preserve"> </w:t>
      </w:r>
      <w:r>
        <w:t xml:space="preserve">carrying four event sources.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m_qnsc_wrap_apb_adv_timer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timer modules</w:t>
      </w:r>
      <w:r>
        <w:t xml:space="preserve">, each with its own 16-bit counter, period and 8-bit</w:t>
      </w:r>
      <w:r>
        <w:t xml:space="preserve"> </w:t>
      </w:r>
      <w:r>
        <w:t xml:space="preserve">prescaler.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channels per module</w:t>
      </w:r>
      <w:r>
        <w:t xml:space="preserve">, each with an independent duty threshold and an output</w:t>
      </w:r>
      <w:r>
        <w:t xml:space="preserve"> </w:t>
      </w:r>
      <w:r>
        <w:t xml:space="preserve">shape LUT.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Up or up-down counting</w:t>
      </w:r>
      <w:r>
        <w:t xml:space="preserve">, the latter giving centre-aligned output.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trigger inputs</w:t>
      </w:r>
      <w:r>
        <w:t xml:space="preserve"> </w:t>
      </w:r>
      <w:r>
        <w:t xml:space="preserve">for start, stop and gate without CPU action.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– but they are a</w:t>
      </w:r>
      <w:r>
        <w:t xml:space="preserve"> </w:t>
      </w:r>
      <w:r>
        <w:rPr>
          <w:b/>
          <w:bCs/>
        </w:rPr>
        <w:t xml:space="preserve">multiplexer over the channel</w:t>
      </w:r>
      <w:r>
        <w:rPr>
          <w:b/>
          <w:bCs/>
        </w:rPr>
        <w:t xml:space="preserve"> </w:t>
      </w:r>
      <w:r>
        <w:rPr>
          <w:b/>
          <w:bCs/>
        </w:rPr>
        <w:t xml:space="preserve">outputs</w:t>
      </w:r>
      <w:r>
        <w:t xml:space="preserve">, not four comparators, section 7.3.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software-readable event status</w:t>
      </w:r>
      <w:r>
        <w:t xml:space="preserve"> </w:t>
      </w:r>
      <w:r>
        <w:t xml:space="preserve">anywhere in the block, section 7.4.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669280" cy="3887164"/>
            <wp:effectExtent b="0" l="0" r="0" t="0"/>
            <wp:docPr descr="The PWM block: four timer modules behind one APB register file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887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PWM block: four timer modules behind one APB register file</w:t>
      </w:r>
    </w:p>
    <w:p>
      <w:pPr>
        <w:pStyle w:val="Tablecaption0"/>
      </w:pPr>
      <w:r>
        <w:t xml:space="preserve">Table 3-1. PWM sub-modules, within one timer module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sub-modules, within one timer module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reset, from APB or from an external trigger</w:t>
            </w:r>
          </w:p>
        </w:tc>
      </w:tr>
    </w:tbl>
    <w:p>
      <w:pPr>
        <w:pStyle w:val="BodyText"/>
      </w:pPr>
      <w:r>
        <w:t xml:space="preserve">Four such modules sit behind one APB register file, with</w:t>
      </w:r>
      <w:r>
        <w:t xml:space="preserve"> </w:t>
      </w:r>
      <w:r>
        <w:rPr>
          <w:b/>
          <w:bCs/>
        </w:rPr>
        <w:t xml:space="preserve">independent counters,</w:t>
      </w:r>
      <w:r>
        <w:rPr>
          <w:b/>
          <w:bCs/>
        </w:rPr>
        <w:t xml:space="preserve"> </w:t>
      </w:r>
      <w:r>
        <w:rPr>
          <w:b/>
          <w:bCs/>
        </w:rPr>
        <w:t xml:space="preserve">periods and prescalers</w:t>
      </w:r>
      <w:r>
        <w:t xml:space="preserve">. Two channels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module share a time base and can</w:t>
      </w:r>
      <w:r>
        <w:t xml:space="preserve"> </w:t>
      </w:r>
      <w:r>
        <w:t xml:space="preserve">be phase-related; channels on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modules are not, unless firmware arranges</w:t>
      </w:r>
      <w:r>
        <w:t xml:space="preserve"> </w:t>
      </w:r>
      <w:r>
        <w:t xml:space="preserve">it – which it can, because a module’s trigger pool includes the other modules’ channel</w:t>
      </w:r>
      <w:r>
        <w:t xml:space="preserve"> </w:t>
      </w:r>
      <w:r>
        <w:t xml:space="preserve">outputs, section 7.6.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and six sub-modules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in</w:t>
            </w:r>
            <w:r>
              <w:t xml:space="preserve"> </w:t>
            </w:r>
            <w:r>
              <w:rPr>
                <w:rStyle w:val="VerbatimChar"/>
              </w:rPr>
              <w:t xml:space="preserve">vendor/manifest.yml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16 bits is the right width here</w:t>
      </w:r>
      <w:r>
        <w:t xml:space="preserve">, where it would be wrong for a timebase. At</w:t>
      </w:r>
      <w:r>
        <w:t xml:space="preserve"> </w:t>
      </w:r>
      <w:r>
        <w:t xml:space="preserve">20 MHz a 16-bit counter gives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without</w:t>
      </w:r>
      <w:r>
        <w:t xml:space="preserve"> </w:t>
      </w:r>
      <w:r>
        <w:t xml:space="preserve">the prescaler 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it at maximum divide:</w:t>
      </w:r>
    </w:p>
    <w:p>
      <w:pPr>
        <w:pStyle w:val="Tablecaption0"/>
      </w:pPr>
      <w:r>
        <w:t xml:space="preserve">Table 4-2. Achievable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hievable frequency and resolution at 20 MHz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The human eye resolves a few dozen brightness levels, so 20 000 steps is far beyond</w:t>
      </w:r>
      <w:r>
        <w:t xml:space="preserve"> </w:t>
      </w:r>
      <w:r>
        <w:t xml:space="preserve">what PWM needs. The same 16 bits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a serious limitation for a timebase,</w:t>
      </w:r>
      <w:r>
        <w:t xml:space="preserve"> </w:t>
      </w:r>
      <w:r>
        <w:t xml:space="preserve">which is why the timebase is a different IP –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Block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 – section 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 – section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sixteen channel outputs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is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bytes; two global registers</w:t>
      </w:r>
      <w:r>
        <w:t xml:space="preserve"> </w:t>
      </w:r>
      <w:r>
        <w:t xml:space="preserve">follow the four modules.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t xml:space="preserve">: Registers of one timer module</w:t>
      </w:r>
    </w:p>
    <w:p>
      <w:pPr>
        <w:pStyle w:val="BodyText"/>
      </w:pPr>
      <w:r>
        <w:t xml:space="preserve">Offsets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 per channel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 per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They are separate registers, so changing the duty</w:t>
      </w:r>
      <w:r>
        <w:t xml:space="preserve"> </w:t>
      </w:r>
      <w:r>
        <w:t xml:space="preserve">of one channel disturbs neither the period nor the other three channels on the same</w:t>
      </w:r>
      <w:r>
        <w:t xml:space="preserve"> </w:t>
      </w:r>
      <w:r>
        <w:t xml:space="preserve">module.</w:t>
      </w:r>
    </w:p>
    <w:bookmarkEnd w:id="35"/>
    <w:bookmarkStart w:id="43" w:name="functional-behaviour"/>
    <w:p>
      <w:pPr>
        <w:pStyle w:val="Heading1"/>
      </w:pPr>
      <w:r>
        <w:t xml:space="preserve">7. Functional behaviour</w:t>
      </w:r>
    </w:p>
    <w:bookmarkStart w:id="36" w:name="X1b455cc76b90a2a34db11da193967402129e03f"/>
    <w:p>
      <w:pPr>
        <w:pStyle w:val="Heading2"/>
      </w:pPr>
      <w:r>
        <w:t xml:space="preserve">7.1 Eight of the sixteen channels reach pads, and they are two whole modules</w:t>
      </w:r>
    </w:p>
    <w:p>
      <w:pPr>
        <w:pStyle w:val="FirstParagraph"/>
      </w:pP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 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  <w:b/>
          <w:bCs/>
        </w:rPr>
        <w:t xml:space="preserve">ch_i_o[3:0]</w:t>
      </w:r>
      <w:r>
        <w:rPr>
          <w:b/>
          <w:bCs/>
        </w:rPr>
        <w:t xml:space="preserve"> </w:t>
      </w:r>
      <w:r>
        <w:rPr>
          <w:b/>
          <w:bCs/>
        </w:rPr>
        <w:t xml:space="preserve">is the four channels of 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</w:t>
      </w:r>
      <w:r>
        <w:t xml:space="preserve">.</w:t>
      </w:r>
    </w:p>
    <w:p>
      <w:pPr>
        <w:pStyle w:val="BodyText"/>
      </w:pPr>
      <w:r>
        <w:t xml:space="preserve">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 all four channels of module 0 and</w:t>
      </w:r>
      <w:r>
        <w:t xml:space="preserve"> </w:t>
      </w:r>
      <w:r>
        <w:t xml:space="preserve">all four of module 1 –</w:t>
      </w:r>
      <w:r>
        <w:t xml:space="preserve"> </w:t>
      </w:r>
      <w:r>
        <w:rPr>
          <w:b/>
          <w:bCs/>
        </w:rPr>
        <w:t xml:space="preserve">two modules at the pads</w:t>
      </w:r>
      <w:r>
        <w:t xml:space="preserve">. Since channels within a module</w:t>
      </w:r>
      <w:r>
        <w:t xml:space="preserve"> </w:t>
      </w:r>
      <w:r>
        <w:t xml:space="preserve">share that module’s counter and prescaler, firmware gets</w:t>
      </w:r>
      <w:r>
        <w:t xml:space="preserve"> </w:t>
      </w:r>
      <w:r>
        <w:rPr>
          <w:b/>
          <w:bCs/>
        </w:rPr>
        <w:t xml:space="preserve">two independent base</w:t>
      </w:r>
      <w:r>
        <w:rPr>
          <w:b/>
          <w:bCs/>
        </w:rP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at the pins, with four channels of independent duty and phase under each.</w:t>
      </w:r>
    </w:p>
    <w:p>
      <w:pPr>
        <w:pStyle w:val="Tablecaption0"/>
      </w:pPr>
      <w:r>
        <w:t xml:space="preserve">Table 7-1.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t xml:space="preserve">The other eight channels, modules 2 and 3, stay inside the chip and remain useful: any</w:t>
      </w:r>
      <w:r>
        <w:t xml:space="preserve"> </w:t>
      </w:r>
      <w:r>
        <w:t xml:space="preserve">of the sixteen can be selected as an event source, 7.3.</w:t>
      </w:r>
    </w:p>
    <w:bookmarkEnd w:id="36"/>
    <w:bookmarkStart w:id="37" w:name="Xefb720f4d38f32199a78ee4f261036d6a81d6f5"/>
    <w:p>
      <w:pPr>
        <w:pStyle w:val="Heading2"/>
      </w:pPr>
      <w:r>
        <w:t xml:space="preserve">7.2 Output shape comes from a LUT, not from a polarity bit</w:t>
      </w:r>
    </w:p>
    <w:p>
      <w:pPr>
        <w:pStyle w:val="FirstParagraph"/>
      </w:pPr>
      <w:r>
        <w:t xml:space="preserve">Each channel’s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turns the comparator result</w:t>
      </w:r>
      <w:r>
        <w:t xml:space="preserve"> </w:t>
      </w:r>
      <w:r>
        <w:rPr>
          <w:b/>
          <w:bCs/>
        </w:rPr>
        <w:t xml:space="preserve">plus the current output</w:t>
      </w:r>
      <w:r>
        <w:t xml:space="preserve"> </w:t>
      </w:r>
      <w:r>
        <w:t xml:space="preserve">into</w:t>
      </w:r>
      <w:r>
        <w:t xml:space="preserve"> </w:t>
      </w:r>
      <w:r>
        <w:t xml:space="preserve">the next output. That is what makes centre-aligned and inverted outputs a</w:t>
      </w:r>
      <w:r>
        <w:t xml:space="preserve"> </w:t>
      </w:r>
      <w:r>
        <w:t xml:space="preserve">configuration rather than extra hardware, and it is why the register is called a LUT</w:t>
      </w:r>
      <w:r>
        <w:t xml:space="preserve"> </w:t>
      </w:r>
      <w:r>
        <w:t xml:space="preserve">rather than a polarity bit.</w:t>
      </w:r>
    </w:p>
    <w:bookmarkEnd w:id="37"/>
    <w:bookmarkStart w:id="38" w:name="X03d73ead74ebb4ff7fa103d62a88486708f3653"/>
    <w:p>
      <w:pPr>
        <w:pStyle w:val="Heading2"/>
      </w:pPr>
      <w:r>
        <w:t xml:space="preserve">7.3 The four event lines are a multiplexer over the channel outputs</w:t>
      </w:r>
    </w:p>
    <w:p>
      <w:pPr>
        <w:pStyle w:val="FirstParagraph"/>
      </w:pPr>
      <w:r>
        <w:rPr>
          <w:b/>
          <w:bCs/>
        </w:rPr>
        <w:t xml:space="preserve">The fact most likely to be assumed wrongly.</w:t>
      </w:r>
      <w:r>
        <w:t xml:space="preserve"> </w:t>
      </w:r>
      <w:r>
        <w:t xml:space="preserve">The four event lines are not four</w:t>
      </w:r>
      <w:r>
        <w:t xml:space="preserve"> </w:t>
      </w:r>
      <w:r>
        <w:t xml:space="preserve">dedicated comparators. They are four selections from the sixteen channel outputs, each</w:t>
      </w:r>
      <w:r>
        <w:t xml:space="preserve"> </w:t>
      </w:r>
      <w:r>
        <w:t xml:space="preserve">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consequences, all firmware-visible: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</w:t>
      </w:r>
      <w:r>
        <w:t xml:space="preserve"> </w:t>
      </w:r>
      <w:r>
        <w:t xml:space="preserve">a 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– the classic edge detector, present value</w:t>
      </w:r>
      <w:r>
        <w:t xml:space="preserve"> </w:t>
      </w:r>
      <w:r>
        <w:t xml:space="preserve">AND the inverse of the previous.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 latch, so</w:t>
      </w:r>
      <w:r>
        <w:t xml:space="preserve"> </w:t>
      </w:r>
      <w:r>
        <w:rPr>
          <w:b/>
          <w:bCs/>
        </w:rPr>
        <w:t xml:space="preserve">these are the</w:t>
      </w:r>
      <w:r>
        <w:rPr>
          <w:b/>
          <w:bCs/>
        </w:rPr>
        <w:t xml:space="preserve"> </w:t>
      </w:r>
      <w:r>
        <w:rPr>
          <w:b/>
          <w:bCs/>
        </w:rPr>
        <w:t xml:space="preserve">narrowest interrupt sources in QSOC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</w:t>
      </w:r>
      <w:r>
        <w:t xml:space="preserve"> </w:t>
      </w:r>
      <w:r>
        <w:t xml:space="preserve">as pulses on that basis.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zero, so nothing fires until firmware writes both a</w:t>
      </w:r>
      <w:r>
        <w:t xml:space="preserve"> </w:t>
      </w:r>
      <w:r>
        <w:t xml:space="preserve">selection and an enable.</w:t>
      </w:r>
    </w:p>
    <w:bookmarkEnd w:id="38"/>
    <w:bookmarkStart w:id="39" w:name="Xfe44cae23fccf9cf96cb083913c343c4dbd03b9"/>
    <w:p>
      <w:pPr>
        <w:pStyle w:val="Heading2"/>
      </w:pPr>
      <w:r>
        <w:t xml:space="preserve">7.4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 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, so the signal is not reachable by software in this version of the IP.</w:t>
      </w:r>
    </w:p>
    <w:p>
      <w:pPr>
        <w:pStyle w:val="BodyText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 PWM event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No flag to poll, no counter to compare.</w:t>
      </w:r>
    </w:p>
    <w:p>
      <w:pPr>
        <w:pStyle w:val="BodyText"/>
      </w:pPr>
      <w:r>
        <w:rPr>
          <w:b/>
          <w:bCs/>
        </w:rPr>
        <w:t xml:space="preserve">Why that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between 23 microseconds and 1 millisecond away at the</w:t>
      </w:r>
      <w:r>
        <w:t xml:space="preserve"> </w:t>
      </w:r>
      <w:r>
        <w:t xml:space="preserve">frequencies of section 4.</w:t>
      </w:r>
      <w:r>
        <w:t xml:space="preserve"> </w:t>
      </w:r>
      <w:r>
        <w:rPr>
          <w:b/>
          <w:bCs/>
        </w:rPr>
        <w:t xml:space="preserve">The recovery mechanism is periodicity, not a status</w:t>
      </w:r>
      <w:r>
        <w:rPr>
          <w:b/>
          <w:bCs/>
        </w:rP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– which is why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states its pulse-recovery argument</w:t>
      </w:r>
      <w:r>
        <w:t xml:space="preserve"> </w:t>
      </w:r>
      <w:r>
        <w:t xml:space="preserve">in terms of periodicity.</w:t>
      </w:r>
    </w:p>
    <w:p>
      <w:pPr>
        <w:pStyle w:val="BodyText"/>
      </w:pPr>
      <w:r>
        <w:t xml:space="preserve">It fails in exactly one case: a module configured for a single shot, or stopped</w:t>
      </w:r>
      <w:r>
        <w:t xml:space="preserve"> </w:t>
      </w:r>
      <w:r>
        <w:t xml:space="preserve">immediately after the event.</w:t>
      </w:r>
      <w:r>
        <w:t xml:space="preserve"> </w:t>
      </w:r>
      <w:r>
        <w:rPr>
          <w:b/>
          <w:bCs/>
        </w:rPr>
        <w:t xml:space="preserve">Firmware must not use PWM events as one-off</w:t>
      </w:r>
      <w:r>
        <w:rPr>
          <w:b/>
          <w:bCs/>
        </w:rPr>
        <w:t xml:space="preserve"> </w:t>
      </w:r>
      <w:r>
        <w:rPr>
          <w:b/>
          <w:bCs/>
        </w:rPr>
        <w:t xml:space="preserve">notifications.</w:t>
      </w:r>
    </w:p>
    <w:bookmarkEnd w:id="39"/>
    <w:bookmarkStart w:id="40" w:name="X52c48a66044955311f7c21af2525b9bdf05802b"/>
    <w:p>
      <w:pPr>
        <w:pStyle w:val="Heading2"/>
      </w:pPr>
      <w:r>
        <w:t xml:space="preserve">7.5 The register file aliases across its region</w:t>
      </w:r>
    </w:p>
    <w:p>
      <w:pPr>
        <w:pStyle w:val="Tablecaption0"/>
      </w:pPr>
      <w:r>
        <w:t xml:space="preserve">Table 7-2.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ddress decode against region siz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 an</w:t>
      </w:r>
      <w:r>
        <w:t xml:space="preserve"> </w:t>
      </w:r>
      <w:r>
        <w:t xml:space="preserve">error. Same recommendation: accept the aliasing, document it, and do not spend logic on</w:t>
      </w:r>
      <w:r>
        <w:t xml:space="preserve"> </w:t>
      </w:r>
      <w:r>
        <w:t xml:space="preserve">a fault firmware cannot observe.</w:t>
      </w:r>
    </w:p>
    <w:bookmarkEnd w:id="40"/>
    <w:bookmarkStart w:id="41" w:name="external-triggers"/>
    <w:p>
      <w:pPr>
        <w:pStyle w:val="Heading2"/>
      </w:pPr>
      <w:r>
        <w:t xml:space="preserve">7.6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of start, stop and gate triggers, selected per module. A</w:t>
      </w:r>
      <w:r>
        <w:t xml:space="preserve"> </w:t>
      </w:r>
      <w:r>
        <w:t xml:space="preserve">module’s trigger pool includes</w:t>
      </w:r>
      <w:r>
        <w:t xml:space="preserve"> </w:t>
      </w:r>
      <w:r>
        <w:rPr>
          <w:b/>
          <w:bCs/>
        </w:rPr>
        <w:t xml:space="preserve">the other modules’ channel outputs</w:t>
      </w:r>
      <w:r>
        <w:t xml:space="preserve">, which is the</w:t>
      </w:r>
      <w:r>
        <w:t xml:space="preserve"> </w:t>
      </w:r>
      <w:r>
        <w:t xml:space="preserve">mechanism by which firmware can phase-relate channels on different modules despite</w:t>
      </w:r>
      <w:r>
        <w:t xml:space="preserve"> </w:t>
      </w:r>
      <w:r>
        <w:t xml:space="preserve">their independent counters – section 3.</w:t>
      </w:r>
    </w:p>
    <w:p>
      <w:pPr>
        <w:pStyle w:val="BodyText"/>
      </w:pPr>
      <w:r>
        <w:t xml:space="preserve">What drives</w:t>
      </w:r>
      <w:r>
        <w:t xml:space="preserve"> </w:t>
      </w:r>
      <w:r>
        <w:rPr>
          <w:rStyle w:val="VerbatimChar"/>
        </w:rPr>
        <w:t xml:space="preserve">ext_sig_i</w:t>
      </w:r>
      <w:r>
        <w:t xml:space="preserve"> </w:t>
      </w:r>
      <w:r>
        <w:t xml:space="preserve">at the top level is not settled; see section 11.</w:t>
      </w:r>
    </w:p>
    <w:bookmarkEnd w:id="41"/>
    <w:bookmarkStart w:id="42" w:name="low_speed_clk_i-is-not-a-clock"/>
    <w:p>
      <w:pPr>
        <w:pStyle w:val="Heading2"/>
      </w:pPr>
      <w:r>
        <w:t xml:space="preserve">7.7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 </w:t>
      </w:r>
      <w:r>
        <w:t xml:space="preserve">is not a clock</w:t>
      </w:r>
    </w:p>
    <w:p>
      <w:pPr>
        <w:pStyle w:val="FirstParagraph"/>
      </w:pPr>
      <w:r>
        <w:t xml:space="preserve">The block</w:t>
      </w:r>
      <w:r>
        <w:t xml:space="preserve"> </w:t>
      </w:r>
      <w:r>
        <w:rPr>
          <w:b/>
          <w:bCs/>
        </w:rPr>
        <w:t xml:space="preserve">samples</w:t>
      </w:r>
      <w:r>
        <w:t xml:space="preserve"> </w:t>
      </w:r>
      <w:r>
        <w:t xml:space="preserve">it rather than clocking from it, so it introduces no clock domain</w:t>
      </w:r>
      <w:r>
        <w:t xml:space="preserve"> </w:t>
      </w:r>
      <w:r>
        <w:t xml:space="preserve">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</w:t>
      </w:r>
      <w:r>
        <w:t xml:space="preserve"> </w:t>
      </w:r>
      <w:r>
        <w:t xml:space="preserve">counting rate is wanted.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this treatment.</w:t>
      </w:r>
    </w:p>
    <w:bookmarkEnd w:id="42"/>
    <w:bookmarkEnd w:id="43"/>
    <w:bookmarkStart w:id="44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. The four timer modules are internal to the IP, not four instances</w:t>
      </w:r>
      <w:r>
        <w:t xml:space="preserve"> </w:t>
      </w:r>
      <w:r>
        <w:t xml:space="preserve">of this block.</w:t>
      </w:r>
    </w:p>
    <w:bookmarkEnd w:id="44"/>
    <w:bookmarkStart w:id="45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 or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Nowhere.</w:t>
            </w:r>
            <w:r>
              <w:t xml:space="preserve"> </w:t>
            </w:r>
            <w:r>
              <w:rPr>
                <w:rStyle w:val="VerbatimChar"/>
              </w:rPr>
              <w:t xml:space="preserve">status_o</w:t>
            </w:r>
            <w:r>
              <w:t xml:space="preserve"> </w:t>
            </w:r>
            <w:r>
              <w:t xml:space="preserve">is not wired to the APB interface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acknowledge; the recovery is periodicity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module or channel raised an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Firmware, by remembering what it selected in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period-elapsed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Events are channel state changes, not period ends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 onto a CPU interrupt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between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– 7.1</w:t>
            </w:r>
          </w:p>
        </w:tc>
      </w:tr>
    </w:tbl>
    <w:bookmarkEnd w:id="45"/>
    <w:bookmarkStart w:id="46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firmware, integration and DFT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firmware, integration and DF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Stop the modules through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let the outputs reach idle before the clock is 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gated channel freezes at its current level, and for a power stage a held level is not a neutral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use PWM events as one-off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missed single-shot event is unrecoverable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both a selection and an enable in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interrupt at all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Never gate a running block</w:t>
            </w:r>
            <w:r>
              <w:t xml:space="preserve"> </w:t>
            </w:r>
            <w:r>
              <w:t xml:space="preserve">– recorded in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  <w:r>
              <w:t xml:space="preserve"> </w:t>
            </w:r>
            <w:r>
              <w:t xml:space="preserve">as this block’s special clock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the first row, from the other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rPr>
                <w:b/>
                <w:bCs/>
              </w:rPr>
              <w:t xml:space="preserve">tied low for QSOC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tied to the domain clock unless a slower rate is wanted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dft_cg_enable_i</w:t>
      </w:r>
      <w:r>
        <w:rPr>
          <w:b/>
          <w:bCs/>
        </w:rPr>
        <w:t xml:space="preserve"> </w:t>
      </w:r>
      <w:r>
        <w:rPr>
          <w:b/>
          <w:bCs/>
        </w:rPr>
        <w:t xml:space="preserve">and DFT.</w:t>
      </w:r>
      <w:r>
        <w:t xml:space="preserve"> </w:t>
      </w:r>
      <w:r>
        <w:t xml:space="preserve">The IP instantiates clock gating cells internally and</w:t>
      </w:r>
      <w:r>
        <w:t xml:space="preserve"> </w:t>
      </w:r>
      <w:r>
        <w:t xml:space="preserve">brings out this input to bypass them so scan can shift through otherwise gated logic.</w:t>
      </w:r>
      <w:r>
        <w:t xml:space="preserve"> </w:t>
      </w:r>
      <w:r>
        <w:rPr>
          <w:b/>
          <w:bCs/>
        </w:rPr>
        <w:t xml:space="preserve">For v1 it is tied low, because there is nothing to drive it from</w:t>
      </w:r>
      <w:r>
        <w:t xml:space="preserve">: the pad table</w:t>
      </w:r>
      <w:r>
        <w:t xml:space="preserve"> </w:t>
      </w:r>
      <w:r>
        <w:t xml:space="preserve">originally listed a combined test-mode / JTAG pin, and the Day005 review of 2026-09-18</w:t>
      </w:r>
      <w:r>
        <w:t xml:space="preserve"> </w:t>
      </w:r>
      <w:r>
        <w:t xml:space="preserve">established that entry had been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 removed it. With no</w:t>
      </w:r>
      <w:r>
        <w:t xml:space="preserve"> </w:t>
      </w:r>
      <w:r>
        <w:t xml:space="preserve">test-mode pin in the pad ring, a tie-off is the only option.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claim that QSOC has no scan. The same review ruled that a</w:t>
      </w:r>
      <w:r>
        <w:t xml:space="preserve"> </w:t>
      </w:r>
      <w:r>
        <w:t xml:space="preserve">specification must not assert the absence of test mode or scan, because DFT may be</w:t>
      </w:r>
      <w:r>
        <w:t xml:space="preserve"> </w:t>
      </w:r>
      <w:r>
        <w:t xml:space="preserve">added later. If it is, this tie-off becomes the first thing to revisit, and the input</w:t>
      </w:r>
      <w:r>
        <w:t xml:space="preserve"> </w:t>
      </w:r>
      <w:r>
        <w:t xml:space="preserve">already exists for it.</w:t>
      </w:r>
    </w:p>
    <w:bookmarkEnd w:id="46"/>
    <w:bookmarkStart w:id="47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paddr width for the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port list. The IP declares 12 bits; the 16 KiB region is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bit position for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clock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Which eight channels reach the pads</w:t>
            </w:r>
            <w:r>
              <w:t xml:space="preserve">, confirmed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here as modules 0 and 1, giving two base frequencies 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 MUX default for</w:t>
            </w:r>
            <w:r>
              <w:t xml:space="preserve"> </w:t>
            </w:r>
            <w:r>
              <w:rPr>
                <w:rStyle w:val="VerbatimChar"/>
              </w:rPr>
              <w:t xml:space="preserve">PIN_27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PWM or GPIO owns the pin out of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drives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, if anything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triggers. Tied 0 if nothing drives them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on line 7 of</w:t>
            </w:r>
            <w:r>
              <w:t xml:space="preserve"> </w:t>
            </w:r>
            <w:r>
              <w:rPr>
                <w:rStyle w:val="VerbatimChar"/>
              </w:rPr>
              <w:t xml:space="preserve">irq_fast_i</w:t>
            </w:r>
            <w:r>
              <w:t xml:space="preserve">, four sources, 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INTMAP owner (this author)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Settled in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event status anywhere; recovery is periodicity alone – 7.4.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Events are channel state changes, not period ends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One-cycle pulses, the narrowest sources in QSOC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264 bytes aliasing across 16 KiB –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Eight of sixteen channels reach pads, and they are two whole modules rather than</w:t>
      </w:r>
      <w:r>
        <w:t xml:space="preserve"> </w:t>
      </w:r>
      <w:r>
        <w:t xml:space="preserve">eight freely chosen channels – 7.1.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dft_cg_enable_i</w:t>
      </w:r>
      <w:r>
        <w:t xml:space="preserve"> </w:t>
      </w:r>
      <w:r>
        <w:t xml:space="preserve">tied low for v1 – section 10.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what drives</w:t>
      </w:r>
      <w:r>
        <w:t xml:space="preserve"> </w:t>
      </w:r>
      <w:r>
        <w:rPr>
          <w:rStyle w:val="VerbatimChar"/>
        </w:rPr>
        <w:t xml:space="preserve">ext_sig_i</w:t>
      </w:r>
      <w:r>
        <w:t xml:space="preserve">, and the gate count, which waits on</w:t>
      </w:r>
      <w:r>
        <w:t xml:space="preserve"> </w:t>
      </w:r>
      <w:r>
        <w:t xml:space="preserve">synthesis.</w:t>
      </w:r>
    </w:p>
    <w:bookmarkEnd w:id="47"/>
    <w:bookmarkStart w:id="48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arrives with no testbench, so all of this is QSOC’s to write.</w:t>
      </w:r>
    </w:p>
    <w:p>
      <w:pPr>
        <w:pStyle w:val="Tablecaption0"/>
      </w:pPr>
      <w:r>
        <w:t xml:space="preserve">Table 12-1.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Verification QSOC must ad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ch_i_o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carries the four channels of module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pad decision of 7.1 rests on it, and an earlier revision of this document had it backwards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modules at the pads give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base frequencies, four channels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event fires on a</w:t>
            </w:r>
            <w:r>
              <w:t xml:space="preserve"> </w:t>
            </w:r>
            <w:r>
              <w:rPr>
                <w:b/>
                <w:bCs/>
              </w:rPr>
              <w:t xml:space="preserve">channel state change</w:t>
            </w:r>
            <w:r>
              <w:t xml:space="preserve">, not at the end of a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7.3, the fact most likely to be assumed wrongly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event pulse is exactly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 in every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7.3, and the width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event fires until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has both a selection and an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 and duty are independent: changing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disturbs neither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nor the other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Up-down mode produces a centre-aligned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Gating the clock mid-run freezes the output at its current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hazard of section 10, proven rather than assumed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access beyond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  <w:r>
              <w:t xml:space="preserve"> </w:t>
            </w:r>
            <w:r>
              <w:t xml:space="preserve">neither faults nor corrupts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base frequencies with four</w:t>
      </w:r>
      <w:r>
        <w:t xml:space="preserve"> </w:t>
      </w:r>
      <w:r>
        <w:t xml:space="preserve">independently adjustable duty cycles under each, and an event interrupt arrives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wide on a channel edge that firmware selected.</w:t>
      </w:r>
    </w:p>
    <w:bookmarkEnd w:id="48"/>
    <w:bookmarkStart w:id="49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 enable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that bypasses the IP’s internal clock gates for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selecting and enabling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Table; here the per-channel output shaping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threshold;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is the duty threshold</w:t>
            </w:r>
          </w:p>
        </w:tc>
      </w:tr>
    </w:tbl>
    <w:bookmarkEnd w:id="49"/>
    <w:bookmarkStart w:id="50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V2.0: 634 lines to this, with the record kept whole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They are a multiplexer over channel outputs – 7.3, given its own section for that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for PWM, and section 4 gives the numbers. It would not be for a timebase, which is why that is a different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ch_i_o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RTL, against V1.5 of this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V1.5 had it as channel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of every module, which was wrong. It is 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 so eight pads are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base frequencies, not four. Corrected in V1.6</w:t>
            </w:r>
          </w:p>
        </w:tc>
      </w:tr>
    </w:tbl>
    <w:bookmarkEnd w:id="50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2026-09-23T12:56:52Z</dcterms:created>
  <dcterms:modified xsi:type="dcterms:W3CDTF">2026-09-23T12:56:52Z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