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 and constraints</w:t>
          </w:r>
        </w:p>
        <w:p>
          <w:pPr>
            <w:pStyle w:val="TOC1"/>
            <w:ind w:left="180"/>
            <w:jc w:val="left"/>
          </w:pPr>
          <w:r>
            <w:t xml:space="preserve">Table 7-5.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names to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V1.0:</w:t>
            </w:r>
            <w:r>
              <w:t xml:space="preserve"> </w:t>
            </w:r>
            <w:r>
              <w:rPr>
                <w:rStyle w:val="VerbatimChar"/>
              </w:rPr>
              <w:t xml:space="preserve">o_dbg_req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, AXI named per channel (</w:t>
            </w:r>
            <w:r>
              <w:rPr>
                <w:rStyle w:val="VerbatimChar"/>
              </w:rPr>
              <w:t xml:space="preserve">o_bus_axi_ar_valid</w:t>
            </w:r>
            <w:r>
              <w:t xml:space="preserve">, …).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&lt;BLOCK&gt;_NNN</w:t>
            </w:r>
            <w:r>
              <w:t xml:space="preserve">), for traceability to tests.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figures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BodyText"/>
      </w:pPr>
      <w:r>
        <w:t xml:space="preserve">Three domains, as labelled in the figure: TCK (</w:t>
      </w:r>
      <w:r>
        <w:rPr>
          <w:rStyle w:val="VerbatimChar"/>
        </w:rPr>
        <w:t xml:space="preserve">i_jtag_tck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i_jtag_trst_n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), AXI (</w:t>
      </w:r>
      <w:r>
        <w:rPr>
          <w:rStyle w:val="VerbatimChar"/>
        </w:rPr>
        <w:t xml:space="preserve">i_clk_cpu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i_rst_n_sysbus</w:t>
      </w:r>
      <w:r>
        <w:t xml:space="preserve">) and system (</w:t>
      </w:r>
      <w:r>
        <w:rPr>
          <w:rStyle w:val="VerbatimChar"/>
        </w:rPr>
        <w:t xml:space="preserve">i_clk_cpu</w:t>
      </w:r>
      <w:r>
        <w:t xml:space="preserve">,</w:t>
      </w:r>
      <w:r>
        <w:t xml:space="preserve"> </w:t>
      </w:r>
      <w:r>
        <w:t xml:space="preserve">reset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).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o_dbg_cpu_hold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o_dbg_cpu_hold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o_dbg_cpu_hold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o_dbg_cpu_hold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figures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pads (</w:t>
            </w:r>
            <w:r>
              <w:rPr>
                <w:rStyle w:val="VerbatimChar"/>
              </w:rPr>
              <w:t xml:space="preserve">TCK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TRST_N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single-step,</w:t>
      </w:r>
      <w:r>
        <w:t xml:space="preserve"> </w:t>
      </w:r>
      <w:r>
        <w:rPr>
          <w:rStyle w:val="VerbatimChar"/>
        </w:rPr>
        <w:t xml:space="preserve">ebreak</w:t>
      </w:r>
      <w:r>
        <w:t xml:space="preserve"> </w:t>
      </w:r>
      <w:r>
        <w:t xml:space="preserve">in RAM,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p>
      <w:pPr>
        <w:pStyle w:val="FirstParagraph"/>
      </w:pPr>
      <w:r>
        <w:t xml:space="preserve">To debug the ROM bootloader from its first instruction: debug boot, halt before</w:t>
      </w:r>
      <w:r>
        <w:t xml:space="preserve"> </w:t>
      </w:r>
      <w:r>
        <w:t xml:space="preserve">the first instruction (step 4), write</w:t>
      </w:r>
      <w:r>
        <w:t xml:space="preserve"> </w:t>
      </w:r>
      <w:r>
        <w:rPr>
          <w:rStyle w:val="VerbatimChar"/>
        </w:rPr>
        <w:t xml:space="preserve">dpc = 0x0000_0080</w:t>
      </w:r>
      <w:r>
        <w:t xml:space="preserve"> </w:t>
      </w:r>
      <w:r>
        <w:t xml:space="preserve">with a sequence, then</w:t>
      </w:r>
      <w:r>
        <w:t xml:space="preserve"> </w:t>
      </w:r>
      <w:r>
        <w:t xml:space="preserve">single-step (</w:t>
      </w:r>
      <w:r>
        <w:rPr>
          <w:rStyle w:val="VerbatimChar"/>
        </w:rPr>
        <w:t xml:space="preserve">dcsr.step</w:t>
      </w:r>
      <w:r>
        <w:t xml:space="preserve">) or resume. No hardware trigger is needed.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911669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figures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 synchronised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after the delay flip-flop,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 synchronised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after the delay flip-flop,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 and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 and constrain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o_dbg_req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held, or across a watchdog</w:t>
      </w:r>
      <w:r>
        <w:t xml:space="preserve"> </w:t>
      </w:r>
      <w:r>
        <w:t xml:space="preserve">reset,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7-5.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</w:t>
            </w:r>
            <w:r>
              <w:t xml:space="preserve"> </w:t>
            </w:r>
            <w:r>
              <w:rPr>
                <w:rStyle w:val="VerbatimChar"/>
              </w:rPr>
              <w:t xml:space="preserve">ebreak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window. No hardware triggers (</w:t>
            </w:r>
            <w:r>
              <w:rPr>
                <w:rStyle w:val="VerbatimChar"/>
              </w:rPr>
              <w:t xml:space="preserve">DbgTriggerEn = 0</w:t>
            </w:r>
            <w:r>
              <w:t xml:space="preserve">)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o_bus_axi_{ar,aw}_lock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a dedicated input pad, pull-down on the board. If no pad is free, it may share a pad whose IO MUX default is an input, since it is sampled only after 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DmBaseAddr</w:t>
            </w:r>
            <w:r>
              <w:t xml:space="preserve">/</w:t>
            </w:r>
            <w:r>
              <w:rPr>
                <w:rStyle w:val="VerbatimChar"/>
              </w:rPr>
              <w:t xml:space="preserve">DmAddrMask</w:t>
            </w:r>
            <w:r>
              <w:t xml:space="preserve"> </w:t>
            </w:r>
            <w:r>
              <w:t xml:space="preserve">act only with PMP, which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  <w:r>
              <w:t xml:space="preserve">. The CPU is held by reset (</w:t>
            </w:r>
            <w:r>
              <w:rPr>
                <w:rStyle w:val="VerbatimChar"/>
              </w:rPr>
              <w:t xml:space="preserve">o_dbg_cpu_hold</w:t>
            </w:r>
            <w:r>
              <w:t xml:space="preserve">), not by fetch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boot; a second hold would need its own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HAS Table 7-1 (already gone from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five JTAG pads 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SYSDBG_001</w:t>
      </w:r>
      <w:r>
        <w:t xml:space="preserve"> </w:t>
      </w: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SYSDBG_002</w:t>
      </w:r>
      <w:r>
        <w:t xml:space="preserve"> </w:t>
      </w: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SYSDBG_003</w:t>
      </w:r>
      <w:r>
        <w:t xml:space="preserve"> </w:t>
      </w: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SYSDBG_004</w:t>
      </w:r>
      <w:r>
        <w:t xml:space="preserve"> </w:t>
      </w: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SYSDBG_005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SYSDBG_006</w:t>
      </w:r>
      <w:r>
        <w:t xml:space="preserve"> </w:t>
      </w: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SYSDBG_007</w:t>
      </w:r>
      <w:r>
        <w:t xml:space="preserve"> </w:t>
      </w: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SYSDBG_008</w:t>
      </w:r>
      <w:r>
        <w:t xml:space="preserve"> </w:t>
      </w: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SYSDBG_009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SYSDBG_010</w:t>
      </w:r>
      <w:r>
        <w:t xml:space="preserve"> </w:t>
      </w: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SYSDBG_011</w:t>
      </w:r>
      <w:r>
        <w:t xml:space="preserve"> </w:t>
      </w: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list names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for the debugger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Owner, 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early pick from the V1.x memory-style port. The block is self-designed, as the teacher asks: its own AXI4 manager (7.5) connects to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directly, and no IP is instantiated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D21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2026-09-30T11:11:02Z</dcterms:created>
  <dcterms:modified xsi:type="dcterms:W3CDTF">2026-09-30T11:11:02Z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V3.2</vt:lpwstr>
  </property>
</Properties>
</file>