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w:t>
      </w:r>
      <w:r>
        <w:t xml:space="preserve"> </w:t>
      </w:r>
      <w:r>
        <w:t xml:space="preserve">now the two register files</w:t>
      </w:r>
      <w:r>
        <w:t xml:space="preserve"> </w:t>
      </w:r>
      <w:r>
        <w:rPr>
          <w:i/>
          <w:iCs/>
        </w:rPr>
        <w:t xml:space="preserve">inside</w:t>
      </w:r>
      <w:r>
        <w:t xml:space="preserve"> </w:t>
      </w:r>
      <w:r>
        <w:t xml:space="preserve">SCRC, so the name used here is SCRC.)</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SYSCTL</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SYSCTL</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2026-09-22T17:20:50Z</dcterms:created>
  <dcterms:modified xsi:type="dcterms:W3CDTF">2026-09-22T17:20:50Z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