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jc w:val="center"/>
      </w:pPr>
      <w:r>
        <w:t>VaccineNLP: An Explainable Human-in-the-Loop Multi-Task NLP Framework for Vietnamese Vaccine Misinformation Surveillance</w:t>
      </w:r>
    </w:p>
    <w:p>
      <w:pPr>
        <w:pStyle w:val="author"/>
        <w:jc w:val="center"/>
      </w:pPr>
      <w:r>
        <w:t>Manh Hung Kim</w:t>
      </w:r>
      <w:r>
        <w:rPr>
          <w:vertAlign w:val="superscript"/>
        </w:rPr>
        <w:t>1</w:t>
      </w:r>
      <w:r>
        <w:t xml:space="preserve">, </w:t>
      </w:r>
      <w:r>
        <w:t>Quynh Phuong Dinh Le</w:t>
      </w:r>
      <w:r>
        <w:rPr>
          <w:vertAlign w:val="superscript"/>
        </w:rPr>
        <w:t>1</w:t>
      </w:r>
      <w:r>
        <w:t xml:space="preserve">, </w:t>
      </w:r>
      <w:r>
        <w:t>Lam Quan Tran</w:t>
      </w:r>
      <w:r>
        <w:rPr>
          <w:vertAlign w:val="superscript"/>
        </w:rPr>
        <w:t>2</w:t>
      </w:r>
      <w:r>
        <w:t xml:space="preserve">, </w:t>
      </w:r>
      <w:r>
        <w:t>Hong Viet Tran</w:t>
      </w:r>
      <w:r>
        <w:rPr>
          <w:vertAlign w:val="superscript"/>
        </w:rPr>
        <w:t>3</w:t>
      </w:r>
      <w:r>
        <w:t xml:space="preserve">, and </w:t>
      </w:r>
      <w:r>
        <w:t>Hang Nguyet Van Nguyen</w:t>
      </w:r>
      <w:r>
        <w:rPr>
          <w:vertAlign w:val="superscript"/>
        </w:rPr>
        <w:t>1</w:t>
      </w:r>
    </w:p>
    <w:p>
      <w:pPr>
        <w:pStyle w:val="address"/>
        <w:jc w:val="center"/>
      </w:pPr>
      <w:r>
        <w:rPr>
          <w:vertAlign w:val="superscript"/>
        </w:rPr>
        <w:t>1</w:t>
      </w:r>
      <w:r>
        <w:t xml:space="preserve"> Ha Noi University of Public Health, Ha Noi, Viet Nam</w:t>
      </w:r>
      <w:r>
        <w:br/>
      </w:r>
      <w:r>
        <w:t>Email: 2211090016@studenthuph.edu.vn</w:t>
      </w:r>
    </w:p>
    <w:p>
      <w:pPr>
        <w:pStyle w:val="address"/>
        <w:jc w:val="center"/>
      </w:pPr>
      <w:r>
        <w:rPr>
          <w:vertAlign w:val="superscript"/>
        </w:rPr>
        <w:t>2</w:t>
      </w:r>
      <w:r>
        <w:t xml:space="preserve"> Digital Health Center, Ha Noi University of Public Health, Ha Noi, Viet Nam</w:t>
      </w:r>
    </w:p>
    <w:p>
      <w:pPr>
        <w:pStyle w:val="address"/>
        <w:jc w:val="center"/>
      </w:pPr>
      <w:r>
        <w:rPr>
          <w:vertAlign w:val="superscript"/>
        </w:rPr>
        <w:t>3</w:t>
      </w:r>
      <w:r>
        <w:t xml:space="preserve"> Institute of Artificial Intelligence, VNU University of Engineering and Technology, Vietnam National University, Hanoi, Vietnam</w:t>
      </w:r>
    </w:p>
    <w:p>
      <w:pPr>
        <w:pStyle w:val="abstract"/>
        <w:spacing w:before="280" w:after="60" w:line="240" w:lineRule="auto"/>
        <w:jc w:val="both"/>
      </w:pPr>
      <w:r>
        <w:t>Abstract. Vaccine misinformation has become a public-health informatics challenge in Vietnamese digital environments, where social media posts, online comments, and informal vaccine narratives can shape vaccine confidence. This paper presents VaccineNLP, an explainable human-in-the-loop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pPr>
        <w:pStyle w:val="keywords"/>
        <w:jc w:val="left"/>
      </w:pPr>
      <w:r>
        <w:t>Keywords: Vaccine misinformation; Vietnamese NLP; Infodemic surveillance; Human-in-the-loop; Explainable AI; Multi-task learning; PhoBERT; Confidence calibration.</w:t>
      </w:r>
    </w:p>
    <w:p>
      <w:pPr>
        <w:pStyle w:val="heading1"/>
      </w:pPr>
      <w:r>
        <w:t>Introduction</w:t>
      </w:r>
    </w:p>
    <w:p>
      <w:pPr>
        <w:pStyle w:val="p1a"/>
      </w:pPr>
      <w: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Organization describes the overabundance of accurate and inaccurate information during health crises as an infodemic, a phenomenon that requires monitoring, analysis, and timely response [1,7].</w:t>
      </w:r>
    </w:p>
    <w:p>
      <w:pPr/>
      <w: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pPr/>
      <w:r>
        <w:t>The study is organized around three research questions that are retained in this proceedings paper.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are deliberately operational: they connect model accuracy with the needs of public-health analysts who must prioritize limited review capacity during an infodemic.</w:t>
      </w:r>
    </w:p>
    <w:p>
      <w:pPr/>
      <w:r>
        <w:t>The Vietnamese setting makes this problem especially relevant for FISAT themes in artificial intelligence, digital transformation, and applied health informatics.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pPr>
        <w:pStyle w:val="heading2"/>
      </w:pPr>
      <w:r>
        <w:t>Research Contributions</w:t>
      </w:r>
    </w:p>
    <w:p>
      <w:pPr>
        <w:pStyle w:val="p1a"/>
      </w:pPr>
      <w:r>
        <w:t>This paper contributes an applied intelligent-system study for the FISAT/Springer proceedings scope, at the intersection of natural language processing, trustworthy AI, health informatics, and social media analytics. Consistent with the original study protocol, the paper addresses two aims: (i) to build and evaluate Vietnamese NLP models for vaccine-related misinformation, stance, and sentiment classification; and (ii) to assess the usefulness and limitations of LLM support for medical text annotation and explanation. To make the research contribution explicit, the paper reports four concrete outputs: C1, an expert-validated Vietnamese Gold Test Set for vaccine-related misinformation, stance, and sentiment; C2, a controlled benchmark of XLM-RoBERTa, PhoBERT-v2, and Gemma-4 4B on the same evaluation split; C3, a confidence-calibrated explainable HITL workflow for trustworthy public-health deployment; and C4, empirical evidence that LLM-based annotation remains insufficient as a replacement for expert medical fact-checking.</w:t>
      </w:r>
    </w:p>
    <w:p>
      <w:pPr>
        <w:pStyle w:val="heading1"/>
      </w:pPr>
      <w:r>
        <w:t>Related Work and Research Gap</w:t>
      </w:r>
    </w:p>
    <w:p>
      <w:pPr>
        <w:pStyle w:val="p1a"/>
      </w:pPr>
      <w: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pPr/>
      <w: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pPr/>
      <w: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pPr/>
      <w:r>
        <w:t>Table 1 positions the proposed study against related work. The table is intentionally presented as a research-positioning comparison, not as a direct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pPr>
        <w:pStyle w:val="tablecaption"/>
        <w:spacing w:before="80" w:after="20" w:line="240" w:lineRule="auto"/>
        <w:ind w:left="0" w:right="0" w:firstLine="0"/>
      </w:pPr>
      <w:r>
        <w:rPr>
          <w:b/>
          <w:i/>
        </w:rPr>
        <w:t xml:space="preserve">Table 1. </w:t>
      </w:r>
      <w:r>
        <w:rPr>
          <w:i/>
        </w:rPr>
        <w:t>Research-positioning comparison of VaccineNLP against related misinformation and vaccine NLP studies.</w:t>
      </w:r>
    </w:p>
    <w:tbl>
      <w:tblPr>
        <w:tblW w:type="dxa" w:w="6900"/>
        <w:jc w:val="center"/>
        <w:tblLayout w:type="fixed"/>
        <w:tblLook w:firstColumn="1" w:firstRow="1" w:lastColumn="0" w:lastRow="0" w:noHBand="0" w:noVBand="1" w:val="04A0"/>
        <w:tblInd w:w="0" w:type="dxa"/>
      </w:tblPr>
      <w:tblGrid>
        <w:gridCol w:w="1097"/>
        <w:gridCol w:w="1254"/>
        <w:gridCol w:w="1725"/>
        <w:gridCol w:w="1411"/>
        <w:gridCol w:w="1413"/>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Study</w:t>
            </w:r>
          </w:p>
        </w:tc>
        <w:tc>
          <w:tcPr>
            <w:tcW w:type="dxa" w:w="125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Setting</w:t>
            </w:r>
          </w:p>
        </w:tc>
        <w:tc>
          <w:tcPr>
            <w:tcW w:type="dxa" w:w="172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Main task / model</w:t>
            </w:r>
          </w:p>
        </w:tc>
        <w:tc>
          <w:tcPr>
            <w:tcW w:type="dxa" w:w="14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Reported result</w:t>
            </w:r>
          </w:p>
        </w:tc>
        <w:tc>
          <w:tcPr>
            <w:tcW w:type="dxa" w:w="141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Gap addressed by VaccineNLP</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ANTi-Vax [5]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English Twitter vaccine comments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Binary vaccine misinformation detection with transformer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High in-domain F1 on a large English corpus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Not Vietnamese; binary labels do not separate misinformation, stance, and sentiment.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VaxxHesitancy [25]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English Twitter vaccine hesitancy</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Domain-specific VaxxBERT for stance and hesitancy analysis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F1 about 0.69 for hesitancy classification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Focuses on hesitancy rather than medical misinformation verification.</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Checkovid [26]</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COVID-19 misinformation on Twitter</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Network and content mining with ML/NLP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Strong F1 under Twitter-based COVID-19 detection settings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Relies on Twitter-centric features; not tailored to Vietnamese vaccine discourse.</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DANN + LIME on CoAID/MiSoVac [27]</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Cross-platform COVID-19 misinformation</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Domain adaptation plus explainable AI</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Improved cross-domain F1 with LIME explanations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Explanation is model-agnostic; no Vietnamese HITL Gold Test Set or calibration analysis.</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LLM annotation studies [13]</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General text annotation tasks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LLMs as labelers or crowd-worker alternatives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Often competitive in non-medical annotation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Medical truth claims still require expert review; our misinformation kappa was only 0.0525.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VaccineNLP (this study)</w:t>
            </w:r>
          </w:p>
        </w:tc>
        <w:tc>
          <w:tcPr>
            <w:tcW w:type="dxa" w:w="125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Vietnamese multi-source vaccine discourse</w:t>
            </w:r>
          </w:p>
        </w:tc>
        <w:tc>
          <w:tcPr>
            <w:tcW w:type="dxa" w:w="172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XLM-R, PhoBERT-v2 multi-task learning, Gemma-4 4B QLoRA, HITL, calibration</w:t>
            </w:r>
          </w:p>
        </w:tc>
        <w:tc>
          <w:tcPr>
            <w:tcW w:type="dxa" w:w="14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Mean Macro F1 = 0.6967; ECE reduced 44--56%</w:t>
            </w:r>
          </w:p>
        </w:tc>
        <w:tc>
          <w:tcPr>
            <w:tcW w:type="dxa" w:w="141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Provides Vietnamese tri-axis labels, expert validation, calibrated confidence, and operational XAI.</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Reported scores are not directly comparable because datasets, languages, label definitions, and validation protocols differ.</w:t>
      </w:r>
    </w:p>
    <w:p>
      <w:pPr>
        <w:pStyle w:val="p1a"/>
      </w:pPr>
      <w:r>
        <w:t>Accordingly, Table 1 should be read as a research-positioning comparison rather than as a direct benchmark. The controlled experimental comparison is reported later in Tables 6 and 7, where XLM-RoBERTa, PhoBERT-v2, and Gemma-4 4B are evaluated on the same Vietnamese Gold Test Set under the same label schema.</w:t>
      </w:r>
    </w:p>
    <w:p>
      <w:pPr/>
      <w: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pPr/>
      <w: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pPr>
        <w:pStyle w:val="heading1"/>
      </w:pPr>
      <w:r>
        <w:t>Materials and Methods</w:t>
      </w:r>
    </w:p>
    <w:p>
      <w:pPr>
        <w:pStyle w:val="heading2"/>
      </w:pPr>
      <w:r>
        <w:t>Data Collection and Processing</w:t>
      </w:r>
    </w:p>
    <w:p>
      <w:pPr>
        <w:pStyle w:val="p1a"/>
      </w:pPr>
      <w:r>
        <w:t>The study uses secondary public text data and a supervised machine-learning design. The unit of analysis is a Vietnamese vaccine-related post, article, video description, or comment. Data were collected from January 2020 to March 2026 from online news, Facebook, YouTube, Reddit, and public forums. Private messages were excluded. Table 2 summarizes the source-level collection and cleaning pipeline.</w:t>
      </w:r>
    </w:p>
    <w:p>
      <w:pPr/>
      <w:r>
        <w:t>Eligible texts were public Vietnamese-language items discussing human vaccination, vaccine safety, vaccine policy, adverse events, or vaccine-related trust and refusal. Exclusion criteria followed the study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pPr>
        <w:pStyle w:val="tablecaption"/>
        <w:spacing w:before="80" w:after="20" w:line="240" w:lineRule="auto"/>
        <w:ind w:left="0" w:right="0" w:firstLine="0"/>
      </w:pPr>
      <w:r>
        <w:rPr>
          <w:b/>
          <w:i/>
        </w:rPr>
        <w:t xml:space="preserve">Table 2. </w:t>
      </w:r>
      <w:r>
        <w:rPr>
          <w:i/>
        </w:rPr>
        <w:t>Data sources and cleaning pipeline.</w:t>
      </w:r>
    </w:p>
    <w:tbl>
      <w:tblPr>
        <w:tblW w:type="dxa" w:w="6900"/>
        <w:jc w:val="center"/>
        <w:tblLayout w:type="fixed"/>
        <w:tblLook w:firstColumn="1" w:firstRow="1" w:lastColumn="0" w:lastRow="0" w:noHBand="0" w:noVBand="1" w:val="04A0"/>
        <w:tblInd w:w="0" w:type="dxa"/>
      </w:tblPr>
      <w:tblGrid>
        <w:gridCol w:w="1861"/>
        <w:gridCol w:w="985"/>
        <w:gridCol w:w="1259"/>
        <w:gridCol w:w="985"/>
        <w:gridCol w:w="1095"/>
        <w:gridCol w:w="715"/>
      </w:tblGrid>
      <w:tr>
        <w:trPr>
          <w:tblHeader w:val="true"/>
        </w:trPr>
        <w:tc>
          <w:tcPr>
            <w:tcW w:type="dxa" w:w="186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Source</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Initial</w:t>
            </w:r>
          </w:p>
        </w:tc>
        <w:tc>
          <w:tcPr>
            <w:tcW w:type="dxa" w:w="125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Deduplicated</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Cleaned</w:t>
            </w:r>
          </w:p>
        </w:tc>
        <w:tc>
          <w:tcPr>
            <w:tcW w:type="dxa" w:w="109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Annotated</w:t>
            </w:r>
          </w:p>
        </w:tc>
        <w:tc>
          <w:tcPr>
            <w:tcW w:type="dxa" w:w="7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Online news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436</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338</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291</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270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14.5</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Facebook</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1,212</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922</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812</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40.4</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YouTube</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1,168</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890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784</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723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39.0</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Reddit/forums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184</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140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123</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113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6.1</w:t>
            </w:r>
          </w:p>
        </w:tc>
      </w:tr>
      <w:tr>
        <w:tc>
          <w:tcPr>
            <w:tcW w:type="dxa" w:w="186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Total</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3,000</w:t>
            </w:r>
          </w:p>
        </w:tc>
        <w:tc>
          <w:tcPr>
            <w:tcW w:type="dxa" w:w="125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2,290</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2,010</w:t>
            </w:r>
          </w:p>
        </w:tc>
        <w:tc>
          <w:tcPr>
            <w:tcW w:type="dxa" w:w="109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1,856</w:t>
            </w:r>
          </w:p>
        </w:tc>
        <w:tc>
          <w:tcPr>
            <w:tcW w:type="dxa" w:w="7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100.0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Annotated samples are texts retained after source-level filtering, deduplication, text cleaning, and vaccine-relevance screening.</w:t>
      </w:r>
    </w:p>
    <w:p>
      <w:pPr>
        <w:pStyle w:val="p1a"/>
      </w:pPr>
      <w: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pPr/>
      <w: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pPr/>
      <w: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pPr/>
      <w: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surrounding claim. For PhoBERT-v2, the cleaned text was subsequently word-segmented so that the model received the tokenization format expected by Vietnamese pre-training.</w:t>
      </w:r>
    </w:p>
    <w:p>
      <w:pPr>
        <w:pStyle w:val="heading2"/>
      </w:pPr>
      <w:r>
        <w:t>Annotation Schema and HITL Review</w:t>
      </w:r>
    </w:p>
    <w:p>
      <w:pPr>
        <w:pStyle w:val="p1a"/>
      </w:pPr>
      <w: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pPr/>
      <w: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pPr>
        <w:pStyle w:val="tablecaption"/>
        <w:spacing w:before="80" w:after="20" w:line="240" w:lineRule="auto"/>
        <w:ind w:left="0" w:right="0" w:firstLine="0"/>
      </w:pPr>
      <w:r>
        <w:rPr>
          <w:b/>
          <w:i/>
        </w:rPr>
        <w:t xml:space="preserve">Table 3. </w:t>
      </w:r>
      <w:r>
        <w:rPr>
          <w:i/>
        </w:rPr>
        <w:t>Operational annotation schema used for HITL review.</w:t>
      </w:r>
    </w:p>
    <w:tbl>
      <w:tblPr>
        <w:tblW w:type="dxa" w:w="6900"/>
        <w:jc w:val="center"/>
        <w:tblLayout w:type="fixed"/>
        <w:tblLook w:firstColumn="1" w:firstRow="1" w:lastColumn="0" w:lastRow="0" w:noHBand="0" w:noVBand="1" w:val="04A0"/>
        <w:tblInd w:w="0" w:type="dxa"/>
      </w:tblPr>
      <w:tblGrid>
        <w:gridCol w:w="1515"/>
        <w:gridCol w:w="1986"/>
        <w:gridCol w:w="3399"/>
      </w:tblGrid>
      <w:tr>
        <w:trPr>
          <w:tblHeader w:val="true"/>
        </w:trPr>
        <w:tc>
          <w:tcPr>
            <w:tcW w:type="dxa" w:w="15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Axis</w:t>
            </w:r>
          </w:p>
        </w:tc>
        <w:tc>
          <w:tcPr>
            <w:tcW w:type="dxa" w:w="198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Label</w:t>
            </w:r>
          </w:p>
        </w:tc>
        <w:tc>
          <w:tcPr>
            <w:tcW w:type="dxa" w:w="339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Operational definition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Contains false, misleading, unsupported, or context-stripped vaccine claims.</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Correct / not misleading</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Consistent with available evidence or does not contain an evident misleading claim.</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Expresses trust, acceptance, recommendation, or encouragement toward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Provides information, asks a question, or reports an event without a clear orientation.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Opposing / hesitant</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Expresses refusal, distrust, fear, or advice against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Positive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Shows confidence, relief, hope, or supportive emotion.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Does not express a clear affective polarity.</w:t>
            </w:r>
          </w:p>
        </w:tc>
      </w:tr>
      <w:tr>
        <w:tc>
          <w:tcPr>
            <w:tcW w:type="dxa" w:w="15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Negative</w:t>
            </w:r>
          </w:p>
        </w:tc>
        <w:tc>
          <w:tcPr>
            <w:tcW w:type="dxa" w:w="339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Shows fear, anger, anxiety, distrust, or blame.</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Personal post-vaccination experience was not automatically labeled as misinformation unless it made an unsupported causal claim or harmful recommendation.</w:t>
      </w:r>
    </w:p>
    <w:p>
      <w:pPr>
        <w:pStyle w:val="p1a"/>
      </w:pPr>
      <w: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pPr>
        <w:pStyle w:val="tablecaption"/>
        <w:spacing w:before="80" w:after="20" w:line="240" w:lineRule="auto"/>
        <w:ind w:left="0" w:right="0" w:firstLine="0"/>
      </w:pPr>
      <w:r>
        <w:rPr>
          <w:b/>
          <w:i/>
        </w:rPr>
        <w:t xml:space="preserve">Table 4. </w:t>
      </w:r>
      <w:r>
        <w:rPr>
          <w:i/>
        </w:rPr>
        <w:t>Dataset split and label counts used for training and evaluation.</w:t>
      </w:r>
    </w:p>
    <w:tbl>
      <w:tblPr>
        <w:tblW w:type="dxa" w:w="6900"/>
        <w:jc w:val="center"/>
        <w:tblLayout w:type="fixed"/>
        <w:tblLook w:firstColumn="1" w:firstRow="1" w:lastColumn="0" w:lastRow="0" w:noHBand="0" w:noVBand="1" w:val="04A0"/>
        <w:tblInd w:w="0" w:type="dxa"/>
      </w:tblPr>
      <w:tblGrid>
        <w:gridCol w:w="1025"/>
        <w:gridCol w:w="707"/>
        <w:gridCol w:w="635"/>
        <w:gridCol w:w="717"/>
        <w:gridCol w:w="625"/>
        <w:gridCol w:w="656"/>
        <w:gridCol w:w="625"/>
        <w:gridCol w:w="625"/>
        <w:gridCol w:w="656"/>
        <w:gridCol w:w="629"/>
      </w:tblGrid>
      <w:tr>
        <w:trPr>
          <w:tblHeader w:val="true"/>
        </w:trPr>
        <w:tc>
          <w:tcPr>
            <w:tcW w:type="dxa" w:w="10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2"/>
              </w:rPr>
              <w:t>Split</w:t>
            </w:r>
          </w:p>
        </w:tc>
        <w:tc>
          <w:tcPr>
            <w:tcW w:type="dxa" w:w="70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w:t>
            </w:r>
          </w:p>
        </w:tc>
        <w:tc>
          <w:tcPr>
            <w:tcW w:type="dxa" w:w="63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Mis.</w:t>
            </w:r>
          </w:p>
        </w:tc>
        <w:tc>
          <w:tcPr>
            <w:tcW w:type="dxa" w:w="71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Corr.</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Sup.</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Neu-S</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Opp.</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Pos.</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Neu-E</w:t>
            </w:r>
          </w:p>
        </w:tc>
        <w:tc>
          <w:tcPr>
            <w:tcW w:type="dxa" w:w="629"/>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Neg.</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Train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1496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273</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1223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622</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447</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303</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571</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622</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Validation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167</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31</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136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48</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75</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Gold Test</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186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28</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158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54</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84</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40</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71</w:t>
            </w:r>
          </w:p>
        </w:tc>
      </w:tr>
      <w:tr>
        <w:tc>
          <w:tcPr>
            <w:tcW w:type="dxa" w:w="10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2"/>
              </w:rPr>
              <w:t>Total</w:t>
            </w:r>
          </w:p>
        </w:tc>
        <w:tc>
          <w:tcPr>
            <w:tcW w:type="dxa" w:w="70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1849</w:t>
            </w:r>
          </w:p>
        </w:tc>
        <w:tc>
          <w:tcPr>
            <w:tcW w:type="dxa" w:w="63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332</w:t>
            </w:r>
          </w:p>
        </w:tc>
        <w:tc>
          <w:tcPr>
            <w:tcW w:type="dxa" w:w="71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1517</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529</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772</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548</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370</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711</w:t>
            </w:r>
          </w:p>
        </w:tc>
        <w:tc>
          <w:tcPr>
            <w:tcW w:type="dxa" w:w="629"/>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768</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Mis. = misinformation; Corr. = correct/not misleading; Sup. = supportive stance; Neu-S = neutral stance; Opp. = opposing or hesitant stance; Neu-E = neutral sentiment; Pos./Neg. = positive/negative sentiment. Seven samples were dropped before modeling because word segmentation removed malformed or empty rows.</w:t>
      </w:r>
    </w:p>
    <w:p>
      <w:pPr>
        <w:pStyle w:val="heading2"/>
      </w:pPr>
      <w:r>
        <w:t>Implementation Workflow</w:t>
      </w:r>
    </w:p>
    <w:p>
      <w:pPr>
        <w:pStyle w:val="p1a"/>
      </w:pPr>
      <w:r>
        <w:t>The implementation can be summarized as a six-stage algorithmic workflow. Step 1 collects vaccine-related Vietnamese texts from news, social media, video comments, and public forums. Step 2 applies the Vietnamese preprocessing pipeline, including Unicode normalization, URL and HTML removal, hashtag segmentation, slang normalization, and word segmentation. Step 3 assigns three-axis labels for misinformation, stance, and sentiment through LLM-assisted annotation followed by HITL expert validation. Step 4 trains XLM-RoBERTa and PhoBERT-v2 classifiers and fine-tunes Gemma-4 4B with QLoRA for explanation-oriented reasoning. Step 5 evaluates all models on the expert-validated Gold Test Set using Macro F1, per-class F1, calibration error, parsing reliability, and agreement with expert labels. Step 6 deploys the calibrated PhoBERT-v2 output as the first-tier screening signal and escalates low-confidence or high-risk cases to the explanation and expert-review layer. This workflow is the operational algorithm used throughout the experiments, linking data preparation, modeling, evaluation, and human review in a single reproducible pipeline.</w:t>
      </w:r>
    </w:p>
    <w:p>
      <w:pPr>
        <w:pStyle w:val="heading2"/>
      </w:pPr>
      <w:r>
        <w:t>Dual-Student Hybrid Architecture</w:t>
      </w:r>
    </w:p>
    <w:p>
      <w:pPr>
        <w:pStyle w:val="p1a"/>
      </w:pPr>
      <w: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pPr>
        <w:spacing w:before="40" w:after="20" w:line="240" w:lineRule="auto"/>
        <w:jc w:val="center"/>
      </w:pPr>
      <w:r>
        <w:drawing>
          <wp:inline xmlns:a="http://schemas.openxmlformats.org/drawingml/2006/main" xmlns:pic="http://schemas.openxmlformats.org/drawingml/2006/picture">
            <wp:extent cx="4356000" cy="4307600"/>
            <wp:docPr id="1" name="Fig. 1" title="VaccineNLP two-tier human-in-the-loop architecture for Vietnamese vaccine misinformation surveillance." descr="VaccineNLP architecture diagram showing preprocessing, PhoBERT-v2 classification, Gemma-4 explanation, RAG evidence checking, and cognitive integrity output."/>
            <wp:cNvGraphicFramePr>
              <a:graphicFrameLocks noChangeAspect="1"/>
            </wp:cNvGraphicFramePr>
            <a:graphic>
              <a:graphicData uri="http://schemas.openxmlformats.org/drawingml/2006/picture">
                <pic:pic>
                  <pic:nvPicPr>
                    <pic:cNvPr id="0" name="fig1_architecture_en.png"/>
                    <pic:cNvPicPr/>
                  </pic:nvPicPr>
                  <pic:blipFill>
                    <a:blip r:embed="rId1"/>
                    <a:stretch>
                      <a:fillRect/>
                    </a:stretch>
                  </pic:blipFill>
                  <pic:spPr>
                    <a:xfrm>
                      <a:off x="0" y="0"/>
                      <a:ext cx="4356000" cy="4307600"/>
                    </a:xfrm>
                    <a:prstGeom prst="rect"/>
                  </pic:spPr>
                </pic:pic>
              </a:graphicData>
            </a:graphic>
          </wp:inline>
        </w:drawing>
      </w:r>
    </w:p>
    <w:p>
      <w:pPr>
        <w:pStyle w:val="figurecaption"/>
      </w:pPr>
      <w:r>
        <w:rPr>
          <w:b/>
        </w:rPr>
        <w:t xml:space="preserve">Fig. 1. </w:t>
      </w:r>
      <w:r>
        <w:t>VaccineNLP two-tier human-in-the-loop architecture for Vietnamese vaccine misinformation surveillance.</w:t>
      </w:r>
    </w:p>
    <w:p>
      <w:pPr>
        <w:pStyle w:val="equation"/>
        <w:jc w:val="center"/>
      </w:pPr>
      <w:r>
        <w:t>L = 1.2 L_misinfo + L_stance + L_sentiment.</w:t>
      </w:r>
    </w:p>
    <w:p>
      <w:pPr>
        <w:pStyle w:val="p1a"/>
      </w:pPr>
      <w: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pPr/>
      <w: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pPr/>
      <w:r>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pPr/>
      <w: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pPr/>
      <w:r>
        <w:t>The QLoRA configuration followed the modeling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pPr>
        <w:pStyle w:val="heading2"/>
      </w:pPr>
      <w:r>
        <w:t>Evaluation Protocol and Ethics</w:t>
      </w:r>
    </w:p>
    <w:p>
      <w:pPr>
        <w:pStyle w:val="p1a"/>
      </w:pPr>
      <w: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pPr/>
      <w: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pPr/>
      <w:r>
        <w:t>The statistical tests were aligned with the pre-specified hypotheses.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pPr/>
      <w:r>
        <w:t>Error analysis was defined on randomly sampled false-positive and false-negative cases from the best-performing classifier. The error-analysis protocol grouped errors into four categories: sarcasm or irony, borderline medical content, out-of-vocabulary or emerging slang, and very short texts with insufficient context. These categories informed the future-work recommendations on sarcasm handling, active learning, and evidence-aware explanation.</w:t>
      </w:r>
    </w:p>
    <w:p>
      <w:pPr/>
      <w:r>
        <w:t>The study used only publicly available text, did not collect private messages, and did not intervene on human participants. Usernames, profile URLs, phone numbers, and other potentially identifying details were removed or anonymized before analysis.</w:t>
      </w:r>
    </w:p>
    <w:p>
      <w:pPr>
        <w:pStyle w:val="heading1"/>
      </w:pPr>
      <w:r>
        <w:t>Results</w:t>
      </w:r>
    </w:p>
    <w:p>
      <w:pPr>
        <w:pStyle w:val="p1a"/>
      </w:pPr>
      <w:r>
        <w:t>The experimental results are organized so that each table answers a specific evaluation question. Table 5 describes the Gold Test Set used for evaluation. Table 6 is the primary model-comparison table: it reports task-level Macro F1 for XLM-RoBERTa, PhoBERT-v2, and Gemma-4 4B on the same expert-validated split. Table 7 provides the per-class F1 details behind those macro scores. Table 8 reports confidence calibration after Temperature Scaling, while Table 9 reports the reliability of LLM-assisted annotation against expert review. Tables 10--13 provide statistical evidence for public-health risk associations among sentiment, stance, platform, and misinformation.</w:t>
      </w:r>
    </w:p>
    <w:p>
      <w:pPr/>
      <w: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pPr>
        <w:pStyle w:val="tablecaption"/>
        <w:spacing w:before="80" w:after="20" w:line="240" w:lineRule="auto"/>
        <w:ind w:left="0" w:right="0" w:firstLine="0"/>
      </w:pPr>
      <w:r>
        <w:rPr>
          <w:b/>
          <w:i/>
        </w:rPr>
        <w:t xml:space="preserve">Table 5. </w:t>
      </w:r>
      <w:r>
        <w:rPr>
          <w:i/>
        </w:rPr>
        <w:t>Gold Test Set label distribution (n = 186).</w:t>
      </w:r>
    </w:p>
    <w:tbl>
      <w:tblPr>
        <w:tblW w:type="dxa" w:w="6900"/>
        <w:jc w:val="center"/>
        <w:tblLayout w:type="fixed"/>
        <w:tblLook w:firstColumn="1" w:firstRow="1" w:lastColumn="0" w:lastRow="0" w:noHBand="0" w:noVBand="1" w:val="04A0"/>
        <w:tblInd w:w="0" w:type="dxa"/>
      </w:tblPr>
      <w:tblGrid>
        <w:gridCol w:w="1672"/>
        <w:gridCol w:w="3345"/>
        <w:gridCol w:w="940"/>
        <w:gridCol w:w="943"/>
      </w:tblGrid>
      <w:tr>
        <w:trPr>
          <w:tblHeader w:val="true"/>
        </w:trPr>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Axis</w:t>
            </w:r>
          </w:p>
        </w:tc>
        <w:tc>
          <w:tcPr>
            <w:tcW w:type="dxa" w:w="33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Class</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n</w:t>
            </w:r>
          </w:p>
        </w:tc>
        <w:tc>
          <w:tcPr>
            <w:tcW w:type="dxa" w:w="9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Correct / not misleading</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84.9</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15.1</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Supportive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29.0</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Opposing / hesitant</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25.8</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45.2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38.2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40.3</w:t>
            </w:r>
          </w:p>
        </w:tc>
      </w:tr>
      <w:tr>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c>
          <w:tcPr>
            <w:tcW w:type="dxa" w:w="9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21.5</w:t>
            </w:r>
          </w:p>
        </w:tc>
      </w:tr>
    </w:tbl>
    <w:p>
      <w:pPr>
        <w:spacing w:before="0" w:after="80" w:line="240" w:lineRule="auto"/>
        <w:ind w:left="0" w:right="0" w:firstLine="0"/>
      </w:pPr>
    </w:p>
    <w:p>
      <w:pPr>
        <w:pStyle w:val="p1a"/>
      </w:pPr>
      <w: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pPr/>
      <w:r>
        <w:t>Table 6 is therefore the main experimental-results table for model performance. It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pPr>
        <w:pStyle w:val="tablecaption"/>
        <w:spacing w:before="80" w:after="20" w:line="240" w:lineRule="auto"/>
        <w:ind w:left="0" w:right="0" w:firstLine="0"/>
      </w:pPr>
      <w:r>
        <w:rPr>
          <w:b/>
          <w:i/>
        </w:rPr>
        <w:t xml:space="preserve">Table 6. </w:t>
      </w:r>
      <w:r>
        <w:rPr>
          <w:i/>
        </w:rPr>
        <w:t>Primary experimental results: Macro F1 on the expert-validated Gold Test Set.</w:t>
      </w:r>
    </w:p>
    <w:tbl>
      <w:tblPr>
        <w:tblW w:type="dxa" w:w="6900"/>
        <w:jc w:val="center"/>
        <w:tblLayout w:type="fixed"/>
        <w:tblLook w:firstColumn="1" w:firstRow="1" w:lastColumn="0" w:lastRow="0" w:noHBand="0" w:noVBand="1" w:val="04A0"/>
        <w:tblInd w:w="0" w:type="dxa"/>
      </w:tblPr>
      <w:tblGrid>
        <w:gridCol w:w="1306"/>
        <w:gridCol w:w="2143"/>
        <w:gridCol w:w="888"/>
        <w:gridCol w:w="888"/>
        <w:gridCol w:w="993"/>
        <w:gridCol w:w="682"/>
      </w:tblGrid>
      <w:tr>
        <w:trPr>
          <w:tblHeader w:val="true"/>
        </w:trPr>
        <w:tc>
          <w:tcPr>
            <w:tcW w:type="dxa" w:w="130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Model</w:t>
            </w:r>
          </w:p>
        </w:tc>
        <w:tc>
          <w:tcPr>
            <w:tcW w:type="dxa" w:w="21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Role</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Misinfo</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Sentiment</w:t>
            </w:r>
          </w:p>
        </w:tc>
        <w:tc>
          <w:tcPr>
            <w:tcW w:type="dxa" w:w="68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Mean</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XLM-R-v1</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Baseline encoder</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0.7038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0.6224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0.6866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0.6709</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PhoBERT-v2</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Classification engine</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0.6996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0.6640</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0.7266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0.6967</w:t>
            </w:r>
          </w:p>
        </w:tc>
      </w:tr>
      <w:tr>
        <w:tc>
          <w:tcPr>
            <w:tcW w:type="dxa" w:w="130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Gemma-4 4B</w:t>
            </w:r>
          </w:p>
        </w:tc>
        <w:tc>
          <w:tcPr>
            <w:tcW w:type="dxa" w:w="21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XAI reasoning engine</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0.6377</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0.6264</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0.7700</w:t>
            </w:r>
          </w:p>
        </w:tc>
        <w:tc>
          <w:tcPr>
            <w:tcW w:type="dxa" w:w="68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0.6780</w:t>
            </w:r>
          </w:p>
        </w:tc>
      </w:tr>
    </w:tbl>
    <w:p>
      <w:pPr>
        <w:spacing w:before="0" w:after="80" w:line="240" w:lineRule="auto"/>
        <w:ind w:left="0" w:right="0" w:firstLine="0"/>
      </w:pPr>
    </w:p>
    <w:p>
      <w:pPr>
        <w:pStyle w:val="p1a"/>
      </w:pPr>
      <w: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pPr/>
      <w: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pPr/>
      <w: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pPr>
        <w:pStyle w:val="tablecaption"/>
        <w:spacing w:before="80" w:after="20" w:line="240" w:lineRule="auto"/>
        <w:ind w:left="0" w:right="0" w:firstLine="0"/>
      </w:pPr>
      <w:r>
        <w:rPr>
          <w:b/>
          <w:i/>
        </w:rPr>
        <w:t xml:space="preserve">Table 7. </w:t>
      </w:r>
      <w:r>
        <w:rPr>
          <w:i/>
        </w:rPr>
        <w:t>Detailed experimental results: per-class F1 by task on the Gold Test Set.</w:t>
      </w:r>
    </w:p>
    <w:tbl>
      <w:tblPr>
        <w:tblW w:type="dxa" w:w="6900"/>
        <w:jc w:val="center"/>
        <w:tblLayout w:type="fixed"/>
        <w:tblLook w:firstColumn="1" w:firstRow="1" w:lastColumn="0" w:lastRow="0" w:noHBand="0" w:noVBand="1" w:val="04A0"/>
        <w:tblInd w:w="0" w:type="dxa"/>
      </w:tblPr>
      <w:tblGrid>
        <w:gridCol w:w="1097"/>
        <w:gridCol w:w="1568"/>
        <w:gridCol w:w="1045"/>
        <w:gridCol w:w="1150"/>
        <w:gridCol w:w="1202"/>
        <w:gridCol w:w="838"/>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Task</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Class</w:t>
            </w:r>
          </w:p>
        </w:tc>
        <w:tc>
          <w:tcPr>
            <w:tcW w:type="dxa" w:w="10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XLM-R-v1</w:t>
            </w:r>
          </w:p>
        </w:tc>
        <w:tc>
          <w:tcPr>
            <w:tcW w:type="dxa" w:w="115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PhoBERT-v2</w:t>
            </w:r>
          </w:p>
        </w:tc>
        <w:tc>
          <w:tcPr>
            <w:tcW w:type="dxa" w:w="120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Gemma-4 4B</w:t>
            </w:r>
          </w:p>
        </w:tc>
        <w:tc>
          <w:tcPr>
            <w:tcW w:type="dxa" w:w="8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Support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0.5079</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0.5075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0.4444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Correct</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0.8997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0.8918</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0.8309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Supportive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0.5495</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0.5934</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0.4528</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Opposing</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0.6387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0.6612</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0.6905</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0.6790</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0.7375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0.7360</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0.7682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0.8000</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0.8039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0.7162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0.7917</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0.8034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10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0.5753</w:t>
            </w:r>
          </w:p>
        </w:tc>
        <w:tc>
          <w:tcPr>
            <w:tcW w:type="dxa" w:w="115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0.5882</w:t>
            </w:r>
          </w:p>
        </w:tc>
        <w:tc>
          <w:tcPr>
            <w:tcW w:type="dxa" w:w="120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0.7027</w:t>
            </w:r>
          </w:p>
        </w:tc>
        <w:tc>
          <w:tcPr>
            <w:tcW w:type="dxa" w:w="8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F1 is reported for each class before macro-averaging within a task.</w:t>
      </w:r>
    </w:p>
    <w:p>
      <w:pPr>
        <w:spacing w:before="40" w:after="20" w:line="240" w:lineRule="auto"/>
        <w:jc w:val="center"/>
      </w:pPr>
      <w:r>
        <w:drawing>
          <wp:inline xmlns:a="http://schemas.openxmlformats.org/drawingml/2006/main" xmlns:pic="http://schemas.openxmlformats.org/drawingml/2006/picture">
            <wp:extent cx="4392000" cy="1462909"/>
            <wp:docPr id="2" name="Fig. 2" title="Per-class F1 scores of XLM-RoBERTa, PhoBERT-v2, and Gemma-4 4B on the Gold Test Set." descr="Bar charts comparing per-class F1 for misinformation, stance, and sentiment across XLM-RoBERTa, PhoBERT-v2, and Gemma-4 4B."/>
            <wp:cNvGraphicFramePr>
              <a:graphicFrameLocks noChangeAspect="1"/>
            </wp:cNvGraphicFramePr>
            <a:graphic>
              <a:graphicData uri="http://schemas.openxmlformats.org/drawingml/2006/picture">
                <pic:pic>
                  <pic:nvPicPr>
                    <pic:cNvPr id="0" name="fig2_per_class_f1_en.png"/>
                    <pic:cNvPicPr/>
                  </pic:nvPicPr>
                  <pic:blipFill>
                    <a:blip r:embed="rId4"/>
                    <a:stretch>
                      <a:fillRect/>
                    </a:stretch>
                  </pic:blipFill>
                  <pic:spPr>
                    <a:xfrm>
                      <a:off x="0" y="0"/>
                      <a:ext cx="4392000" cy="1462909"/>
                    </a:xfrm>
                    <a:prstGeom prst="rect"/>
                  </pic:spPr>
                </pic:pic>
              </a:graphicData>
            </a:graphic>
          </wp:inline>
        </w:drawing>
      </w:r>
    </w:p>
    <w:p>
      <w:pPr>
        <w:pStyle w:val="figurecaption"/>
      </w:pPr>
      <w:r>
        <w:rPr>
          <w:b/>
        </w:rPr>
        <w:t xml:space="preserve">Fig. 2. </w:t>
      </w:r>
      <w:r>
        <w:t>Per-class F1 scores of XLM-RoBERTa, PhoBERT-v2, and Gemma-4 4B on the Gold Test Set.</w:t>
      </w:r>
    </w:p>
    <w:p>
      <w:pPr>
        <w:pStyle w:val="p1a"/>
      </w:pPr>
      <w: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pPr/>
      <w: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pPr>
        <w:pStyle w:val="tablecaption"/>
        <w:spacing w:before="80" w:after="20" w:line="240" w:lineRule="auto"/>
        <w:ind w:left="0" w:right="0" w:firstLine="0"/>
      </w:pPr>
      <w:r>
        <w:rPr>
          <w:b/>
          <w:i/>
        </w:rPr>
        <w:t xml:space="preserve">Table 8. </w:t>
      </w:r>
      <w:r>
        <w:rPr>
          <w:i/>
        </w:rPr>
        <w:t>Confidence calibration of PhoBERT-v2 after Temperature Scaling.</w:t>
      </w:r>
    </w:p>
    <w:tbl>
      <w:tblPr>
        <w:tblW w:type="dxa" w:w="6900"/>
        <w:jc w:val="center"/>
        <w:tblLayout w:type="fixed"/>
        <w:tblLook w:firstColumn="1" w:firstRow="1" w:lastColumn="0" w:lastRow="0" w:noHBand="0" w:noVBand="1" w:val="04A0"/>
        <w:tblInd w:w="0" w:type="dxa"/>
      </w:tblPr>
      <w:tblGrid>
        <w:gridCol w:w="1661"/>
        <w:gridCol w:w="605"/>
        <w:gridCol w:w="762"/>
        <w:gridCol w:w="762"/>
        <w:gridCol w:w="820"/>
        <w:gridCol w:w="820"/>
        <w:gridCol w:w="635"/>
        <w:gridCol w:w="835"/>
      </w:tblGrid>
      <w:tr>
        <w:trPr>
          <w:tblHeader w:val="true"/>
        </w:trPr>
        <w:tc>
          <w:tcPr>
            <w:tcW w:type="dxa" w:w="1661"/>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Axis</w:t>
            </w:r>
          </w:p>
        </w:tc>
        <w:tc>
          <w:tcPr>
            <w:tcW w:type="dxa" w:w="60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T</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pre</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post</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Raw conf.</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Cal. conf.</w:t>
            </w:r>
          </w:p>
        </w:tc>
        <w:tc>
          <w:tcPr>
            <w:tcW w:type="dxa" w:w="6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Acc.</w:t>
            </w:r>
          </w:p>
        </w:tc>
        <w:tc>
          <w:tcPr>
            <w:tcW w:type="dxa" w:w="8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delta</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Misinformation</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1.82</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0.123</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0.054</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94.5%</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87.4%</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82.3%</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-56%</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Stance</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1.67</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0.198</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0.093</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86.7%</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76.3%</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67.7%</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-53%</w:t>
            </w:r>
          </w:p>
        </w:tc>
      </w:tr>
      <w:tr>
        <w:tc>
          <w:tcPr>
            <w:tcW w:type="dxa" w:w="1661"/>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Sentiment</w:t>
            </w:r>
          </w:p>
        </w:tc>
        <w:tc>
          <w:tcPr>
            <w:tcW w:type="dxa" w:w="60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1.35</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0.144</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0.081</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88.9%</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83.0%</w:t>
            </w:r>
          </w:p>
        </w:tc>
        <w:tc>
          <w:tcPr>
            <w:tcW w:type="dxa" w:w="6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75.8%</w:t>
            </w:r>
          </w:p>
        </w:tc>
        <w:tc>
          <w:tcPr>
            <w:tcW w:type="dxa" w:w="8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-44%</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ECE = Expected Calibration Error; T = learned temperature.</w:t>
      </w:r>
    </w:p>
    <w:p>
      <w:pPr>
        <w:spacing w:before="40" w:after="20" w:line="240" w:lineRule="auto"/>
        <w:jc w:val="center"/>
      </w:pPr>
      <w:r>
        <w:drawing>
          <wp:inline xmlns:a="http://schemas.openxmlformats.org/drawingml/2006/main" xmlns:pic="http://schemas.openxmlformats.org/drawingml/2006/picture">
            <wp:extent cx="4392000" cy="1212094"/>
            <wp:docPr id="3" name="Fig. 3" title="PhoBERT-v2 reliability diagrams before and after Temperature Scaling across the three tasks." descr="Reliability diagrams showing raw and calibrated confidence versus accuracy for misinformation, stance, and sentiment."/>
            <wp:cNvGraphicFramePr>
              <a:graphicFrameLocks noChangeAspect="1"/>
            </wp:cNvGraphicFramePr>
            <a:graphic>
              <a:graphicData uri="http://schemas.openxmlformats.org/drawingml/2006/picture">
                <pic:pic>
                  <pic:nvPicPr>
                    <pic:cNvPr id="0" name="fig3_calibration_en.png"/>
                    <pic:cNvPicPr/>
                  </pic:nvPicPr>
                  <pic:blipFill>
                    <a:blip r:embed="rId13"/>
                    <a:stretch>
                      <a:fillRect/>
                    </a:stretch>
                  </pic:blipFill>
                  <pic:spPr>
                    <a:xfrm>
                      <a:off x="0" y="0"/>
                      <a:ext cx="4392000" cy="1212094"/>
                    </a:xfrm>
                    <a:prstGeom prst="rect"/>
                  </pic:spPr>
                </pic:pic>
              </a:graphicData>
            </a:graphic>
          </wp:inline>
        </w:drawing>
      </w:r>
    </w:p>
    <w:p>
      <w:pPr>
        <w:pStyle w:val="figurecaption"/>
      </w:pPr>
      <w:r>
        <w:rPr>
          <w:b/>
        </w:rPr>
        <w:t xml:space="preserve">Fig. 3. </w:t>
      </w:r>
      <w:r>
        <w:t>PhoBERT-v2 reliability diagrams before and after Temperature Scaling across the three tasks.</w:t>
      </w:r>
    </w:p>
    <w:p>
      <w:pPr>
        <w:pStyle w:val="p1a"/>
      </w:pPr>
      <w: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pPr/>
      <w: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pPr>
        <w:pStyle w:val="tablecaption"/>
        <w:spacing w:before="80" w:after="20" w:line="240" w:lineRule="auto"/>
        <w:ind w:left="0" w:right="0" w:firstLine="0"/>
      </w:pPr>
      <w:r>
        <w:rPr>
          <w:b/>
          <w:i/>
        </w:rPr>
        <w:t xml:space="preserve">Table 9. </w:t>
      </w:r>
      <w:r>
        <w:rPr>
          <w:i/>
        </w:rPr>
        <w:t>Reliability of LLM-assisted annotation against expert review.</w:t>
      </w:r>
    </w:p>
    <w:tbl>
      <w:tblPr>
        <w:tblW w:type="dxa" w:w="6900"/>
        <w:jc w:val="center"/>
        <w:tblLayout w:type="fixed"/>
        <w:tblLook w:firstColumn="1" w:firstRow="1" w:lastColumn="0" w:lastRow="0" w:noHBand="0" w:noVBand="1" w:val="04A0"/>
        <w:tblInd w:w="0" w:type="dxa"/>
      </w:tblPr>
      <w:tblGrid>
        <w:gridCol w:w="2404"/>
        <w:gridCol w:w="1568"/>
        <w:gridCol w:w="2928"/>
      </w:tblGrid>
      <w:tr>
        <w:trPr>
          <w:tblHeader w:val="true"/>
        </w:trPr>
        <w:tc>
          <w:tcPr>
            <w:tcW w:type="dxa" w:w="240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Axis / metric</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Result</w:t>
            </w:r>
          </w:p>
        </w:tc>
        <w:tc>
          <w:tcPr>
            <w:tcW w:type="dxa" w:w="292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Interpretation</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0.0525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Slight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0.2895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Fair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0.4712</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Moderate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Mean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0.2711</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Low average agreement across axes</w:t>
            </w:r>
          </w:p>
        </w:tc>
      </w:tr>
      <w:tr>
        <w:tc>
          <w:tcPr>
            <w:tcW w:type="dxa" w:w="240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Invalid structured outputs</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52/186 (28.0%)</w:t>
            </w:r>
          </w:p>
        </w:tc>
        <w:tc>
          <w:tcPr>
            <w:tcW w:type="dxa" w:w="292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Requires parser and human review</w:t>
            </w:r>
          </w:p>
        </w:tc>
      </w:tr>
    </w:tbl>
    <w:p>
      <w:pPr>
        <w:spacing w:before="0" w:after="80" w:line="240" w:lineRule="auto"/>
        <w:ind w:left="0" w:right="0" w:firstLine="0"/>
      </w:pPr>
    </w:p>
    <w:p>
      <w:pPr>
        <w:pStyle w:val="p1a"/>
      </w:pPr>
      <w:r>
        <w:t>Parser analysis from the system evaluation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pPr/>
      <w: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supportive samples were positive. This pattern indicates that anti-vaccine stance is often packaged through fear, anger, distrust, or blame.</w:t>
      </w:r>
    </w:p>
    <w:p>
      <w:pPr>
        <w:pStyle w:val="tablecaption"/>
        <w:spacing w:before="80" w:after="20" w:line="240" w:lineRule="auto"/>
        <w:ind w:left="0" w:right="0" w:firstLine="0"/>
      </w:pPr>
      <w:r>
        <w:rPr>
          <w:b/>
          <w:i/>
        </w:rPr>
        <w:t xml:space="preserve">Table 10. </w:t>
      </w:r>
      <w:r>
        <w:rPr>
          <w:i/>
        </w:rPr>
        <w:t>Cross-tabulation of sentiment and stance in the Gold Test Set.</w:t>
      </w:r>
    </w:p>
    <w:tbl>
      <w:tblPr>
        <w:tblW w:type="dxa" w:w="6900"/>
        <w:jc w:val="center"/>
        <w:tblLayout w:type="fixed"/>
        <w:tblLook w:firstColumn="1" w:firstRow="1" w:lastColumn="0" w:lastRow="0" w:noHBand="0" w:noVBand="1" w:val="04A0"/>
        <w:tblInd w:w="0" w:type="dxa"/>
      </w:tblPr>
      <w:tblGrid>
        <w:gridCol w:w="1938"/>
        <w:gridCol w:w="1311"/>
        <w:gridCol w:w="1311"/>
        <w:gridCol w:w="1311"/>
        <w:gridCol w:w="1029"/>
      </w:tblGrid>
      <w:tr>
        <w:trPr>
          <w:tblHeader w:val="true"/>
        </w:trPr>
        <w:tc>
          <w:tcPr>
            <w:tcW w:type="dxa" w:w="19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Sentiment</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Supportive</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Opposing</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Neutral</w:t>
            </w:r>
          </w:p>
        </w:tc>
        <w:tc>
          <w:tcPr>
            <w:tcW w:type="dxa" w:w="102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Total</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9</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45</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17</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65</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38</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r>
      <w:tr>
        <w:tc>
          <w:tcPr>
            <w:tcW w:type="dxa" w:w="19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Total</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c>
          <w:tcPr>
            <w:tcW w:type="dxa" w:w="102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186</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association was significant by chi-square test, chi-square = 189.48, df = 4, p = 6.85e-40.</w:t>
      </w:r>
    </w:p>
    <w:p>
      <w:pPr>
        <w:pStyle w:val="p1a"/>
      </w:pPr>
      <w: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pPr>
        <w:pStyle w:val="tablecaption"/>
        <w:spacing w:before="80" w:after="20" w:line="240" w:lineRule="auto"/>
        <w:ind w:left="0" w:right="0" w:firstLine="0"/>
      </w:pPr>
      <w:r>
        <w:rPr>
          <w:b/>
          <w:i/>
        </w:rPr>
        <w:t xml:space="preserve">Table 11. </w:t>
      </w:r>
      <w:r>
        <w:rPr>
          <w:i/>
        </w:rPr>
        <w:t>Cross-tabulation of platform and misinformation in the Gold Test Set.</w:t>
      </w:r>
    </w:p>
    <w:tbl>
      <w:tblPr>
        <w:tblW w:type="dxa" w:w="6900"/>
        <w:jc w:val="center"/>
        <w:tblLayout w:type="fixed"/>
        <w:tblLook w:firstColumn="1" w:firstRow="1" w:lastColumn="0" w:lastRow="0" w:noHBand="0" w:noVBand="1" w:val="04A0"/>
        <w:tblInd w:w="0" w:type="dxa"/>
      </w:tblPr>
      <w:tblGrid>
        <w:gridCol w:w="2822"/>
        <w:gridCol w:w="940"/>
        <w:gridCol w:w="940"/>
        <w:gridCol w:w="888"/>
        <w:gridCol w:w="1310"/>
      </w:tblGrid>
      <w:tr>
        <w:trPr>
          <w:tblHeader w:val="true"/>
        </w:trPr>
        <w:tc>
          <w:tcPr>
            <w:tcW w:type="dxa" w:w="28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Platform</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Correct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Total</w:t>
            </w:r>
          </w:p>
        </w:tc>
        <w:tc>
          <w:tcPr>
            <w:tcW w:type="dxa" w:w="131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 rate</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Facebook</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77</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24.7%</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YouTube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65</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74</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12.2%</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Forums / other social media</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Institutional news</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10</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10</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Academic / VFND</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Total</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158</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186</w:t>
            </w:r>
          </w:p>
        </w:tc>
        <w:tc>
          <w:tcPr>
            <w:tcW w:type="dxa" w:w="131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15.1%</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G-test was used as the main test because several expected counts were below five; G = 16.77, df = 4, p = 2.14e-3.</w:t>
      </w:r>
    </w:p>
    <w:p>
      <w:pPr>
        <w:pStyle w:val="p1a"/>
      </w:pPr>
      <w: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pPr>
        <w:pStyle w:val="tablecaption"/>
        <w:spacing w:before="80" w:after="20" w:line="240" w:lineRule="auto"/>
        <w:ind w:left="0" w:right="0" w:firstLine="0"/>
      </w:pPr>
      <w:r>
        <w:rPr>
          <w:b/>
          <w:i/>
        </w:rPr>
        <w:t xml:space="preserve">Table 12. </w:t>
      </w:r>
      <w:r>
        <w:rPr>
          <w:i/>
        </w:rPr>
        <w:t>Cross-tabulation of stance and misinformation in the Gold Test Set.</w:t>
      </w:r>
    </w:p>
    <w:tbl>
      <w:tblPr>
        <w:tblW w:type="dxa" w:w="6900"/>
        <w:jc w:val="center"/>
        <w:tblLayout w:type="fixed"/>
        <w:tblLook w:firstColumn="1" w:firstRow="1" w:lastColumn="0" w:lastRow="0" w:noHBand="0" w:noVBand="1" w:val="04A0"/>
        <w:tblInd w:w="0" w:type="dxa"/>
      </w:tblPr>
      <w:tblGrid>
        <w:gridCol w:w="2509"/>
        <w:gridCol w:w="993"/>
        <w:gridCol w:w="993"/>
        <w:gridCol w:w="940"/>
        <w:gridCol w:w="1465"/>
      </w:tblGrid>
      <w:tr>
        <w:trPr>
          <w:tblHeader w:val="true"/>
        </w:trPr>
        <w:tc>
          <w:tcPr>
            <w:tcW w:type="dxa" w:w="250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Correct</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Total</w:t>
            </w:r>
          </w:p>
        </w:tc>
        <w:tc>
          <w:tcPr>
            <w:tcW w:type="dxa" w:w="146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 rate</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Supportive</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53</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1.9%</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Opposing / hesitant</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48</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50.0%</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81</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84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3.6%</w:t>
            </w:r>
          </w:p>
        </w:tc>
      </w:tr>
      <w:tr>
        <w:tc>
          <w:tcPr>
            <w:tcW w:type="dxa" w:w="250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Total</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28</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186</w:t>
            </w:r>
          </w:p>
        </w:tc>
        <w:tc>
          <w:tcPr>
            <w:tcW w:type="dxa" w:w="146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15.1%</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association was significant by chi-square test, chi-square = 61.86, df = 2, p = 3.69e-14; the opposing-versus-supportive odds ratio was approximately 53.0.</w:t>
      </w:r>
    </w:p>
    <w:p>
      <w:pPr>
        <w:pStyle w:val="p1a"/>
      </w:pPr>
      <w: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pPr>
        <w:pStyle w:val="tablecaption"/>
        <w:spacing w:before="80" w:after="20" w:line="240" w:lineRule="auto"/>
        <w:ind w:left="0" w:right="0" w:firstLine="0"/>
      </w:pPr>
      <w:r>
        <w:rPr>
          <w:b/>
          <w:i/>
        </w:rPr>
        <w:t xml:space="preserve">Table 13. </w:t>
      </w:r>
      <w:r>
        <w:rPr>
          <w:i/>
        </w:rPr>
        <w:t>Statistical tests for public-health risk associations.</w:t>
      </w:r>
    </w:p>
    <w:tbl>
      <w:tblPr>
        <w:tblW w:type="dxa" w:w="6900"/>
        <w:jc w:val="center"/>
        <w:tblLayout w:type="fixed"/>
        <w:tblLook w:firstColumn="1" w:firstRow="1" w:lastColumn="0" w:lastRow="0" w:noHBand="0" w:noVBand="1" w:val="04A0"/>
        <w:tblInd w:w="0" w:type="dxa"/>
      </w:tblPr>
      <w:tblGrid>
        <w:gridCol w:w="522"/>
        <w:gridCol w:w="1881"/>
        <w:gridCol w:w="1672"/>
        <w:gridCol w:w="888"/>
        <w:gridCol w:w="940"/>
        <w:gridCol w:w="997"/>
      </w:tblGrid>
      <w:tr>
        <w:trPr>
          <w:tblHeader w:val="true"/>
        </w:trPr>
        <w:tc>
          <w:tcPr>
            <w:tcW w:type="dxa" w:w="5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Hyp.</w:t>
            </w:r>
          </w:p>
        </w:tc>
        <w:tc>
          <w:tcPr>
            <w:tcW w:type="dxa" w:w="188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Relationship</w:t>
            </w:r>
          </w:p>
        </w:tc>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Test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Statistic</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p-value</w:t>
            </w:r>
          </w:p>
        </w:tc>
        <w:tc>
          <w:tcPr>
            <w:tcW w:type="dxa" w:w="9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Finding</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H1</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 x stance</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Chi-square,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189.48</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6.85e-40</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H2</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Platform x misinformation</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G-test,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16.77</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2.14e-3</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H3</w:t>
            </w:r>
          </w:p>
        </w:tc>
        <w:tc>
          <w:tcPr>
            <w:tcW w:type="dxa" w:w="188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 x misinformation</w:t>
            </w:r>
          </w:p>
        </w:tc>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Chi-square, df = 2</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61.86</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3.69e-14</w:t>
            </w:r>
          </w:p>
        </w:tc>
        <w:tc>
          <w:tcPr>
            <w:tcW w:type="dxa" w:w="9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H0 denotes the null hypothesis of no association.</w:t>
      </w:r>
    </w:p>
    <w:p>
      <w:pPr>
        <w:pStyle w:val="p1a"/>
      </w:pPr>
      <w:r>
        <w:t>Together, the association tests support the project's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pPr>
        <w:pStyle w:val="heading1"/>
      </w:pPr>
      <w:r>
        <w:t>Discussion</w:t>
      </w:r>
    </w:p>
    <w:p>
      <w:pPr>
        <w:pStyle w:val="p1a"/>
      </w:pPr>
      <w: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pPr/>
      <w: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pPr/>
      <w:r>
        <w:t>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discussion and reduce trust. Temperature Scaling therefore contributes to responsible deployment by aligning model confidence with observed correctness.</w:t>
      </w:r>
    </w:p>
    <w:p>
      <w:pPr/>
      <w: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pPr>
        <w:spacing w:before="40" w:after="20" w:line="240" w:lineRule="auto"/>
        <w:jc w:val="center"/>
      </w:pPr>
      <w:r>
        <w:drawing>
          <wp:inline xmlns:a="http://schemas.openxmlformats.org/drawingml/2006/main" xmlns:pic="http://schemas.openxmlformats.org/drawingml/2006/picture">
            <wp:extent cx="4392000" cy="2309286"/>
            <wp:docPr id="4" name="Fig. 4" title="VaccineNLP prototype interface for conversation-flow screening and evidence-oriented review." descr="Screenshot of the VaccineNLP web prototype showing conversation-flow analysis, risk indicators, contextual evidence, and review output."/>
            <wp:cNvGraphicFramePr>
              <a:graphicFrameLocks noChangeAspect="1"/>
            </wp:cNvGraphicFramePr>
            <a:graphic>
              <a:graphicData uri="http://schemas.openxmlformats.org/drawingml/2006/picture">
                <pic:pic>
                  <pic:nvPicPr>
                    <pic:cNvPr id="0" name="fig4_prototype_stream.jpeg"/>
                    <pic:cNvPicPr/>
                  </pic:nvPicPr>
                  <pic:blipFill>
                    <a:blip r:embed="rId14"/>
                    <a:stretch>
                      <a:fillRect/>
                    </a:stretch>
                  </pic:blipFill>
                  <pic:spPr>
                    <a:xfrm>
                      <a:off x="0" y="0"/>
                      <a:ext cx="4392000" cy="2309286"/>
                    </a:xfrm>
                    <a:prstGeom prst="rect"/>
                  </pic:spPr>
                </pic:pic>
              </a:graphicData>
            </a:graphic>
          </wp:inline>
        </w:drawing>
      </w:r>
    </w:p>
    <w:p>
      <w:pPr>
        <w:pStyle w:val="figurecaption"/>
      </w:pPr>
      <w:r>
        <w:rPr>
          <w:b/>
        </w:rPr>
        <w:t xml:space="preserve">Fig. 4. </w:t>
      </w:r>
      <w:r>
        <w:t>VaccineNLP prototype interface for conversation-flow screening and evidence-oriented review.</w:t>
      </w:r>
    </w:p>
    <w:p>
      <w:pPr>
        <w:pStyle w:val="p1a"/>
      </w:pPr>
      <w:r>
        <w:t>The prototype follows a client-server design with a web interface, an API analysis layer, model services, and persistent storage for history and review queues. The operational modules mirror the implemented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pPr/>
      <w:r>
        <w:t>From a deployment perspective, the important design decision is selective escalation. Clear low-risk cases can be handled by the PhoBERT-v2 classifier, while ambiguous, sarcastic, low-confidence, or high-risk cases are escalated to the reasoning layer and then to human review. The prototype also records a consistency flag such as plausible, unusual, high-risk, or evasion-suspected. This makes the system closer to an analyst workbench than a simple demo classifier.</w:t>
      </w:r>
    </w:p>
    <w:p>
      <w:pPr/>
      <w:r>
        <w:t>The proposed evidence layer combines retrieval-augmented generation with a curated public-health knowledge base. In the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pPr/>
      <w:r>
        <w:t>Table 14 summarizes the deployment-oriented technical profile extracted from the project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pPr>
        <w:pStyle w:val="tablecaption"/>
        <w:spacing w:before="80" w:after="20" w:line="240" w:lineRule="auto"/>
        <w:ind w:left="0" w:right="0" w:firstLine="0"/>
      </w:pPr>
      <w:r>
        <w:rPr>
          <w:b/>
          <w:i/>
        </w:rPr>
        <w:t xml:space="preserve">Table 14. </w:t>
      </w:r>
      <w:r>
        <w:rPr>
          <w:i/>
        </w:rPr>
        <w:t>Deployment-oriented technical profile of VaccineNLP.</w:t>
      </w:r>
    </w:p>
    <w:tbl>
      <w:tblPr>
        <w:tblW w:type="dxa" w:w="6900"/>
        <w:jc w:val="center"/>
        <w:tblLayout w:type="fixed"/>
        <w:tblLook w:firstColumn="1" w:firstRow="1" w:lastColumn="0" w:lastRow="0" w:noHBand="0" w:noVBand="1" w:val="04A0"/>
        <w:tblInd w:w="0" w:type="dxa"/>
      </w:tblPr>
      <w:tblGrid>
        <w:gridCol w:w="1568"/>
        <w:gridCol w:w="2770"/>
        <w:gridCol w:w="2562"/>
      </w:tblGrid>
      <w:tr>
        <w:trPr>
          <w:tblHeader w:val="true"/>
        </w:trPr>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Component</w:t>
            </w:r>
          </w:p>
        </w:tc>
        <w:tc>
          <w:tcPr>
            <w:tcW w:type="dxa" w:w="277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Evidence / configuration</w:t>
            </w:r>
          </w:p>
        </w:tc>
        <w:tc>
          <w:tcPr>
            <w:tcW w:type="dxa" w:w="256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Operational implication</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PhoBERT-v2 classifier</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~540 MB engine; 135M-parameter Vietnamese encoder; 256-token input; three task-specific heads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Efficient first-tier screening for all incoming vaccine-related texts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Gemma-4 4B QLoRA</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~2.5 GB explanation engine; 4-bit NF4 QLoRA; 36.7M trainable parameters (0.46% of the base model)</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Selective rationale generation for low-confidence, sarcastic, implicit, or high-risk cases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Selective escalation</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Prototype design escalates only difficult cases, estimated at about 20% of inputs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Reduces computation while preserving expert oversight for ambiguous content</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Reliability controls</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Temperature Scaling reduced ECE by 44--56%; parser v3 reached 72.0% success (134/186)</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Supports confidence-aware triage and prevents free-form LLM output from acting as ground truth</w:t>
            </w:r>
          </w:p>
        </w:tc>
      </w:tr>
      <w:tr>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XAI and evidence layer</w:t>
            </w:r>
          </w:p>
        </w:tc>
        <w:tc>
          <w:tcPr>
            <w:tcW w:type="dxa" w:w="277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Integrated Gradients token attribution, calibrated confidence, consistency flags, and curated official-source anchors</w:t>
            </w:r>
          </w:p>
        </w:tc>
        <w:tc>
          <w:tcPr>
            <w:tcW w:type="dxa" w:w="256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Provides an audit trail for public-health analysts and model reviewers</w:t>
            </w:r>
          </w:p>
        </w:tc>
      </w:tr>
    </w:tbl>
    <w:p>
      <w:pPr>
        <w:spacing w:before="0" w:after="80" w:line="240" w:lineRule="auto"/>
        <w:ind w:left="0" w:right="0" w:firstLine="0"/>
      </w:pPr>
    </w:p>
    <w:p>
      <w:pPr>
        <w:pStyle w:val="p1a"/>
      </w:pPr>
      <w: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pPr/>
      <w:r>
        <w:t>The system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pPr/>
      <w: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pPr/>
      <w:r>
        <w:t>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keeps accountability with trained professionals while using NLP to reduce the manual burden of monitoring thousands of posts.</w:t>
      </w:r>
    </w:p>
    <w:p>
      <w:pPr>
        <w:pStyle w:val="heading1"/>
      </w:pPr>
      <w:r>
        <w:t>Limitations and Future Work</w:t>
      </w:r>
    </w:p>
    <w:p>
      <w:pPr>
        <w:pStyle w:val="p1a"/>
      </w:pPr>
      <w: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pPr/>
      <w: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pPr/>
      <w: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pPr/>
      <w: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pPr/>
      <w: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pPr>
        <w:pStyle w:val="heading1"/>
      </w:pPr>
      <w:r>
        <w:t>Conclusion</w:t>
      </w:r>
    </w:p>
    <w:p>
      <w:pPr>
        <w:pStyle w:val="p1a"/>
      </w:pPr>
      <w:r>
        <w:t>VaccineNLP demonstrates that multi-task Vietnamese NLP can support public-health infodemic surveillance, but only under a cautious human-in-the-loop design. PhoBERT-v2 achieved the strongest average classification performance, Temperature 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pPr/>
      <w: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pPr>
        <w:pStyle w:val="heading1"/>
      </w:pPr>
      <w:r>
        <w:t>Acknowledgements</w:t>
      </w:r>
    </w:p>
    <w:p>
      <w:pPr>
        <w:pStyle w:val="p1a"/>
      </w:pPr>
      <w:r>
        <w:t>The authors thank the annotators, domain reviewers, and technical contributors who supported the VaccineNLP study, software prototype, and supporting project materials.</w:t>
      </w:r>
    </w:p>
    <w:p>
      <w:pPr>
        <w:pStyle w:val="heading1"/>
      </w:pPr>
      <w:r>
        <w:t>References</w:t>
      </w:r>
    </w:p>
    <w:p>
      <w:pPr>
        <w:pStyle w:val="referenceitem"/>
        <w:spacing w:after="40"/>
        <w:ind w:hanging="317" w:left="317"/>
      </w:pPr>
      <w:r>
        <w:t>[1] World Health Organization. Managing the COVID-19 infodemic: promoting healthy behaviours and mitigating the harm from misinformation and disinformation. WHO (2020).</w:t>
      </w:r>
    </w:p>
    <w:p>
      <w:pPr>
        <w:pStyle w:val="referenceitem"/>
        <w:spacing w:after="40"/>
        <w:ind w:hanging="317" w:left="317"/>
      </w:pPr>
      <w:r>
        <w:t>[2] Duong, M.C., Nguyen, H.T., Duong, M.: Evaluating COVID-19 vaccine hesitancy: a qualitative study from Vietnam. Diabetes Metab. Syndr. 16(1), 102363 (2022). https://doi.org/10.1016/j.dsx.2021.102363</w:t>
      </w:r>
    </w:p>
    <w:p>
      <w:pPr>
        <w:pStyle w:val="referenceitem"/>
        <w:spacing w:after="40"/>
        <w:ind w:hanging="317" w:left="317"/>
      </w:pPr>
      <w:r>
        <w:t>[3] Ha, N., Chi, N., Van Nuil, J., Thwaites, L., Chambers, M.: Media portrayal of vaccine: a content analysis of Vietnam online news about a pentavalent vaccine in the Expanded Program of Immunization. Wellcome Open Res. 7, 271 (2022). https://doi.org/10.12688/wellcomeopenres.18457.1</w:t>
      </w:r>
    </w:p>
    <w:p>
      <w:pPr>
        <w:pStyle w:val="referenceitem"/>
        <w:spacing w:after="40"/>
        <w:ind w:hanging="317" w:left="317"/>
      </w:pPr>
      <w:r>
        <w:t>[4] Bui, N., Nguyen, H., Duong, B., et al.: Lessons learned from Vietnam's first COVID-19 vaccine rollout: tackling vaccine hesitancy and misinformation for future pandemic responses. Front. Public Health 13, 1633756 (2025). https://doi.org/10.3389/fpubh.2025.1633756</w:t>
      </w:r>
    </w:p>
    <w:p>
      <w:pPr>
        <w:pStyle w:val="referenceitem"/>
        <w:spacing w:after="40"/>
        <w:ind w:hanging="317" w:left="317"/>
      </w:pPr>
      <w:r>
        <w:t>[5] Hayawi, K., Shahriar, S., Serhani, M.A., Taleb, I., Mathew, S.S.: ANTi-Vax: a novel Twitter dataset for COVID-19 vaccine misinformation detection. Public Health 203, 23--30 (2022). https://doi.org/10.1016/j.puhe.2021.11.022</w:t>
      </w:r>
    </w:p>
    <w:p>
      <w:pPr>
        <w:pStyle w:val="referenceitem"/>
        <w:spacing w:after="40"/>
        <w:ind w:hanging="317" w:left="317"/>
      </w:pPr>
      <w:r>
        <w:t>[6] Roozenbeek, J., Schneider, C.R., Dryhurst, S., et al.: Susceptibility to misinformation about COVID-19 around the world. R. Soc. Open Sci. 7(10), 201199 (2020). https://doi.org/10.1098/rsos.201199</w:t>
      </w:r>
    </w:p>
    <w:p>
      <w:pPr>
        <w:pStyle w:val="referenceitem"/>
        <w:spacing w:after="40"/>
        <w:ind w:hanging="317" w:left="317"/>
      </w:pPr>
      <w:r>
        <w:t>[7] Eysenbach, G.: Infodemiology: the epidemiology of (mis)information. Am. J. Med. 113(9), 763--765 (2002). https://doi.org/10.1016/S0002-9343(02)01473-0</w:t>
      </w:r>
    </w:p>
    <w:p>
      <w:pPr>
        <w:pStyle w:val="referenceitem"/>
        <w:spacing w:after="40"/>
        <w:ind w:hanging="317" w:left="317"/>
      </w:pPr>
      <w:r>
        <w:t>[8] Nguyen, D.Q., Nguyen, A.T.: PhoBERT: Pre-trained language models for Vietnamese. In: Findings of EMNLP, pp. 1037--1042 (2020). https://doi.org/10.18653/v1/2020.findings-emnlp.92</w:t>
      </w:r>
    </w:p>
    <w:p>
      <w:pPr>
        <w:pStyle w:val="referenceitem"/>
        <w:spacing w:after="40"/>
        <w:ind w:hanging="317" w:left="317"/>
      </w:pPr>
      <w:r>
        <w:t>[9] Conneau, A., Khandelwal, K., Goyal, N., et al.: Unsupervised cross-lingual representation learning at scale. In: ACL, pp. 8440--8451 (2020). https://doi.org/10.18653/v1/2020.acl-main.747</w:t>
      </w:r>
    </w:p>
    <w:p>
      <w:pPr>
        <w:pStyle w:val="referenceitem"/>
        <w:spacing w:after="40"/>
        <w:ind w:hanging="317" w:left="317"/>
      </w:pPr>
      <w:r>
        <w:t>[10] Devlin, J., Chang, M.W., Lee, K., Toutanova, K.: BERT: pre-training of deep bidirectional transformers for language understanding. In: NAACL-HLT, pp. 4171--4186 (2019). https://doi.org/10.18653/v1/N19-1423</w:t>
      </w:r>
    </w:p>
    <w:p>
      <w:pPr>
        <w:pStyle w:val="referenceitem"/>
        <w:spacing w:after="40"/>
        <w:ind w:hanging="317" w:left="317"/>
      </w:pPr>
      <w:r>
        <w:t>[11] Vaswani, A., Shazeer, N., Parmar, N., et al.: Attention is all you need. In: NeurIPS, pp. 5998--6008 (2017).</w:t>
      </w:r>
    </w:p>
    <w:p>
      <w:pPr>
        <w:pStyle w:val="referenceitem"/>
        <w:spacing w:after="40"/>
        <w:ind w:hanging="317" w:left="317"/>
      </w:pPr>
      <w:r>
        <w:t>[12] Pang, B., Lee, L.: Opinion mining and sentiment analysis. Found. Trends Inf. Retr. 2(1--2), 1--135 (2008). https://doi.org/10.1561/1500000011</w:t>
      </w:r>
    </w:p>
    <w:p>
      <w:pPr>
        <w:pStyle w:val="referenceitem"/>
        <w:spacing w:after="40"/>
        <w:ind w:hanging="317" w:left="317"/>
      </w:pPr>
      <w:r>
        <w:t>[13] Gilardi, F., Alizadeh, M., Kubli, M.: ChatGPT outperforms crowd workers for text-annotation tasks. Proc. Natl. Acad. Sci. 120(30), e2305016120 (2023). https://doi.org/10.1073/pnas.2305016120</w:t>
      </w:r>
    </w:p>
    <w:p>
      <w:pPr>
        <w:pStyle w:val="referenceitem"/>
        <w:spacing w:after="40"/>
        <w:ind w:hanging="317" w:left="317"/>
      </w:pPr>
      <w:r>
        <w:t>[14] Singhal, K., Azizi, S., Tu, T., et al.: Large language models encode clinical knowledge. Nature 620, 172--180 (2023). https://doi.org/10.1038/s41586-023-06291-2</w:t>
      </w:r>
    </w:p>
    <w:p>
      <w:pPr>
        <w:pStyle w:val="referenceitem"/>
        <w:spacing w:after="40"/>
        <w:ind w:hanging="317" w:left="317"/>
      </w:pPr>
      <w:r>
        <w:t>[15] Dettmers, T., Pagnoni, A., Holtzman, A., Zettlemoyer, L.: QLoRA: efficient finetuning of quantized LLMs. In: NeurIPS (2023).</w:t>
      </w:r>
    </w:p>
    <w:p>
      <w:pPr>
        <w:pStyle w:val="referenceitem"/>
        <w:spacing w:after="40"/>
        <w:ind w:hanging="317" w:left="317"/>
      </w:pPr>
      <w:r>
        <w:t>[16] Guo, C., Pleiss, G., Sun, Y., Weinberger, K.Q.: On calibration of modern neural networks. In: ICML, pp. 1321--1330 (2017).</w:t>
      </w:r>
    </w:p>
    <w:p>
      <w:pPr>
        <w:pStyle w:val="referenceitem"/>
        <w:spacing w:after="40"/>
        <w:ind w:hanging="317" w:left="317"/>
      </w:pPr>
      <w:r>
        <w:t>[17] Desai, S., Durrett, G.: Calibration of pre-trained transformers. In: EMNLP, pp. 295--302 (2020). https://doi.org/10.18653/v1/2020.emnlp-main.21</w:t>
      </w:r>
    </w:p>
    <w:p>
      <w:pPr>
        <w:pStyle w:val="referenceitem"/>
        <w:spacing w:after="40"/>
        <w:ind w:hanging="317" w:left="317"/>
      </w:pPr>
      <w:r>
        <w:t>[18] Landis, J.R., Koch, G.G.: The measurement of observer agreement for categorical data. Biometrics 33(1), 159--174 (1977). https://doi.org/10.2307/2529310</w:t>
      </w:r>
    </w:p>
    <w:p>
      <w:pPr>
        <w:pStyle w:val="referenceitem"/>
        <w:spacing w:after="40"/>
        <w:ind w:hanging="317" w:left="317"/>
      </w:pPr>
      <w:r>
        <w:t>[19] Vraga, E.K., Bode, L.: Defining misinformation and understanding its bounded nature. Political Communication 37(1), 136--144 (2020). https://doi.org/10.1080/10584609.2020.1716500</w:t>
      </w:r>
    </w:p>
    <w:p>
      <w:pPr>
        <w:pStyle w:val="referenceitem"/>
        <w:spacing w:after="40"/>
        <w:ind w:hanging="317" w:left="317"/>
      </w:pPr>
      <w:r>
        <w:t>[20] Vosoughi, S., Roy, D., Aral, S.: The spread of true and false news online. Science 359(6380), 1146--1151 (2018). https://doi.org/10.1126/science.aap9559</w:t>
      </w:r>
    </w:p>
    <w:p>
      <w:pPr>
        <w:pStyle w:val="referenceitem"/>
        <w:spacing w:after="40"/>
        <w:ind w:hanging="317" w:left="317"/>
      </w:pPr>
      <w:r>
        <w:t>[21] Sundararajan, M., Taly, A., Yan, Q.: Axiomatic attribution for deep networks. In: ICML, pp. 3319--3328 (2017).</w:t>
      </w:r>
    </w:p>
    <w:p>
      <w:pPr>
        <w:pStyle w:val="referenceitem"/>
        <w:spacing w:after="40"/>
        <w:ind w:hanging="317" w:left="317"/>
      </w:pPr>
      <w:r>
        <w:t>[22] Holzinger, A., Langs, G., Denk, H., Zatloukal, K., Muller, H.: Causability and explainability of artificial intelligence in medicine. WIREs Data Min. Knowl. Discov. 9(4), e1312 (2019). https://doi.org/10.1002/widm.1312</w:t>
      </w:r>
    </w:p>
    <w:p>
      <w:pPr>
        <w:pStyle w:val="referenceitem"/>
        <w:spacing w:after="40"/>
        <w:ind w:hanging="317" w:left="317"/>
      </w:pPr>
      <w:r>
        <w:t>[23] Lewis, P., Perez, E., Piktus, A., et al.: Retrieval-augmented generation for knowledge-intensive NLP tasks. In: NeurIPS, pp. 9459--9474 (2020).</w:t>
      </w:r>
    </w:p>
    <w:p>
      <w:pPr>
        <w:pStyle w:val="referenceitem"/>
        <w:spacing w:after="40"/>
        <w:ind w:hanging="317" w:left="317"/>
      </w:pPr>
      <w:r>
        <w:t>[24] He, H., Garcia, E.A.: Learning from imbalanced data. IEEE Trans. Knowl. Data Eng. 21(9), 1263--1284 (2009). https://doi.org/10.1109/TKDE.2008.239</w:t>
      </w:r>
    </w:p>
    <w:p>
      <w:pPr>
        <w:pStyle w:val="referenceitem"/>
        <w:spacing w:after="40"/>
        <w:ind w:hanging="317" w:left="317"/>
      </w:pPr>
      <w:r>
        <w:t>[25] Mu, Y., Jin, M., Grimshaw, C., Scarton, C., Bontcheva, K., Song, X.: VaxxHesitancy: a dataset for studying hesitancy towards COVID-19 vaccination on Twitter. arXiv:2301.06660 (2023).</w:t>
      </w:r>
    </w:p>
    <w:p>
      <w:pPr>
        <w:pStyle w:val="referenceitem"/>
        <w:spacing w:after="40"/>
        <w:ind w:hanging="317" w:left="317"/>
      </w:pPr>
      <w:r>
        <w:t>[26] Dadgar, S.M.H., Ghatee, M.: Checkovid: a COVID-19 misinformation detection system on Twitter using network and content mining perspectives. arXiv:2107.09768 (2021).</w:t>
      </w:r>
    </w:p>
    <w:p>
      <w:pPr>
        <w:pStyle w:val="referenceitem"/>
        <w:spacing w:after="40"/>
        <w:ind w:hanging="317" w:left="317"/>
      </w:pPr>
      <w:r>
        <w:t>[27] Joshi, G., Srivastava, A., Yagnik, B., Hasan, M., Saiyed, Z., Gabralla, L.A., Abraham, A., Walambe, R., Kotecha, K.: Explainable misinformation detection across multiple social media platforms. arXiv:2203.11724 (2022).</w:t>
      </w:r>
    </w:p>
    <w:p>
      <w:pPr>
        <w:pStyle w:val="heading1"/>
      </w:pPr>
      <w:r>
        <w:t>Correspondence and Author Contacts</w:t>
      </w:r>
    </w:p>
    <w:p>
      <w:pPr>
        <w:pStyle w:val="p1a"/>
      </w:pPr>
      <w:r>
        <w:t>Correspondence concerning this paper should be addressed to the first author, Manh Hung Kim, Ha Noi University of Public Health, Ha Noi, Viet Nam. Email: 2211090016@studenthuph.edu.vn.</w:t>
      </w:r>
    </w:p>
    <w:p>
      <w:pPr>
        <w:pStyle w:val="heading1"/>
      </w:pPr>
      <w:r>
        <w:t>Additional Author Contact Information</w:t>
      </w:r>
    </w:p>
    <w:p>
      <w:pPr>
        <w:pStyle w:val="p1a"/>
      </w:pPr>
      <w:r>
        <w:t>Lam Quan Tran, Digital Health Center, Ha Noi University of Public Health, Ha Noi, Viet Nam. Email: quantl3@fpt.edu.vn.</w:t>
      </w:r>
    </w:p>
    <w:p>
      <w:pPr/>
      <w:r>
        <w:t>Hong Viet Tran, Institute of Artificial Intelligence, VNU University of Engineering and Technology, Vietnam National University, Hanoi, Vietnam. Email: thviet79@gmail.com.</w:t>
      </w:r>
    </w:p>
    <w:sectPr w:rsidR="00F5783C" w:rsidRPr="00606587" w:rsidSect="009F7FCE">
      <w:headerReference w:type="even" r:id="rId11"/>
      <w:headerReference w:type="default" r:id="rId12"/>
      <w:headerReference w:type="first" r:id="rId15"/>
      <w:pgSz w:w="11906" w:h="16838" w:code="9"/>
      <w:pgMar w:top="2948" w:right="2494" w:bottom="2948" w:left="2494" w:header="709"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397" w:val="left"/>
      </w:tabs>
      <w:spacing w:before="0" w:after="0" w:line="240" w:lineRule="auto"/>
    </w:pP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r>
      <w:tab/>
    </w:r>
    <w:r>
      <w:rPr>
        <w:rFonts w:ascii="Times New Roman" w:hAnsi="Times New Roman"/>
        <w:b/>
        <w:sz w:val="16"/>
      </w:rPr>
      <w:t>Manh Hung Kim et 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6918" w:val="right"/>
      </w:tabs>
      <w:spacing w:before="0" w:after="0" w:line="240" w:lineRule="auto"/>
    </w:pPr>
    <w:r>
      <w:rPr>
        <w:rFonts w:ascii="Times New Roman" w:hAnsi="Times New Roman"/>
        <w:b/>
        <w:sz w:val="16"/>
      </w:rPr>
      <w:t>VaccineNLP: Explainable HITL Misinformation Surveillance</w:t>
    </w:r>
    <w:r>
      <w:tab/>
    </w: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eg"/><Relationship Id="rId15" Type="http://schemas.openxmlformats.org/officeDocument/2006/relationships/header" Target="header3.xml"/></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VaccineNLP Project Team</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VaccineNLP: An Explainable Human-in-the-Loop Multi-Task NLP Framework for Vietnamese Vaccine Misinformation Surveillance</dc:title>
  <dc:subject>FISAT full paper</dc:subject>
  <cp:keywords>Vaccine misinformation, Vietnamese NLP, Infodemic surveillance, Human-in-the-loop, Explainable AI, Multi-task learning, PhoBERT, Confidence calibration</cp:keywords>
</cp:coreProperties>
</file>