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spacing w:line="240" w:lineRule="auto"/>
        <w:jc w:val="center"/>
      </w:pPr>
      <w:r>
        <w:t>VaccineNLP: A Human-in-the-Loop Explainable Multi-Task NLP Framework for Vietnamese Vaccine Misinformation Surveillance</w:t>
      </w:r>
    </w:p>
    <w:p>
      <w:pPr>
        <w:pStyle w:val="author"/>
        <w:spacing w:line="240" w:lineRule="auto"/>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spacing w:line="240" w:lineRule="auto"/>
        <w:jc w:val="center"/>
      </w:pPr>
      <w:r>
        <w:rPr>
          <w:vertAlign w:val="superscript"/>
        </w:rPr>
        <w:t>1</w:t>
      </w:r>
      <w:r>
        <w:t xml:space="preserve"> Ha Noi University of Public Health, Ha Noi, Viet Nam</w:t>
      </w:r>
    </w:p>
    <w:p>
      <w:pPr>
        <w:pStyle w:val="address"/>
        <w:spacing w:line="240" w:lineRule="auto"/>
        <w:jc w:val="center"/>
      </w:pPr>
      <w:r>
        <w:rPr>
          <w:vertAlign w:val="superscript"/>
        </w:rPr>
        <w:t>2</w:t>
      </w:r>
      <w:r>
        <w:t xml:space="preserve"> Digital Health Center, Ha Noi University of Public Health, Ha Noi, Viet Nam</w:t>
      </w:r>
    </w:p>
    <w:p>
      <w:pPr>
        <w:pStyle w:val="abstract"/>
        <w:spacing w:line="240" w:lineRule="auto"/>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spacing w:line="240" w:lineRule="auto"/>
        <w:jc w:val="left"/>
      </w:pPr>
      <w:r>
        <w:t>Keywords: Vaccine misinformation; Vietnamese NLP; Infodemic surveillance; Human-in-the-loop; Explainable AI; Multi-task learning; PhoBERT; Confidence calibration.</w:t>
      </w:r>
    </w:p>
    <w:p>
      <w:pPr>
        <w:pStyle w:val="heading1"/>
        <w:spacing w:line="240" w:lineRule="auto"/>
      </w:pPr>
      <w:r>
        <w:t>Introduction</w:t>
      </w:r>
    </w:p>
    <w:p>
      <w:pPr>
        <w:pStyle w:val="p1a"/>
        <w:spacing w:before="0" w:after="20" w:line="240" w:lineRule="auto"/>
        <w:ind w:firstLine="0"/>
        <w:jc w:val="both"/>
      </w:pPr>
      <w:r>
        <w:rPr>
          <w:rFonts w:ascii="Times New Roman" w:hAnsi="Times New Roman"/>
          <w:sz w:val="20"/>
        </w:rP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spacing w:before="0" w:after="20" w:line="240" w:lineRule="auto"/>
        <w:ind w:firstLine="198"/>
        <w:jc w:val="both"/>
      </w:pPr>
      <w:r>
        <w:rPr>
          <w:rFonts w:ascii="Times New Roman" w:hAnsi="Times New Roman"/>
          <w:sz w:val="20"/>
        </w:rP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spacing w:before="0" w:after="20" w:line="240" w:lineRule="auto"/>
        <w:ind w:firstLine="198"/>
        <w:jc w:val="both"/>
      </w:pPr>
      <w:r>
        <w:rPr>
          <w:rFonts w:ascii="Times New Roman" w:hAnsi="Times New Roman"/>
          <w:sz w:val="20"/>
        </w:rP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spacing w:before="0" w:after="20" w:line="240" w:lineRule="auto"/>
        <w:ind w:firstLine="198"/>
        <w:jc w:val="both"/>
      </w:pPr>
      <w:r>
        <w:rPr>
          <w:rFonts w:ascii="Times New Roman" w:hAnsi="Times New Roman"/>
          <w:sz w:val="20"/>
        </w:rP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spacing w:before="0" w:after="20" w:line="240" w:lineRule="auto"/>
        <w:ind w:firstLine="198"/>
        <w:jc w:val="both"/>
      </w:pPr>
      <w:r>
        <w:rPr>
          <w:rFonts w:ascii="Times New Roman" w:hAnsi="Times New Roman"/>
          <w:sz w:val="20"/>
        </w:rP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spacing w:line="240" w:lineRule="auto"/>
      </w:pPr>
      <w:r>
        <w:t>Related Work and Research Gap</w:t>
      </w:r>
    </w:p>
    <w:p>
      <w:pPr>
        <w:pStyle w:val="p1a"/>
        <w:spacing w:before="0" w:after="20" w:line="240" w:lineRule="auto"/>
        <w:ind w:firstLine="0"/>
        <w:jc w:val="both"/>
      </w:pPr>
      <w:r>
        <w:rPr>
          <w:rFonts w:ascii="Times New Roman" w:hAnsi="Times New Roman"/>
          <w:sz w:val="20"/>
        </w:rP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spacing w:before="0" w:after="20" w:line="240" w:lineRule="auto"/>
        <w:ind w:firstLine="198"/>
        <w:jc w:val="both"/>
      </w:pPr>
      <w:r>
        <w:rPr>
          <w:rFonts w:ascii="Times New Roman" w:hAnsi="Times New Roman"/>
          <w:sz w:val="20"/>
        </w:rP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spacing w:before="0" w:after="20" w:line="240" w:lineRule="auto"/>
        <w:ind w:firstLine="198"/>
        <w:jc w:val="both"/>
      </w:pPr>
      <w:r>
        <w:rPr>
          <w:rFonts w:ascii="Times New Roman" w:hAnsi="Times New Roman"/>
          <w:sz w:val="20"/>
        </w:rP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spacing w:before="0" w:after="20" w:line="240" w:lineRule="auto"/>
        <w:ind w:firstLine="198"/>
        <w:jc w:val="both"/>
      </w:pPr>
      <w:r>
        <w:rPr>
          <w:rFonts w:ascii="Times New Roman" w:hAnsi="Times New Roman"/>
          <w:sz w:val="20"/>
        </w:rP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jc w:val="left"/>
      </w:pPr>
      <w:r>
        <w:rPr>
          <w:rFonts w:ascii="Times New Roman" w:hAnsi="Times New Roman"/>
          <w:b/>
          <w:i/>
          <w:sz w:val="18"/>
        </w:rPr>
        <w:t xml:space="preserve">Table 1. </w:t>
      </w:r>
      <w:r>
        <w:rPr>
          <w:rFonts w:ascii="Times New Roman" w:hAnsi="Times New Roman"/>
          <w:i/>
          <w:sz w:val="18"/>
        </w:rPr>
        <w:t>Positioning of VaccineNLP against related misinformation and vaccine NLP studies.</w:t>
      </w:r>
    </w:p>
    <w:tbl>
      <w:tblPr>
        <w:tblW w:type="dxa" w:w="6600"/>
        <w:jc w:val="center"/>
        <w:tblLayout w:type="fixed"/>
        <w:tblLook w:firstColumn="1" w:firstRow="1" w:lastColumn="0" w:lastRow="0" w:noHBand="0" w:noVBand="1" w:val="04A0"/>
      </w:tblPr>
      <w:tblGrid>
        <w:gridCol w:w="1050"/>
        <w:gridCol w:w="1200"/>
        <w:gridCol w:w="1650"/>
        <w:gridCol w:w="1350"/>
        <w:gridCol w:w="135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spacing w:before="0" w:after="20" w:line="240" w:lineRule="auto"/>
        <w:ind w:firstLine="0"/>
        <w:jc w:val="both"/>
      </w:pPr>
      <w:r>
        <w:rPr>
          <w:rFonts w:ascii="Times New Roman" w:hAnsi="Times New Roman"/>
          <w:sz w:val="20"/>
        </w:rP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spacing w:before="0" w:after="20" w:line="240" w:lineRule="auto"/>
        <w:ind w:firstLine="198"/>
        <w:jc w:val="both"/>
      </w:pPr>
      <w:r>
        <w:rPr>
          <w:rFonts w:ascii="Times New Roman" w:hAnsi="Times New Roman"/>
          <w:sz w:val="20"/>
        </w:rP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spacing w:line="240" w:lineRule="auto"/>
      </w:pPr>
      <w:r>
        <w:t>Materials and Methods</w:t>
      </w:r>
    </w:p>
    <w:p>
      <w:pPr>
        <w:pStyle w:val="heading2"/>
        <w:spacing w:line="240" w:lineRule="auto"/>
      </w:pPr>
      <w:r>
        <w:t>Data Collection and Processing</w:t>
      </w:r>
    </w:p>
    <w:p>
      <w:pPr>
        <w:pStyle w:val="p1a"/>
        <w:spacing w:before="0" w:after="20" w:line="240" w:lineRule="auto"/>
        <w:ind w:firstLine="0"/>
        <w:jc w:val="both"/>
      </w:pPr>
      <w:r>
        <w:rPr>
          <w:rFonts w:ascii="Times New Roman" w:hAnsi="Times New Roman"/>
          <w:sz w:val="20"/>
        </w:rP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spacing w:before="0" w:after="20" w:line="240" w:lineRule="auto"/>
        <w:ind w:firstLine="198"/>
        <w:jc w:val="both"/>
      </w:pPr>
      <w:r>
        <w:rPr>
          <w:rFonts w:ascii="Times New Roman" w:hAnsi="Times New Roman"/>
          <w:sz w:val="20"/>
        </w:rP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jc w:val="left"/>
      </w:pPr>
      <w:r>
        <w:rPr>
          <w:rFonts w:ascii="Times New Roman" w:hAnsi="Times New Roman"/>
          <w:b/>
          <w:i/>
          <w:sz w:val="18"/>
        </w:rPr>
        <w:t xml:space="preserve">Table 2. </w:t>
      </w:r>
      <w:r>
        <w:rPr>
          <w:rFonts w:ascii="Times New Roman" w:hAnsi="Times New Roman"/>
          <w:i/>
          <w:sz w:val="18"/>
        </w:rPr>
        <w:t>Data sources and cleaning pipeline.</w:t>
      </w:r>
    </w:p>
    <w:tbl>
      <w:tblPr>
        <w:tblW w:type="dxa" w:w="6600"/>
        <w:jc w:val="center"/>
        <w:tblLayout w:type="fixed"/>
        <w:tblLook w:firstColumn="1" w:firstRow="1" w:lastColumn="0" w:lastRow="0" w:noHBand="0" w:noVBand="1" w:val="04A0"/>
      </w:tblPr>
      <w:tblGrid>
        <w:gridCol w:w="1780"/>
        <w:gridCol w:w="942"/>
        <w:gridCol w:w="1204"/>
        <w:gridCol w:w="942"/>
        <w:gridCol w:w="1047"/>
        <w:gridCol w:w="685"/>
      </w:tblGrid>
      <w:tr>
        <w:trPr>
          <w:tblHeader w:val="true"/>
        </w:trPr>
        <w:tc>
          <w:tcPr>
            <w:tcW w:type="dxa" w:w="17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4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68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7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4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68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spacing w:before="0" w:after="20" w:line="240" w:lineRule="auto"/>
        <w:ind w:firstLine="0"/>
        <w:jc w:val="both"/>
      </w:pPr>
      <w:r>
        <w:rPr>
          <w:rFonts w:ascii="Times New Roman" w:hAnsi="Times New Roman"/>
          <w:sz w:val="20"/>
        </w:rP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spacing w:before="0" w:after="20" w:line="240" w:lineRule="auto"/>
        <w:ind w:firstLine="198"/>
        <w:jc w:val="both"/>
      </w:pPr>
      <w:r>
        <w:rPr>
          <w:rFonts w:ascii="Times New Roman" w:hAnsi="Times New Roman"/>
          <w:sz w:val="20"/>
        </w:rP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spacing w:before="0" w:after="20" w:line="240" w:lineRule="auto"/>
        <w:ind w:firstLine="198"/>
        <w:jc w:val="both"/>
      </w:pPr>
      <w:r>
        <w:rPr>
          <w:rFonts w:ascii="Times New Roman" w:hAnsi="Times New Roman"/>
          <w:sz w:val="20"/>
        </w:rP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spacing w:before="0" w:after="20" w:line="240" w:lineRule="auto"/>
        <w:ind w:firstLine="198"/>
        <w:jc w:val="both"/>
      </w:pPr>
      <w:r>
        <w:rPr>
          <w:rFonts w:ascii="Times New Roman" w:hAnsi="Times New Roman"/>
          <w:sz w:val="20"/>
        </w:rP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spacing w:line="240" w:lineRule="auto"/>
      </w:pPr>
      <w:r>
        <w:t>Annotation Schema and HITL Review</w:t>
      </w:r>
    </w:p>
    <w:p>
      <w:pPr>
        <w:pStyle w:val="p1a"/>
        <w:spacing w:before="0" w:after="20" w:line="240" w:lineRule="auto"/>
        <w:ind w:firstLine="0"/>
        <w:jc w:val="both"/>
      </w:pPr>
      <w:r>
        <w:rPr>
          <w:rFonts w:ascii="Times New Roman" w:hAnsi="Times New Roman"/>
          <w:sz w:val="20"/>
        </w:rP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spacing w:before="0" w:after="20" w:line="240" w:lineRule="auto"/>
        <w:ind w:firstLine="198"/>
        <w:jc w:val="both"/>
      </w:pPr>
      <w:r>
        <w:rPr>
          <w:rFonts w:ascii="Times New Roman" w:hAnsi="Times New Roman"/>
          <w:sz w:val="20"/>
        </w:rP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jc w:val="left"/>
      </w:pPr>
      <w:r>
        <w:rPr>
          <w:rFonts w:ascii="Times New Roman" w:hAnsi="Times New Roman"/>
          <w:b/>
          <w:i/>
          <w:sz w:val="18"/>
        </w:rPr>
        <w:t xml:space="preserve">Table 3. </w:t>
      </w:r>
      <w:r>
        <w:rPr>
          <w:rFonts w:ascii="Times New Roman" w:hAnsi="Times New Roman"/>
          <w:i/>
          <w:sz w:val="18"/>
        </w:rPr>
        <w:t>Operational annotation schema used for HITL review.</w:t>
      </w:r>
    </w:p>
    <w:tbl>
      <w:tblPr>
        <w:tblW w:type="dxa" w:w="6600"/>
        <w:jc w:val="center"/>
        <w:tblLayout w:type="fixed"/>
        <w:tblLook w:firstColumn="1" w:firstRow="1" w:lastColumn="0" w:lastRow="0" w:noHBand="0" w:noVBand="1" w:val="04A0"/>
      </w:tblPr>
      <w:tblGrid>
        <w:gridCol w:w="1450"/>
        <w:gridCol w:w="1900"/>
        <w:gridCol w:w="3250"/>
      </w:tblGrid>
      <w:tr>
        <w:trPr>
          <w:tblHeader w:val="true"/>
        </w:trPr>
        <w:tc>
          <w:tcPr>
            <w:tcW w:type="dxa" w:w="1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spacing w:before="0" w:after="20" w:line="240" w:lineRule="auto"/>
        <w:ind w:firstLine="0"/>
        <w:jc w:val="both"/>
      </w:pPr>
      <w:r>
        <w:rPr>
          <w:rFonts w:ascii="Times New Roman" w:hAnsi="Times New Roman"/>
          <w:sz w:val="20"/>
        </w:rP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jc w:val="left"/>
      </w:pPr>
      <w:r>
        <w:rPr>
          <w:rFonts w:ascii="Times New Roman" w:hAnsi="Times New Roman"/>
          <w:b/>
          <w:i/>
          <w:sz w:val="18"/>
        </w:rPr>
        <w:t xml:space="preserve">Table 4. </w:t>
      </w:r>
      <w:r>
        <w:rPr>
          <w:rFonts w:ascii="Times New Roman" w:hAnsi="Times New Roman"/>
          <w:i/>
          <w:sz w:val="18"/>
        </w:rPr>
        <w:t>Dataset split and label counts used for training and evaluation.</w:t>
      </w:r>
    </w:p>
    <w:tbl>
      <w:tblPr>
        <w:tblW w:type="dxa" w:w="6600"/>
        <w:jc w:val="center"/>
        <w:tblLayout w:type="fixed"/>
        <w:tblLook w:firstColumn="1" w:firstRow="1" w:lastColumn="0" w:lastRow="0" w:noHBand="0" w:noVBand="1" w:val="04A0"/>
      </w:tblPr>
      <w:tblGrid>
        <w:gridCol w:w="926"/>
        <w:gridCol w:w="545"/>
        <w:gridCol w:w="506"/>
        <w:gridCol w:w="701"/>
        <w:gridCol w:w="604"/>
        <w:gridCol w:w="877"/>
        <w:gridCol w:w="545"/>
        <w:gridCol w:w="506"/>
        <w:gridCol w:w="877"/>
        <w:gridCol w:w="513"/>
      </w:tblGrid>
      <w:tr>
        <w:trPr>
          <w:tblHeader w:val="true"/>
        </w:trPr>
        <w:tc>
          <w:tcPr>
            <w:tcW w:type="dxa" w:w="92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Split</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Mis.</w:t>
            </w:r>
          </w:p>
        </w:tc>
        <w:tc>
          <w:tcPr>
            <w:tcW w:type="dxa" w:w="701"/>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Correct</w:t>
            </w:r>
          </w:p>
        </w:tc>
        <w:tc>
          <w:tcPr>
            <w:tcW w:type="dxa" w:w="6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Supp.</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stance</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Opp.</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Pos.</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sent.</w:t>
            </w:r>
          </w:p>
        </w:tc>
        <w:tc>
          <w:tcPr>
            <w:tcW w:type="dxa" w:w="51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Neg.</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Train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1,496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273</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1,223</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447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303</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571</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Validation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31</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136</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66</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Gold Test</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28</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158</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54</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84</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40</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71</w:t>
            </w:r>
          </w:p>
        </w:tc>
      </w:tr>
      <w:tr>
        <w:tc>
          <w:tcPr>
            <w:tcW w:type="dxa" w:w="92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Total</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1,849</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332</w:t>
            </w:r>
          </w:p>
        </w:tc>
        <w:tc>
          <w:tcPr>
            <w:tcW w:type="dxa" w:w="701"/>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1,517</w:t>
            </w:r>
          </w:p>
        </w:tc>
        <w:tc>
          <w:tcPr>
            <w:tcW w:type="dxa" w:w="6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529</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772</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548</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370</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711</w:t>
            </w:r>
          </w:p>
        </w:tc>
        <w:tc>
          <w:tcPr>
            <w:tcW w:type="dxa" w:w="51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Supp. = supportive stance; Opp. = opposing or hesitant stance; Pos./Neg. = positive/negative sentiment. Seven samples were dropped before modeling because word segmentation removed malformed or empty rows.</w:t>
      </w:r>
    </w:p>
    <w:p>
      <w:pPr>
        <w:pStyle w:val="heading2"/>
        <w:spacing w:line="240" w:lineRule="auto"/>
      </w:pPr>
      <w:r>
        <w:t>Dual-Student Hybrid Architecture</w:t>
      </w:r>
    </w:p>
    <w:p>
      <w:pPr>
        <w:pStyle w:val="p1a"/>
        <w:spacing w:before="0" w:after="20" w:line="240" w:lineRule="auto"/>
        <w:ind w:firstLine="0"/>
        <w:jc w:val="both"/>
      </w:pPr>
      <w:r>
        <w:rPr>
          <w:rFonts w:ascii="Times New Roman" w:hAnsi="Times New Roman"/>
          <w:sz w:val="20"/>
        </w:rP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spacing w:before="20" w:after="60" w:line="240" w:lineRule="auto"/>
        <w:jc w:val="center"/>
      </w:pPr>
      <w:r>
        <w:rPr>
          <w:rFonts w:ascii="Times New Roman" w:hAnsi="Times New Roman"/>
          <w:b/>
          <w:sz w:val="18"/>
        </w:rPr>
        <w:t xml:space="preserve">Fig. 1. </w:t>
      </w:r>
      <w:r>
        <w:rPr>
          <w:rFonts w:ascii="Times New Roman" w:hAnsi="Times New Roman"/>
          <w:sz w:val="18"/>
        </w:rPr>
        <w:t>VaccineNLP two-tier human-in-the-loop architecture for Vietnamese vaccine misinformation surveillance.</w:t>
      </w:r>
    </w:p>
    <w:p>
      <w:pPr>
        <w:pStyle w:val="equation"/>
        <w:spacing w:before="20" w:after="40" w:line="240" w:lineRule="auto"/>
        <w:jc w:val="center"/>
      </w:pPr>
      <w:r>
        <w:rPr>
          <w:rFonts w:ascii="Times New Roman" w:hAnsi="Times New Roman"/>
          <w:sz w:val="20"/>
        </w:rPr>
        <w:t>L = 1.2 L_misinfo + L_stance + L_sentiment.</w:t>
      </w:r>
    </w:p>
    <w:p>
      <w:pPr>
        <w:pStyle w:val="p1a"/>
        <w:spacing w:before="0" w:after="20" w:line="240" w:lineRule="auto"/>
        <w:ind w:firstLine="0"/>
        <w:jc w:val="both"/>
      </w:pPr>
      <w:r>
        <w:rPr>
          <w:rFonts w:ascii="Times New Roman" w:hAnsi="Times New Roman"/>
          <w:sz w:val="20"/>
        </w:rP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spacing w:before="0" w:after="20" w:line="240" w:lineRule="auto"/>
        <w:ind w:firstLine="198"/>
        <w:jc w:val="both"/>
      </w:pPr>
      <w:r>
        <w:rPr>
          <w:rFonts w:ascii="Times New Roman" w:hAnsi="Times New Roman"/>
          <w:sz w:val="20"/>
        </w:rP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spacing w:before="0" w:after="20" w:line="240" w:lineRule="auto"/>
        <w:ind w:firstLine="198"/>
        <w:jc w:val="both"/>
      </w:pPr>
      <w:r>
        <w:rPr>
          <w:rFonts w:ascii="Times New Roman" w:hAnsi="Times New Roman"/>
          <w:sz w:val="20"/>
        </w:rP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spacing w:before="0" w:after="20" w:line="240" w:lineRule="auto"/>
        <w:ind w:firstLine="198"/>
        <w:jc w:val="both"/>
      </w:pPr>
      <w:r>
        <w:rPr>
          <w:rFonts w:ascii="Times New Roman" w:hAnsi="Times New Roman"/>
          <w:sz w:val="20"/>
        </w:rP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spacing w:before="0" w:after="20" w:line="240" w:lineRule="auto"/>
        <w:ind w:firstLine="198"/>
        <w:jc w:val="both"/>
      </w:pPr>
      <w:r>
        <w:rPr>
          <w:rFonts w:ascii="Times New Roman" w:hAnsi="Times New Roman"/>
          <w:sz w:val="20"/>
        </w:rP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spacing w:line="240" w:lineRule="auto"/>
      </w:pPr>
      <w:r>
        <w:t>Evaluation Protocol and Ethics</w:t>
      </w:r>
    </w:p>
    <w:p>
      <w:pPr>
        <w:pStyle w:val="p1a"/>
        <w:spacing w:before="0" w:after="20" w:line="240" w:lineRule="auto"/>
        <w:ind w:firstLine="0"/>
        <w:jc w:val="both"/>
      </w:pPr>
      <w:r>
        <w:rPr>
          <w:rFonts w:ascii="Times New Roman" w:hAnsi="Times New Roman"/>
          <w:sz w:val="20"/>
        </w:rP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spacing w:before="0" w:after="20" w:line="240" w:lineRule="auto"/>
        <w:ind w:firstLine="198"/>
        <w:jc w:val="both"/>
      </w:pPr>
      <w:r>
        <w:rPr>
          <w:rFonts w:ascii="Times New Roman" w:hAnsi="Times New Roman"/>
          <w:sz w:val="20"/>
        </w:rP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spacing w:before="0" w:after="20" w:line="240" w:lineRule="auto"/>
        <w:ind w:firstLine="198"/>
        <w:jc w:val="both"/>
      </w:pPr>
      <w:r>
        <w:rPr>
          <w:rFonts w:ascii="Times New Roman" w:hAnsi="Times New Roman"/>
          <w:sz w:val="20"/>
        </w:rP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spacing w:before="0" w:after="20" w:line="240" w:lineRule="auto"/>
        <w:ind w:firstLine="198"/>
        <w:jc w:val="both"/>
      </w:pPr>
      <w:r>
        <w:rPr>
          <w:rFonts w:ascii="Times New Roman" w:hAnsi="Times New Roman"/>
          <w:sz w:val="20"/>
        </w:rP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spacing w:before="0" w:after="20" w:line="240" w:lineRule="auto"/>
        <w:ind w:firstLine="198"/>
        <w:jc w:val="both"/>
      </w:pPr>
      <w:r>
        <w:rPr>
          <w:rFonts w:ascii="Times New Roman" w:hAnsi="Times New Roman"/>
          <w:sz w:val="20"/>
        </w:rP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spacing w:line="240" w:lineRule="auto"/>
      </w:pPr>
      <w:r>
        <w:t>Results</w:t>
      </w:r>
    </w:p>
    <w:p>
      <w:pPr>
        <w:pStyle w:val="p1a"/>
        <w:spacing w:before="0" w:after="20" w:line="240" w:lineRule="auto"/>
        <w:ind w:firstLine="0"/>
        <w:jc w:val="both"/>
      </w:pPr>
      <w:r>
        <w:rPr>
          <w:rFonts w:ascii="Times New Roman" w:hAnsi="Times New Roman"/>
          <w:sz w:val="20"/>
        </w:rP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jc w:val="left"/>
      </w:pPr>
      <w:r>
        <w:rPr>
          <w:rFonts w:ascii="Times New Roman" w:hAnsi="Times New Roman"/>
          <w:b/>
          <w:i/>
          <w:sz w:val="18"/>
        </w:rPr>
        <w:t xml:space="preserve">Table 5. </w:t>
      </w:r>
      <w:r>
        <w:rPr>
          <w:rFonts w:ascii="Times New Roman" w:hAnsi="Times New Roman"/>
          <w:i/>
          <w:sz w:val="18"/>
        </w:rPr>
        <w:t>Gold Test Set label distribution (n = 186).</w:t>
      </w:r>
    </w:p>
    <w:tbl>
      <w:tblPr>
        <w:tblW w:type="dxa" w:w="6600"/>
        <w:jc w:val="center"/>
        <w:tblLayout w:type="fixed"/>
        <w:tblLook w:firstColumn="1" w:firstRow="1" w:lastColumn="0" w:lastRow="0" w:noHBand="0" w:noVBand="1" w:val="04A0"/>
      </w:tblPr>
      <w:tblGrid>
        <w:gridCol w:w="1600"/>
        <w:gridCol w:w="3200"/>
        <w:gridCol w:w="900"/>
        <w:gridCol w:w="900"/>
      </w:tblGrid>
      <w:tr>
        <w:trPr>
          <w:tblHeader w:val="true"/>
        </w:trPr>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spacing w:before="0" w:after="20" w:line="240" w:lineRule="auto"/>
        <w:ind w:firstLine="0"/>
        <w:jc w:val="both"/>
      </w:pPr>
      <w:r>
        <w:rPr>
          <w:rFonts w:ascii="Times New Roman" w:hAnsi="Times New Roman"/>
          <w:sz w:val="20"/>
        </w:rP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spacing w:before="0" w:after="20" w:line="240" w:lineRule="auto"/>
        <w:ind w:firstLine="198"/>
        <w:jc w:val="both"/>
      </w:pPr>
      <w:r>
        <w:rPr>
          <w:rFonts w:ascii="Times New Roman" w:hAnsi="Times New Roman"/>
          <w:sz w:val="20"/>
        </w:rP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jc w:val="left"/>
      </w:pPr>
      <w:r>
        <w:rPr>
          <w:rFonts w:ascii="Times New Roman" w:hAnsi="Times New Roman"/>
          <w:b/>
          <w:i/>
          <w:sz w:val="18"/>
        </w:rPr>
        <w:t xml:space="preserve">Table 6. </w:t>
      </w:r>
      <w:r>
        <w:rPr>
          <w:rFonts w:ascii="Times New Roman" w:hAnsi="Times New Roman"/>
          <w:i/>
          <w:sz w:val="18"/>
        </w:rPr>
        <w:t>Macro F1 on the expert-validated Gold Test Set.</w:t>
      </w:r>
    </w:p>
    <w:tbl>
      <w:tblPr>
        <w:tblW w:type="dxa" w:w="6600"/>
        <w:jc w:val="center"/>
        <w:tblLayout w:type="fixed"/>
        <w:tblLook w:firstColumn="1" w:firstRow="1" w:lastColumn="0" w:lastRow="0" w:noHBand="0" w:noVBand="1" w:val="04A0"/>
      </w:tblPr>
      <w:tblGrid>
        <w:gridCol w:w="1250"/>
        <w:gridCol w:w="2050"/>
        <w:gridCol w:w="850"/>
        <w:gridCol w:w="850"/>
        <w:gridCol w:w="950"/>
        <w:gridCol w:w="650"/>
      </w:tblGrid>
      <w:tr>
        <w:trPr>
          <w:tblHeader w:val="true"/>
        </w:trPr>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spacing w:before="0" w:after="20" w:line="240" w:lineRule="auto"/>
        <w:ind w:firstLine="0"/>
        <w:jc w:val="both"/>
      </w:pPr>
      <w:r>
        <w:rPr>
          <w:rFonts w:ascii="Times New Roman" w:hAnsi="Times New Roman"/>
          <w:sz w:val="20"/>
        </w:rP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spacing w:before="0" w:after="20" w:line="240" w:lineRule="auto"/>
        <w:ind w:firstLine="198"/>
        <w:jc w:val="both"/>
      </w:pPr>
      <w:r>
        <w:rPr>
          <w:rFonts w:ascii="Times New Roman" w:hAnsi="Times New Roman"/>
          <w:sz w:val="20"/>
        </w:rP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spacing w:before="0" w:after="20" w:line="240" w:lineRule="auto"/>
        <w:ind w:firstLine="198"/>
        <w:jc w:val="both"/>
      </w:pPr>
      <w:r>
        <w:rPr>
          <w:rFonts w:ascii="Times New Roman" w:hAnsi="Times New Roman"/>
          <w:sz w:val="20"/>
        </w:rP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jc w:val="left"/>
      </w:pPr>
      <w:r>
        <w:rPr>
          <w:rFonts w:ascii="Times New Roman" w:hAnsi="Times New Roman"/>
          <w:b/>
          <w:i/>
          <w:sz w:val="18"/>
        </w:rPr>
        <w:t xml:space="preserve">Table 7. </w:t>
      </w:r>
      <w:r>
        <w:rPr>
          <w:rFonts w:ascii="Times New Roman" w:hAnsi="Times New Roman"/>
          <w:i/>
          <w:sz w:val="18"/>
        </w:rPr>
        <w:t>Per-class F1 by task on the Gold Test Set.</w:t>
      </w:r>
    </w:p>
    <w:tbl>
      <w:tblPr>
        <w:tblW w:type="dxa" w:w="6600"/>
        <w:jc w:val="center"/>
        <w:tblLayout w:type="fixed"/>
        <w:tblLook w:firstColumn="1" w:firstRow="1" w:lastColumn="0" w:lastRow="0" w:noHBand="0" w:noVBand="1" w:val="04A0"/>
      </w:tblPr>
      <w:tblGrid>
        <w:gridCol w:w="1050"/>
        <w:gridCol w:w="1500"/>
        <w:gridCol w:w="1000"/>
        <w:gridCol w:w="1100"/>
        <w:gridCol w:w="1150"/>
        <w:gridCol w:w="80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1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1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spacing w:before="20" w:after="60" w:line="240" w:lineRule="auto"/>
        <w:jc w:val="center"/>
      </w:pPr>
      <w:r>
        <w:rPr>
          <w:rFonts w:ascii="Times New Roman" w:hAnsi="Times New Roman"/>
          <w:b/>
          <w:sz w:val="18"/>
        </w:rPr>
        <w:t xml:space="preserve">Fig. 2. </w:t>
      </w:r>
      <w:r>
        <w:rPr>
          <w:rFonts w:ascii="Times New Roman" w:hAnsi="Times New Roman"/>
          <w:sz w:val="18"/>
        </w:rPr>
        <w:t>Per-class F1 scores of XLM-RoBERTa, PhoBERT-v2, and Gemma-4 4B on the Gold Test Set.</w:t>
      </w:r>
    </w:p>
    <w:p>
      <w:pPr>
        <w:pStyle w:val="p1a"/>
        <w:spacing w:before="0" w:after="20" w:line="240" w:lineRule="auto"/>
        <w:ind w:firstLine="0"/>
        <w:jc w:val="both"/>
      </w:pPr>
      <w:r>
        <w:rPr>
          <w:rFonts w:ascii="Times New Roman" w:hAnsi="Times New Roman"/>
          <w:sz w:val="20"/>
        </w:rP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spacing w:before="0" w:after="20" w:line="240" w:lineRule="auto"/>
        <w:ind w:firstLine="198"/>
        <w:jc w:val="both"/>
      </w:pPr>
      <w:r>
        <w:rPr>
          <w:rFonts w:ascii="Times New Roman" w:hAnsi="Times New Roman"/>
          <w:sz w:val="20"/>
        </w:rP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jc w:val="left"/>
      </w:pPr>
      <w:r>
        <w:rPr>
          <w:rFonts w:ascii="Times New Roman" w:hAnsi="Times New Roman"/>
          <w:b/>
          <w:i/>
          <w:sz w:val="18"/>
        </w:rPr>
        <w:t xml:space="preserve">Table 8. </w:t>
      </w:r>
      <w:r>
        <w:rPr>
          <w:rFonts w:ascii="Times New Roman" w:hAnsi="Times New Roman"/>
          <w:i/>
          <w:sz w:val="18"/>
        </w:rPr>
        <w:t>Confidence calibration of PhoBERT-v2 after Temperature Scaling.</w:t>
      </w:r>
    </w:p>
    <w:tbl>
      <w:tblPr>
        <w:tblW w:type="dxa" w:w="6600"/>
        <w:jc w:val="center"/>
        <w:tblLayout w:type="fixed"/>
        <w:tblLook w:firstColumn="1" w:firstRow="1" w:lastColumn="0" w:lastRow="0" w:noHBand="0" w:noVBand="1" w:val="04A0"/>
      </w:tblPr>
      <w:tblGrid>
        <w:gridCol w:w="1280"/>
        <w:gridCol w:w="492"/>
        <w:gridCol w:w="837"/>
        <w:gridCol w:w="837"/>
        <w:gridCol w:w="837"/>
        <w:gridCol w:w="837"/>
        <w:gridCol w:w="837"/>
        <w:gridCol w:w="643"/>
      </w:tblGrid>
      <w:tr>
        <w:trPr>
          <w:tblHeader w:val="true"/>
        </w:trPr>
        <w:tc>
          <w:tcPr>
            <w:tcW w:type="dxa" w:w="12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49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before</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after</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Raw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Cal.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Accuracy</w:t>
            </w:r>
          </w:p>
        </w:tc>
        <w:tc>
          <w:tcPr>
            <w:tcW w:type="dxa" w:w="64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change</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1.82</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0.123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0.054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94.5%</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87.4%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82.3%</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-56%</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0.198</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0.093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76.3%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67.7%</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r>
      <w:tr>
        <w:tc>
          <w:tcPr>
            <w:tcW w:type="dxa" w:w="12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49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1.35</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0.144</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0.081</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88.9%</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83.0%</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75.8%</w:t>
            </w:r>
          </w:p>
        </w:tc>
        <w:tc>
          <w:tcPr>
            <w:tcW w:type="dxa" w:w="64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spacing w:before="20" w:after="60" w:line="240" w:lineRule="auto"/>
        <w:jc w:val="center"/>
      </w:pPr>
      <w:r>
        <w:rPr>
          <w:rFonts w:ascii="Times New Roman" w:hAnsi="Times New Roman"/>
          <w:b/>
          <w:sz w:val="18"/>
        </w:rPr>
        <w:t xml:space="preserve">Fig. 3. </w:t>
      </w:r>
      <w:r>
        <w:rPr>
          <w:rFonts w:ascii="Times New Roman" w:hAnsi="Times New Roman"/>
          <w:sz w:val="18"/>
        </w:rPr>
        <w:t>PhoBERT-v2 reliability diagrams before and after Temperature Scaling across the three tasks.</w:t>
      </w:r>
    </w:p>
    <w:p>
      <w:pPr>
        <w:pStyle w:val="p1a"/>
        <w:spacing w:before="0" w:after="20" w:line="240" w:lineRule="auto"/>
        <w:ind w:firstLine="0"/>
        <w:jc w:val="both"/>
      </w:pPr>
      <w:r>
        <w:rPr>
          <w:rFonts w:ascii="Times New Roman" w:hAnsi="Times New Roman"/>
          <w:sz w:val="20"/>
        </w:rP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spacing w:before="0" w:after="20" w:line="240" w:lineRule="auto"/>
        <w:ind w:firstLine="198"/>
        <w:jc w:val="both"/>
      </w:pPr>
      <w:r>
        <w:rPr>
          <w:rFonts w:ascii="Times New Roman" w:hAnsi="Times New Roman"/>
          <w:sz w:val="20"/>
        </w:rP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jc w:val="left"/>
      </w:pPr>
      <w:r>
        <w:rPr>
          <w:rFonts w:ascii="Times New Roman" w:hAnsi="Times New Roman"/>
          <w:b/>
          <w:i/>
          <w:sz w:val="18"/>
        </w:rPr>
        <w:t xml:space="preserve">Table 9. </w:t>
      </w:r>
      <w:r>
        <w:rPr>
          <w:rFonts w:ascii="Times New Roman" w:hAnsi="Times New Roman"/>
          <w:i/>
          <w:sz w:val="18"/>
        </w:rPr>
        <w:t>Reliability of LLM-assisted annotation against expert review.</w:t>
      </w:r>
    </w:p>
    <w:tbl>
      <w:tblPr>
        <w:tblW w:type="dxa" w:w="6600"/>
        <w:jc w:val="center"/>
        <w:tblLayout w:type="fixed"/>
        <w:tblLook w:firstColumn="1" w:firstRow="1" w:lastColumn="0" w:lastRow="0" w:noHBand="0" w:noVBand="1" w:val="04A0"/>
      </w:tblPr>
      <w:tblGrid>
        <w:gridCol w:w="2300"/>
        <w:gridCol w:w="1500"/>
        <w:gridCol w:w="2800"/>
      </w:tblGrid>
      <w:tr>
        <w:trPr>
          <w:tblHeader w:val="true"/>
        </w:trPr>
        <w:tc>
          <w:tcPr>
            <w:tcW w:type="dxa" w:w="23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3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spacing w:before="0" w:after="20" w:line="240" w:lineRule="auto"/>
        <w:ind w:firstLine="0"/>
        <w:jc w:val="both"/>
      </w:pPr>
      <w:r>
        <w:rPr>
          <w:rFonts w:ascii="Times New Roman" w:hAnsi="Times New Roman"/>
          <w:sz w:val="20"/>
        </w:rP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spacing w:before="0" w:after="20" w:line="240" w:lineRule="auto"/>
        <w:ind w:firstLine="198"/>
        <w:jc w:val="both"/>
      </w:pPr>
      <w:r>
        <w:rPr>
          <w:rFonts w:ascii="Times New Roman" w:hAnsi="Times New Roman"/>
          <w:sz w:val="20"/>
        </w:rP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jc w:val="left"/>
      </w:pPr>
      <w:r>
        <w:rPr>
          <w:rFonts w:ascii="Times New Roman" w:hAnsi="Times New Roman"/>
          <w:b/>
          <w:i/>
          <w:sz w:val="18"/>
        </w:rPr>
        <w:t xml:space="preserve">Table 10. </w:t>
      </w:r>
      <w:r>
        <w:rPr>
          <w:rFonts w:ascii="Times New Roman" w:hAnsi="Times New Roman"/>
          <w:i/>
          <w:sz w:val="18"/>
        </w:rPr>
        <w:t>Cross-tabulation of sentiment and stance in the Gold Test Set.</w:t>
      </w:r>
    </w:p>
    <w:tbl>
      <w:tblPr>
        <w:tblW w:type="dxa" w:w="6600"/>
        <w:jc w:val="center"/>
        <w:tblLayout w:type="fixed"/>
        <w:tblLook w:firstColumn="1" w:firstRow="1" w:lastColumn="0" w:lastRow="0" w:noHBand="0" w:noVBand="1" w:val="04A0"/>
      </w:tblPr>
      <w:tblGrid>
        <w:gridCol w:w="1854"/>
        <w:gridCol w:w="1254"/>
        <w:gridCol w:w="1254"/>
        <w:gridCol w:w="1254"/>
        <w:gridCol w:w="984"/>
      </w:tblGrid>
      <w:tr>
        <w:trPr>
          <w:tblHeader w:val="true"/>
        </w:trPr>
        <w:tc>
          <w:tcPr>
            <w:tcW w:type="dxa" w:w="18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98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8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8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spacing w:before="0" w:after="20" w:line="240" w:lineRule="auto"/>
        <w:ind w:firstLine="0"/>
        <w:jc w:val="both"/>
      </w:pPr>
      <w:r>
        <w:rPr>
          <w:rFonts w:ascii="Times New Roman" w:hAnsi="Times New Roman"/>
          <w:sz w:val="20"/>
        </w:rP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jc w:val="left"/>
      </w:pPr>
      <w:r>
        <w:rPr>
          <w:rFonts w:ascii="Times New Roman" w:hAnsi="Times New Roman"/>
          <w:b/>
          <w:i/>
          <w:sz w:val="18"/>
        </w:rPr>
        <w:t xml:space="preserve">Table 11. </w:t>
      </w:r>
      <w:r>
        <w:rPr>
          <w:rFonts w:ascii="Times New Roman" w:hAnsi="Times New Roman"/>
          <w:i/>
          <w:sz w:val="18"/>
        </w:rPr>
        <w:t>Cross-tabulation of platform and misinformation in the Gold Test Set.</w:t>
      </w:r>
    </w:p>
    <w:tbl>
      <w:tblPr>
        <w:tblW w:type="dxa" w:w="6600"/>
        <w:jc w:val="center"/>
        <w:tblLayout w:type="fixed"/>
        <w:tblLook w:firstColumn="1" w:firstRow="1" w:lastColumn="0" w:lastRow="0" w:noHBand="0" w:noVBand="1" w:val="04A0"/>
      </w:tblPr>
      <w:tblGrid>
        <w:gridCol w:w="2700"/>
        <w:gridCol w:w="900"/>
        <w:gridCol w:w="900"/>
        <w:gridCol w:w="850"/>
        <w:gridCol w:w="1250"/>
      </w:tblGrid>
      <w:tr>
        <w:trPr>
          <w:tblHeader w:val="true"/>
        </w:trPr>
        <w:tc>
          <w:tcPr>
            <w:tcW w:type="dxa" w:w="27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spacing w:before="0" w:after="20" w:line="240" w:lineRule="auto"/>
        <w:ind w:firstLine="0"/>
        <w:jc w:val="both"/>
      </w:pPr>
      <w:r>
        <w:rPr>
          <w:rFonts w:ascii="Times New Roman" w:hAnsi="Times New Roman"/>
          <w:sz w:val="20"/>
        </w:rP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jc w:val="left"/>
      </w:pPr>
      <w:r>
        <w:rPr>
          <w:rFonts w:ascii="Times New Roman" w:hAnsi="Times New Roman"/>
          <w:b/>
          <w:i/>
          <w:sz w:val="18"/>
        </w:rPr>
        <w:t xml:space="preserve">Table 12. </w:t>
      </w:r>
      <w:r>
        <w:rPr>
          <w:rFonts w:ascii="Times New Roman" w:hAnsi="Times New Roman"/>
          <w:i/>
          <w:sz w:val="18"/>
        </w:rPr>
        <w:t>Cross-tabulation of stance and misinformation in the Gold Test Set.</w:t>
      </w:r>
    </w:p>
    <w:tbl>
      <w:tblPr>
        <w:tblW w:type="dxa" w:w="6600"/>
        <w:jc w:val="center"/>
        <w:tblLayout w:type="fixed"/>
        <w:tblLook w:firstColumn="1" w:firstRow="1" w:lastColumn="0" w:lastRow="0" w:noHBand="0" w:noVBand="1" w:val="04A0"/>
      </w:tblPr>
      <w:tblGrid>
        <w:gridCol w:w="2400"/>
        <w:gridCol w:w="950"/>
        <w:gridCol w:w="950"/>
        <w:gridCol w:w="900"/>
        <w:gridCol w:w="1400"/>
      </w:tblGrid>
      <w:tr>
        <w:trPr>
          <w:tblHeader w:val="true"/>
        </w:trPr>
        <w:tc>
          <w:tcPr>
            <w:tcW w:type="dxa" w:w="2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spacing w:before="0" w:after="20" w:line="240" w:lineRule="auto"/>
        <w:ind w:firstLine="0"/>
        <w:jc w:val="both"/>
      </w:pPr>
      <w:r>
        <w:rPr>
          <w:rFonts w:ascii="Times New Roman" w:hAnsi="Times New Roman"/>
          <w:sz w:val="20"/>
        </w:rP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jc w:val="left"/>
      </w:pPr>
      <w:r>
        <w:rPr>
          <w:rFonts w:ascii="Times New Roman" w:hAnsi="Times New Roman"/>
          <w:b/>
          <w:i/>
          <w:sz w:val="18"/>
        </w:rPr>
        <w:t xml:space="preserve">Table 13. </w:t>
      </w:r>
      <w:r>
        <w:rPr>
          <w:rFonts w:ascii="Times New Roman" w:hAnsi="Times New Roman"/>
          <w:i/>
          <w:sz w:val="18"/>
        </w:rPr>
        <w:t>Statistical tests for public-health risk associations.</w:t>
      </w:r>
    </w:p>
    <w:tbl>
      <w:tblPr>
        <w:tblW w:type="dxa" w:w="6600"/>
        <w:jc w:val="center"/>
        <w:tblLayout w:type="fixed"/>
        <w:tblLook w:firstColumn="1" w:firstRow="1" w:lastColumn="0" w:lastRow="0" w:noHBand="0" w:noVBand="1" w:val="04A0"/>
      </w:tblPr>
      <w:tblGrid>
        <w:gridCol w:w="500"/>
        <w:gridCol w:w="1800"/>
        <w:gridCol w:w="1600"/>
        <w:gridCol w:w="850"/>
        <w:gridCol w:w="900"/>
        <w:gridCol w:w="950"/>
      </w:tblGrid>
      <w:tr>
        <w:trPr>
          <w:tblHeader w:val="true"/>
        </w:trPr>
        <w:tc>
          <w:tcPr>
            <w:tcW w:type="dxa" w:w="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spacing w:before="0" w:after="20" w:line="240" w:lineRule="auto"/>
        <w:ind w:firstLine="0"/>
        <w:jc w:val="both"/>
      </w:pPr>
      <w:r>
        <w:rPr>
          <w:rFonts w:ascii="Times New Roman" w:hAnsi="Times New Roman"/>
          <w:sz w:val="20"/>
        </w:rP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spacing w:line="240" w:lineRule="auto"/>
      </w:pPr>
      <w:r>
        <w:t>Discussion</w:t>
      </w:r>
    </w:p>
    <w:p>
      <w:pPr>
        <w:pStyle w:val="p1a"/>
        <w:spacing w:before="0" w:after="20" w:line="240" w:lineRule="auto"/>
        <w:ind w:firstLine="0"/>
        <w:jc w:val="both"/>
      </w:pPr>
      <w:r>
        <w:rPr>
          <w:rFonts w:ascii="Times New Roman" w:hAnsi="Times New Roman"/>
          <w:sz w:val="20"/>
        </w:rP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spacing w:before="0" w:after="20" w:line="240" w:lineRule="auto"/>
        <w:ind w:firstLine="198"/>
        <w:jc w:val="both"/>
      </w:pPr>
      <w:r>
        <w:rPr>
          <w:rFonts w:ascii="Times New Roman" w:hAnsi="Times New Roman"/>
          <w:sz w:val="20"/>
        </w:rP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spacing w:before="0" w:after="20" w:line="240" w:lineRule="auto"/>
        <w:ind w:firstLine="198"/>
        <w:jc w:val="both"/>
      </w:pPr>
      <w:r>
        <w:rPr>
          <w:rFonts w:ascii="Times New Roman" w:hAnsi="Times New Roman"/>
          <w:sz w:val="20"/>
        </w:rP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spacing w:before="0" w:after="20" w:line="240" w:lineRule="auto"/>
        <w:ind w:firstLine="198"/>
        <w:jc w:val="both"/>
      </w:pPr>
      <w:r>
        <w:rPr>
          <w:rFonts w:ascii="Times New Roman" w:hAnsi="Times New Roman"/>
          <w:sz w:val="20"/>
        </w:rP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spacing w:before="20" w:after="60" w:line="240" w:lineRule="auto"/>
        <w:jc w:val="center"/>
      </w:pPr>
      <w:r>
        <w:rPr>
          <w:rFonts w:ascii="Times New Roman" w:hAnsi="Times New Roman"/>
          <w:b/>
          <w:sz w:val="18"/>
        </w:rPr>
        <w:t xml:space="preserve">Fig. 4. </w:t>
      </w:r>
      <w:r>
        <w:rPr>
          <w:rFonts w:ascii="Times New Roman" w:hAnsi="Times New Roman"/>
          <w:sz w:val="18"/>
        </w:rPr>
        <w:t>VaccineNLP prototype interface for conversation-flow screening and evidence-oriented review.</w:t>
      </w:r>
    </w:p>
    <w:p>
      <w:pPr>
        <w:pStyle w:val="p1a"/>
        <w:spacing w:before="0" w:after="20" w:line="240" w:lineRule="auto"/>
        <w:ind w:firstLine="0"/>
        <w:jc w:val="both"/>
      </w:pPr>
      <w:r>
        <w:rPr>
          <w:rFonts w:ascii="Times New Roman" w:hAnsi="Times New Roman"/>
          <w:sz w:val="20"/>
        </w:rP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spacing w:before="0" w:after="20" w:line="240" w:lineRule="auto"/>
        <w:ind w:firstLine="198"/>
        <w:jc w:val="both"/>
      </w:pPr>
      <w:r>
        <w:rPr>
          <w:rFonts w:ascii="Times New Roman" w:hAnsi="Times New Roman"/>
          <w:sz w:val="20"/>
        </w:rP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spacing w:before="0" w:after="20" w:line="240" w:lineRule="auto"/>
        <w:ind w:firstLine="198"/>
        <w:jc w:val="both"/>
      </w:pPr>
      <w:r>
        <w:rPr>
          <w:rFonts w:ascii="Times New Roman" w:hAnsi="Times New Roman"/>
          <w:sz w:val="20"/>
        </w:rP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spacing w:before="0" w:after="20" w:line="240" w:lineRule="auto"/>
        <w:ind w:firstLine="198"/>
        <w:jc w:val="both"/>
      </w:pPr>
      <w:r>
        <w:rPr>
          <w:rFonts w:ascii="Times New Roman" w:hAnsi="Times New Roman"/>
          <w:sz w:val="20"/>
        </w:rP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jc w:val="left"/>
      </w:pPr>
      <w:r>
        <w:rPr>
          <w:rFonts w:ascii="Times New Roman" w:hAnsi="Times New Roman"/>
          <w:b/>
          <w:i/>
          <w:sz w:val="18"/>
        </w:rPr>
        <w:t xml:space="preserve">Table 14. </w:t>
      </w:r>
      <w:r>
        <w:rPr>
          <w:rFonts w:ascii="Times New Roman" w:hAnsi="Times New Roman"/>
          <w:i/>
          <w:sz w:val="18"/>
        </w:rPr>
        <w:t>Deployment-oriented technical profile of VaccineNLP.</w:t>
      </w:r>
    </w:p>
    <w:tbl>
      <w:tblPr>
        <w:tblW w:type="dxa" w:w="6600"/>
        <w:jc w:val="center"/>
        <w:tblLayout w:type="fixed"/>
        <w:tblLook w:firstColumn="1" w:firstRow="1" w:lastColumn="0" w:lastRow="0" w:noHBand="0" w:noVBand="1" w:val="04A0"/>
      </w:tblPr>
      <w:tblGrid>
        <w:gridCol w:w="1500"/>
        <w:gridCol w:w="2650"/>
        <w:gridCol w:w="2450"/>
      </w:tblGrid>
      <w:tr>
        <w:trPr>
          <w:tblHeader w:val="true"/>
        </w:trPr>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spacing w:before="0" w:after="20" w:line="240" w:lineRule="auto"/>
        <w:ind w:firstLine="0"/>
        <w:jc w:val="both"/>
      </w:pPr>
      <w:r>
        <w:rPr>
          <w:rFonts w:ascii="Times New Roman" w:hAnsi="Times New Roman"/>
          <w:sz w:val="20"/>
        </w:rP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spacing w:before="0" w:after="20" w:line="240" w:lineRule="auto"/>
        <w:ind w:firstLine="198"/>
        <w:jc w:val="both"/>
      </w:pPr>
      <w:r>
        <w:rPr>
          <w:rFonts w:ascii="Times New Roman" w:hAnsi="Times New Roman"/>
          <w:sz w:val="20"/>
        </w:rP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spacing w:before="0" w:after="20" w:line="240" w:lineRule="auto"/>
        <w:ind w:firstLine="198"/>
        <w:jc w:val="both"/>
      </w:pPr>
      <w:r>
        <w:rPr>
          <w:rFonts w:ascii="Times New Roman" w:hAnsi="Times New Roman"/>
          <w:sz w:val="20"/>
        </w:rP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spacing w:before="0" w:after="20" w:line="240" w:lineRule="auto"/>
        <w:ind w:firstLine="198"/>
        <w:jc w:val="both"/>
      </w:pPr>
      <w:r>
        <w:rPr>
          <w:rFonts w:ascii="Times New Roman" w:hAnsi="Times New Roman"/>
          <w:sz w:val="20"/>
        </w:rP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spacing w:line="240" w:lineRule="auto"/>
      </w:pPr>
      <w:r>
        <w:t>Limitations and Future Work</w:t>
      </w:r>
    </w:p>
    <w:p>
      <w:pPr>
        <w:pStyle w:val="p1a"/>
        <w:spacing w:before="0" w:after="20" w:line="240" w:lineRule="auto"/>
        <w:ind w:firstLine="0"/>
        <w:jc w:val="both"/>
      </w:pPr>
      <w:r>
        <w:rPr>
          <w:rFonts w:ascii="Times New Roman" w:hAnsi="Times New Roman"/>
          <w:sz w:val="20"/>
        </w:rP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spacing w:before="0" w:after="20" w:line="240" w:lineRule="auto"/>
        <w:ind w:firstLine="198"/>
        <w:jc w:val="both"/>
      </w:pPr>
      <w:r>
        <w:rPr>
          <w:rFonts w:ascii="Times New Roman" w:hAnsi="Times New Roman"/>
          <w:sz w:val="20"/>
        </w:rP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spacing w:before="0" w:after="20" w:line="240" w:lineRule="auto"/>
        <w:ind w:firstLine="198"/>
        <w:jc w:val="both"/>
      </w:pPr>
      <w:r>
        <w:rPr>
          <w:rFonts w:ascii="Times New Roman" w:hAnsi="Times New Roman"/>
          <w:sz w:val="20"/>
        </w:rP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spacing w:before="0" w:after="20" w:line="240" w:lineRule="auto"/>
        <w:ind w:firstLine="198"/>
        <w:jc w:val="both"/>
      </w:pPr>
      <w:r>
        <w:rPr>
          <w:rFonts w:ascii="Times New Roman" w:hAnsi="Times New Roman"/>
          <w:sz w:val="20"/>
        </w:rP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spacing w:before="0" w:after="20" w:line="240" w:lineRule="auto"/>
        <w:ind w:firstLine="198"/>
        <w:jc w:val="both"/>
      </w:pPr>
      <w:r>
        <w:rPr>
          <w:rFonts w:ascii="Times New Roman" w:hAnsi="Times New Roman"/>
          <w:sz w:val="20"/>
        </w:rP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spacing w:line="240" w:lineRule="auto"/>
      </w:pPr>
      <w:r>
        <w:t>Conclusion</w:t>
      </w:r>
    </w:p>
    <w:p>
      <w:pPr>
        <w:pStyle w:val="p1a"/>
        <w:spacing w:before="0" w:after="20" w:line="240" w:lineRule="auto"/>
        <w:ind w:firstLine="0"/>
        <w:jc w:val="both"/>
      </w:pPr>
      <w:r>
        <w:rPr>
          <w:rFonts w:ascii="Times New Roman" w:hAnsi="Times New Roman"/>
          <w:sz w:val="20"/>
        </w:rP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spacing w:before="0" w:after="20" w:line="240" w:lineRule="auto"/>
        <w:ind w:firstLine="198"/>
        <w:jc w:val="both"/>
      </w:pPr>
      <w:r>
        <w:rPr>
          <w:rFonts w:ascii="Times New Roman" w:hAnsi="Times New Roman"/>
          <w:sz w:val="20"/>
        </w:rP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spacing w:line="240" w:lineRule="auto"/>
      </w:pPr>
      <w:r>
        <w:t>Acknowledgements</w:t>
      </w:r>
    </w:p>
    <w:p>
      <w:pPr>
        <w:pStyle w:val="p1a"/>
        <w:spacing w:before="0" w:after="20" w:line="240" w:lineRule="auto"/>
        <w:ind w:firstLine="0"/>
        <w:jc w:val="both"/>
      </w:pPr>
      <w:r>
        <w:rPr>
          <w:rFonts w:ascii="Times New Roman" w:hAnsi="Times New Roman"/>
          <w:sz w:val="20"/>
        </w:rPr>
        <w:t>The authors thank Hanoi University of Public Health and the project supervisors for their guidance. This paper was prepared from the VaccineNLP graduation thesis, full report, and project materials.</w:t>
      </w:r>
    </w:p>
    <w:p>
      <w:pPr>
        <w:pStyle w:val="heading1"/>
        <w:spacing w:line="240" w:lineRule="auto"/>
      </w:pPr>
      <w:r>
        <w:t>References</w:t>
      </w:r>
    </w:p>
    <w:p>
      <w:pPr>
        <w:pStyle w:val="referenceitem"/>
        <w:spacing w:after="40"/>
        <w:ind w:hanging="317" w:left="317"/>
      </w:pPr>
      <w:r>
        <w:rPr>
          <w:rFonts w:ascii="Times New Roman" w:hAnsi="Times New Roman"/>
          <w:sz w:val="17"/>
        </w:rPr>
        <w:t>[1] World Health Organization. Managing the COVID-19 infodemic: promoting healthy behaviours and mitigating the harm from misinformation and disinformation. WHO (2020).</w:t>
      </w:r>
    </w:p>
    <w:p>
      <w:pPr>
        <w:pStyle w:val="referenceitem"/>
        <w:spacing w:after="40"/>
        <w:ind w:hanging="317" w:left="317"/>
      </w:pPr>
      <w:r>
        <w:rPr>
          <w:rFonts w:ascii="Times New Roman" w:hAnsi="Times New Roman"/>
          <w:sz w:val="17"/>
        </w:rPr>
        <w:t>[2] Duong, M.C., Nguyen, H.T., Duong, M.: Evaluating COVID-19 vaccine hesitancy: a qualitative study from Vietnam. Diabetes Metab. Syndr. 16(1), 102363 (2022). https://doi.org/10.1016/j.dsx.2021.102363</w:t>
      </w:r>
    </w:p>
    <w:p>
      <w:pPr>
        <w:pStyle w:val="referenceitem"/>
        <w:spacing w:after="40"/>
        <w:ind w:hanging="317" w:left="317"/>
      </w:pPr>
      <w:r>
        <w:rPr>
          <w:rFonts w:ascii="Times New Roman" w:hAnsi="Times New Roman"/>
          <w:sz w:val="17"/>
        </w:rP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rPr>
          <w:rFonts w:ascii="Times New Roman" w:hAnsi="Times New Roman"/>
          <w:sz w:val="17"/>
        </w:rP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rPr>
          <w:rFonts w:ascii="Times New Roman" w:hAnsi="Times New Roman"/>
          <w:sz w:val="17"/>
        </w:rP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rPr>
          <w:rFonts w:ascii="Times New Roman" w:hAnsi="Times New Roman"/>
          <w:sz w:val="17"/>
        </w:rPr>
        <w:t>[6] Roozenbeek, J., Schneider, C.R., Dryhurst, S., et al.: Susceptibility to misinformation about COVID-19 around the world. R. Soc. Open Sci. 7(10), 201199 (2020). https://doi.org/10.1098/rsos.201199</w:t>
      </w:r>
    </w:p>
    <w:p>
      <w:pPr>
        <w:pStyle w:val="referenceitem"/>
        <w:spacing w:after="40"/>
        <w:ind w:hanging="317" w:left="317"/>
      </w:pPr>
      <w:r>
        <w:rPr>
          <w:rFonts w:ascii="Times New Roman" w:hAnsi="Times New Roman"/>
          <w:sz w:val="17"/>
        </w:rPr>
        <w:t>[7] Eysenbach, G.: Infodemiology: the epidemiology of (mis)information. Am. J. Med. 113(9), 763--765 (2002). https://doi.org/10.1016/S0002-9343(02)01473-0</w:t>
      </w:r>
    </w:p>
    <w:p>
      <w:pPr>
        <w:pStyle w:val="referenceitem"/>
        <w:spacing w:after="40"/>
        <w:ind w:hanging="317" w:left="317"/>
      </w:pPr>
      <w:r>
        <w:rPr>
          <w:rFonts w:ascii="Times New Roman" w:hAnsi="Times New Roman"/>
          <w:sz w:val="17"/>
        </w:rPr>
        <w:t>[8] Nguyen, D.Q., Nguyen, A.T.: PhoBERT: Pre-trained language models for Vietnamese. In: Findings of EMNLP, pp. 1037--1042 (2020). https://doi.org/10.18653/v1/2020.findings-emnlp.92</w:t>
      </w:r>
    </w:p>
    <w:p>
      <w:pPr>
        <w:pStyle w:val="referenceitem"/>
        <w:spacing w:after="40"/>
        <w:ind w:hanging="317" w:left="317"/>
      </w:pPr>
      <w:r>
        <w:rPr>
          <w:rFonts w:ascii="Times New Roman" w:hAnsi="Times New Roman"/>
          <w:sz w:val="17"/>
        </w:rPr>
        <w:t>[9] Conneau, A., Khandelwal, K., Goyal, N., et al.: Unsupervised cross-lingual representation learning at scale. In: ACL, pp. 8440--8451 (2020). https://doi.org/10.18653/v1/2020.acl-main.747</w:t>
      </w:r>
    </w:p>
    <w:p>
      <w:pPr>
        <w:pStyle w:val="referenceitem"/>
        <w:spacing w:after="40"/>
        <w:ind w:hanging="317" w:left="317"/>
      </w:pPr>
      <w:r>
        <w:rPr>
          <w:rFonts w:ascii="Times New Roman" w:hAnsi="Times New Roman"/>
          <w:sz w:val="17"/>
        </w:rPr>
        <w:t>[10] Devlin, J., Chang, M.W., Lee, K., Toutanova, K.: BERT: pre-training of deep bidirectional transformers for language understanding. In: NAACL-HLT, pp. 4171--4186 (2019). https://doi.org/10.18653/v1/N19-1423</w:t>
      </w:r>
    </w:p>
    <w:p>
      <w:pPr>
        <w:pStyle w:val="referenceitem"/>
        <w:spacing w:after="40"/>
        <w:ind w:hanging="317" w:left="317"/>
      </w:pPr>
      <w:r>
        <w:rPr>
          <w:rFonts w:ascii="Times New Roman" w:hAnsi="Times New Roman"/>
          <w:sz w:val="17"/>
        </w:rPr>
        <w:t>[11] Vaswani, A., Shazeer, N., Parmar, N., et al.: Attention is all you need. In: NeurIPS, pp. 5998--6008 (2017).</w:t>
      </w:r>
    </w:p>
    <w:p>
      <w:pPr>
        <w:pStyle w:val="referenceitem"/>
        <w:spacing w:after="40"/>
        <w:ind w:hanging="317" w:left="317"/>
      </w:pPr>
      <w:r>
        <w:rPr>
          <w:rFonts w:ascii="Times New Roman" w:hAnsi="Times New Roman"/>
          <w:sz w:val="17"/>
        </w:rPr>
        <w:t>[12] Pang, B., Lee, L.: Opinion mining and sentiment analysis. Found. Trends Inf. Retr. 2(1--2), 1--135 (2008). https://doi.org/10.1561/1500000011</w:t>
      </w:r>
    </w:p>
    <w:p>
      <w:pPr>
        <w:pStyle w:val="referenceitem"/>
        <w:spacing w:after="40"/>
        <w:ind w:hanging="317" w:left="317"/>
      </w:pPr>
      <w:r>
        <w:rPr>
          <w:rFonts w:ascii="Times New Roman" w:hAnsi="Times New Roman"/>
          <w:sz w:val="17"/>
        </w:rPr>
        <w:t>[13] Gilardi, F., Alizadeh, M., Kubli, M.: ChatGPT outperforms crowd workers for text-annotation tasks. Proc. Natl. Acad. Sci. 120(30), e2305016120 (2023). https://doi.org/10.1073/pnas.2305016120</w:t>
      </w:r>
    </w:p>
    <w:p>
      <w:pPr>
        <w:pStyle w:val="referenceitem"/>
        <w:spacing w:after="40"/>
        <w:ind w:hanging="317" w:left="317"/>
      </w:pPr>
      <w:r>
        <w:rPr>
          <w:rFonts w:ascii="Times New Roman" w:hAnsi="Times New Roman"/>
          <w:sz w:val="17"/>
        </w:rPr>
        <w:t>[14] Singhal, K., Azizi, S., Tu, T., et al.: Large language models encode clinical knowledge. Nature 620, 172--180 (2023). https://doi.org/10.1038/s41586-023-06291-2</w:t>
      </w:r>
    </w:p>
    <w:p>
      <w:pPr>
        <w:pStyle w:val="referenceitem"/>
        <w:spacing w:after="40"/>
        <w:ind w:hanging="317" w:left="317"/>
      </w:pPr>
      <w:r>
        <w:rPr>
          <w:rFonts w:ascii="Times New Roman" w:hAnsi="Times New Roman"/>
          <w:sz w:val="17"/>
        </w:rPr>
        <w:t>[15] Dettmers, T., Pagnoni, A., Holtzman, A., Zettlemoyer, L.: QLoRA: efficient finetuning of quantized LLMs. In: NeurIPS (2023).</w:t>
      </w:r>
    </w:p>
    <w:p>
      <w:pPr>
        <w:pStyle w:val="referenceitem"/>
        <w:spacing w:after="40"/>
        <w:ind w:hanging="317" w:left="317"/>
      </w:pPr>
      <w:r>
        <w:rPr>
          <w:rFonts w:ascii="Times New Roman" w:hAnsi="Times New Roman"/>
          <w:sz w:val="17"/>
        </w:rPr>
        <w:t>[16] Guo, C., Pleiss, G., Sun, Y., Weinberger, K.Q.: On calibration of modern neural networks. In: ICML, pp. 1321--1330 (2017).</w:t>
      </w:r>
    </w:p>
    <w:p>
      <w:pPr>
        <w:pStyle w:val="referenceitem"/>
        <w:spacing w:after="40"/>
        <w:ind w:hanging="317" w:left="317"/>
      </w:pPr>
      <w:r>
        <w:rPr>
          <w:rFonts w:ascii="Times New Roman" w:hAnsi="Times New Roman"/>
          <w:sz w:val="17"/>
        </w:rPr>
        <w:t>[17] Desai, S., Durrett, G.: Calibration of pre-trained transformers. In: EMNLP, pp. 295--302 (2020). https://doi.org/10.18653/v1/2020.emnlp-main.21</w:t>
      </w:r>
    </w:p>
    <w:p>
      <w:pPr>
        <w:pStyle w:val="referenceitem"/>
        <w:spacing w:after="40"/>
        <w:ind w:hanging="317" w:left="317"/>
      </w:pPr>
      <w:r>
        <w:rPr>
          <w:rFonts w:ascii="Times New Roman" w:hAnsi="Times New Roman"/>
          <w:sz w:val="17"/>
        </w:rPr>
        <w:t>[18] Landis, J.R., Koch, G.G.: The measurement of observer agreement for categorical data. Biometrics 33(1), 159--174 (1977). https://doi.org/10.2307/2529310</w:t>
      </w:r>
    </w:p>
    <w:p>
      <w:pPr>
        <w:pStyle w:val="referenceitem"/>
        <w:spacing w:after="40"/>
        <w:ind w:hanging="317" w:left="317"/>
      </w:pPr>
      <w:r>
        <w:rPr>
          <w:rFonts w:ascii="Times New Roman" w:hAnsi="Times New Roman"/>
          <w:sz w:val="17"/>
        </w:rPr>
        <w:t>[19] Vraga, E.K., Bode, L.: Defining misinformation and understanding its bounded nature. Political Communication 37(1), 136--144 (2020). https://doi.org/10.1080/10584609.2020.1716500</w:t>
      </w:r>
    </w:p>
    <w:p>
      <w:pPr>
        <w:pStyle w:val="referenceitem"/>
        <w:spacing w:after="40"/>
        <w:ind w:hanging="317" w:left="317"/>
      </w:pPr>
      <w:r>
        <w:rPr>
          <w:rFonts w:ascii="Times New Roman" w:hAnsi="Times New Roman"/>
          <w:sz w:val="17"/>
        </w:rPr>
        <w:t>[20] Vosoughi, S., Roy, D., Aral, S.: The spread of true and false news online. Science 359(6380), 1146--1151 (2018). https://doi.org/10.1126/science.aap9559</w:t>
      </w:r>
    </w:p>
    <w:p>
      <w:pPr>
        <w:pStyle w:val="referenceitem"/>
        <w:spacing w:after="40"/>
        <w:ind w:hanging="317" w:left="317"/>
      </w:pPr>
      <w:r>
        <w:rPr>
          <w:rFonts w:ascii="Times New Roman" w:hAnsi="Times New Roman"/>
          <w:sz w:val="17"/>
        </w:rPr>
        <w:t>[21] Sundararajan, M., Taly, A., Yan, Q.: Axiomatic attribution for deep networks. In: ICML, pp. 3319--3328 (2017).</w:t>
      </w:r>
    </w:p>
    <w:p>
      <w:pPr>
        <w:pStyle w:val="referenceitem"/>
        <w:spacing w:after="40"/>
        <w:ind w:hanging="317" w:left="317"/>
      </w:pPr>
      <w:r>
        <w:rPr>
          <w:rFonts w:ascii="Times New Roman" w:hAnsi="Times New Roman"/>
          <w:sz w:val="17"/>
        </w:rP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rPr>
          <w:rFonts w:ascii="Times New Roman" w:hAnsi="Times New Roman"/>
          <w:sz w:val="17"/>
        </w:rPr>
        <w:t>[23] Lewis, P., Perez, E., Piktus, A., et al.: Retrieval-augmented generation for knowledge-intensive NLP tasks. In: NeurIPS, pp. 9459--9474 (2020).</w:t>
      </w:r>
    </w:p>
    <w:p>
      <w:pPr>
        <w:pStyle w:val="referenceitem"/>
        <w:spacing w:after="40"/>
        <w:ind w:hanging="317" w:left="317"/>
      </w:pPr>
      <w:r>
        <w:rPr>
          <w:rFonts w:ascii="Times New Roman" w:hAnsi="Times New Roman"/>
          <w:sz w:val="17"/>
        </w:rPr>
        <w:t>[24] He, H., Garcia, E.A.: Learning from imbalanced data. IEEE Trans. Knowl. Data Eng. 21(9), 1263--1284 (2009). https://doi.org/10.1109/TKDE.2008.239</w:t>
      </w:r>
    </w:p>
    <w:p>
      <w:pPr>
        <w:pStyle w:val="referenceitem"/>
        <w:spacing w:after="40"/>
        <w:ind w:hanging="317" w:left="317"/>
      </w:pPr>
      <w:r>
        <w:rPr>
          <w:rFonts w:ascii="Times New Roman" w:hAnsi="Times New Roman"/>
          <w:sz w:val="17"/>
        </w:rPr>
        <w:t>[25] Mu, Y., Jin, M., Grimshaw, C., Scarton, C., Bontcheva, K., Song, X.: VaxxHesitancy: a dataset for studying hesitancy towards COVID-19 vaccination on Twitter. arXiv:2301.06660 (2023).</w:t>
      </w:r>
    </w:p>
    <w:p>
      <w:pPr>
        <w:pStyle w:val="referenceitem"/>
        <w:spacing w:after="40"/>
        <w:ind w:hanging="317" w:left="317"/>
      </w:pPr>
      <w:r>
        <w:rPr>
          <w:rFonts w:ascii="Times New Roman" w:hAnsi="Times New Roman"/>
          <w:sz w:val="17"/>
        </w:rPr>
        <w:t>[26] Dadgar, S.M.H., Ghatee, M.: Checkovid: a COVID-19 misinformation detection system on Twitter using network and content mining perspectives. arXiv:2107.09768 (2021).</w:t>
      </w:r>
    </w:p>
    <w:p>
      <w:pPr>
        <w:pStyle w:val="referenceitem"/>
        <w:spacing w:after="40"/>
        <w:ind w:hanging="317" w:left="317"/>
      </w:pPr>
      <w:r>
        <w:rPr>
          <w:rFonts w:ascii="Times New Roman" w:hAnsi="Times New Roman"/>
          <w:sz w:val="17"/>
        </w:rPr>
        <w:t>[27] Joshi, G., Srivastava, A., Yagnik, B., Hasan, M., Saiyed, Z., Gabralla, L.A., Abraham, A., Walambe, R., Kotecha, K.: Explainable misinformation detection across multiple social media platforms. arXiv:2203.11724 (2022).</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20" w:line="240" w:lineRule="auto" w:before="0"/>
      <w:ind w:firstLine="198"/>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0" w:after="60" w:line="240" w:lineRule="auto"/>
      <w:ind w:left="567" w:right="567" w:firstLine="0"/>
      <w:contextualSpacing/>
    </w:pPr>
    <w:rPr>
      <w:sz w:val="18"/>
    </w:rPr>
  </w:style>
  <w:style w:type="paragraph" w:customStyle="1" w:styleId="address">
    <w:name w:val="address"/>
    <w:basedOn w:val="Normal"/>
    <w:pPr>
      <w:spacing w:after="20" w:line="240" w:lineRule="auto" w:before="0"/>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40" w:line="240" w:lineRule="auto" w:before="0"/>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20" w:after="40" w:line="240" w:lineRule="auto"/>
      <w:ind w:firstLine="0"/>
    </w:pPr>
  </w:style>
  <w:style w:type="paragraph" w:customStyle="1" w:styleId="figurecaption">
    <w:name w:val="figurecaption"/>
    <w:basedOn w:val="Normal"/>
    <w:next w:val="Normal"/>
    <w:pPr>
      <w:keepLines/>
      <w:spacing w:before="20" w:after="60" w:line="240" w:lineRule="auto"/>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160" w:after="60" w:line="240" w:lineRule="auto"/>
      <w:ind w:left="567" w:firstLine="0"/>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100" w:after="40" w:line="240" w:lineRule="auto"/>
      <w:ind w:left="567" w:firstLine="0"/>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0" w:after="80" w:line="240" w:lineRule="auto"/>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spacing w:before="0" w:after="20" w:line="240" w:lineRule="auto"/>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40" w:lineRule="auto" w:before="0" w:after="20"/>
      <w:ind w:firstLine="0"/>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100" w:line="240" w:lineRule="auto" w:before="0"/>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80" w:after="20" w:line="240" w:lineRule="auto"/>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