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An Explainable Human-in-the-Loop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w:t>
      </w:r>
      <w:r>
        <w:t>Hong Viet Tran</w:t>
      </w:r>
      <w:r>
        <w:rPr>
          <w:vertAlign w:val="superscript"/>
        </w:rPr>
        <w:t>3</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ddress"/>
        <w:jc w:val="center"/>
      </w:pPr>
      <w:r>
        <w:rPr>
          <w:vertAlign w:val="superscript"/>
        </w:rPr>
        <w:t>3</w:t>
      </w:r>
      <w:r>
        <w:t xml:space="preserve"> Institute of Artificial Intelligence, VNU University of Engineering and Technology, Vietnam National University, Hanoi, Vietnam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study is organized around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pStyle w:val="heading2"/>
      </w:pPr>
      <w:r>
        <w:t>Research Contributions</w:t>
      </w:r>
    </w:p>
    <w:p>
      <w:pPr>
        <w:pStyle w:val="p1a"/>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spacing w:before="80" w:after="20" w:line="240" w:lineRule="auto"/>
        <w:ind w:left="0" w:right="0" w:firstLine="0"/>
      </w:pPr>
      <w:r>
        <w:rPr>
          <w:b/>
          <w:i/>
        </w:rPr>
        <w:t xml:space="preserve">Table 1. </w:t>
      </w:r>
      <w:r>
        <w:rPr>
          <w:i/>
        </w:rPr>
        <w:t>Research-positioning comparison of VaccineNLP against related misinformation and vaccine NLP studies.</w:t>
      </w:r>
    </w:p>
    <w:tbl>
      <w:tblPr>
        <w:tblW w:type="dxa" w:w="6900"/>
        <w:jc w:val="center"/>
        <w:tblLayout w:type="fixed"/>
        <w:tblLook w:firstColumn="1" w:firstRow="1" w:lastColumn="0" w:lastRow="0" w:noHBand="0" w:noVBand="1" w:val="04A0"/>
        <w:tblInd w:w="0" w:type="dxa"/>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study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spacing w:before="80" w:after="20" w:line="240" w:lineRule="auto"/>
        <w:ind w:left="0" w:right="0" w:firstLine="0"/>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Ind w:w="0" w:type="dxa"/>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100.0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spacing w:before="80" w:after="20" w:line="240" w:lineRule="auto"/>
        <w:ind w:left="0" w:right="0" w:firstLine="0"/>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Ind w:w="0" w:type="dxa"/>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fear, anger, anxiety, distrust, or blame.</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spacing w:before="80" w:after="20" w:line="240" w:lineRule="auto"/>
        <w:ind w:left="0" w:right="0" w:firstLine="0"/>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Ind w:w="0" w:type="dxa"/>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768</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Implementation Workflow</w:t>
      </w:r>
    </w:p>
    <w:p>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modeling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pre-specified hypotheses.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error-analysis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spacing w:before="80" w:after="20" w:line="240" w:lineRule="auto"/>
        <w:ind w:left="0" w:right="0" w:firstLine="0"/>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Ind w:w="0" w:type="dxa"/>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21.5</w:t>
            </w:r>
          </w:p>
        </w:tc>
      </w:tr>
    </w:tbl>
    <w:p>
      <w:pPr>
        <w:spacing w:before="0" w:after="80" w:line="240" w:lineRule="auto"/>
        <w:ind w:left="0" w:right="0" w:firstLine="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spacing w:before="80" w:after="20" w:line="240" w:lineRule="auto"/>
        <w:ind w:left="0" w:right="0" w:firstLine="0"/>
      </w:pPr>
      <w:r>
        <w:rPr>
          <w:b/>
          <w:i/>
        </w:rPr>
        <w:t xml:space="preserve">Table 6. </w:t>
      </w:r>
      <w:r>
        <w:rPr>
          <w:i/>
        </w:rPr>
        <w:t>Primary experimental results: Macro F1 on the expert-validated Gold Test Set.</w:t>
      </w:r>
    </w:p>
    <w:tbl>
      <w:tblPr>
        <w:tblW w:type="dxa" w:w="6900"/>
        <w:jc w:val="center"/>
        <w:tblLayout w:type="fixed"/>
        <w:tblLook w:firstColumn="1" w:firstRow="1" w:lastColumn="0" w:lastRow="0" w:noHBand="0" w:noVBand="1" w:val="04A0"/>
        <w:tblInd w:w="0" w:type="dxa"/>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0.6780</w:t>
            </w:r>
          </w:p>
        </w:tc>
      </w:tr>
    </w:tbl>
    <w:p>
      <w:pPr>
        <w:spacing w:before="0" w:after="80" w:line="240" w:lineRule="auto"/>
        <w:ind w:left="0" w:right="0" w:firstLine="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spacing w:before="80" w:after="20" w:line="240" w:lineRule="auto"/>
        <w:ind w:left="0" w:right="0" w:firstLine="0"/>
      </w:pPr>
      <w:r>
        <w:rPr>
          <w:b/>
          <w:i/>
        </w:rPr>
        <w:t xml:space="preserve">Table 7. </w:t>
      </w:r>
      <w:r>
        <w:rPr>
          <w:i/>
        </w:rPr>
        <w:t>Detailed experimental results: per-class F1 by task on the Gold Test Set.</w:t>
      </w:r>
    </w:p>
    <w:tbl>
      <w:tblPr>
        <w:tblW w:type="dxa" w:w="6900"/>
        <w:jc w:val="center"/>
        <w:tblLayout w:type="fixed"/>
        <w:tblLook w:firstColumn="1" w:firstRow="1" w:lastColumn="0" w:lastRow="0" w:noHBand="0" w:noVBand="1" w:val="04A0"/>
        <w:tblInd w:w="0" w:type="dxa"/>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spacing w:before="80" w:after="20" w:line="240" w:lineRule="auto"/>
        <w:ind w:left="0" w:right="0" w:firstLine="0"/>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Ind w:w="0" w:type="dxa"/>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-44%</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spacing w:before="80" w:after="20" w:line="240" w:lineRule="auto"/>
        <w:ind w:left="0" w:right="0" w:firstLine="0"/>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Ind w:w="0" w:type="dxa"/>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Requires parser and human review</w:t>
            </w:r>
          </w:p>
        </w:tc>
      </w:tr>
    </w:tbl>
    <w:p>
      <w:pPr>
        <w:spacing w:before="0" w:after="80" w:line="240" w:lineRule="auto"/>
        <w:ind w:left="0" w:right="0" w:firstLine="0"/>
      </w:pPr>
    </w:p>
    <w:p>
      <w:pPr>
        <w:pStyle w:val="p1a"/>
      </w:pPr>
      <w:r>
        <w:t>Parser analysis from the system evaluation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spacing w:before="80" w:after="20" w:line="240" w:lineRule="auto"/>
        <w:ind w:left="0" w:right="0" w:firstLine="0"/>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Ind w:w="0" w:type="dxa"/>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186</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spacing w:before="80" w:after="20" w:line="240" w:lineRule="auto"/>
        <w:ind w:left="0" w:right="0" w:firstLine="0"/>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Ind w:w="0" w:type="dxa"/>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spacing w:before="80" w:after="20" w:line="240" w:lineRule="auto"/>
        <w:ind w:left="0" w:right="0" w:firstLine="0"/>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Ind w:w="0" w:type="dxa"/>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spacing w:before="80" w:after="20" w:line="240" w:lineRule="auto"/>
        <w:ind w:left="0" w:right="0" w:firstLine="0"/>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Ind w:w="0" w:type="dxa"/>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implemented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project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spacing w:before="80" w:after="20" w:line="240" w:lineRule="auto"/>
        <w:ind w:left="0" w:right="0" w:firstLine="0"/>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Ind w:w="0" w:type="dxa"/>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an audit trail for public-health analysts and model reviewers</w:t>
            </w:r>
          </w:p>
        </w:tc>
      </w:tr>
    </w:tbl>
    <w:p>
      <w:pPr>
        <w:spacing w:before="0" w:after="80" w:line="240" w:lineRule="auto"/>
        <w:ind w:left="0" w:right="0" w:firstLine="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system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the annotators, domain reviewers, and technical contributors who supported the VaccineNLP study, software prototype, and supporting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 and Author Contacts</w:t>
      </w:r>
    </w:p>
    <w:p>
      <w:pPr>
        <w:pStyle w:val="p1a"/>
      </w:pPr>
      <w:r>
        <w:t>Correspondence concerning this paper should be addressed to the first author, Manh Hung Kim, Ha Noi University of Public Health, Ha Noi, Viet Nam. Email: 211090016@studenthuph.edu.vn.</w:t>
      </w:r>
    </w:p>
    <w:p>
      <w:pPr/>
      <w:r>
        <w:t>Additional author contact: Lam Quan Tran, Digital Health Center, Ha Noi University of Public Health, Ha Noi, Viet Nam. Email: quantl3@fpt.edu.vn.</w:t>
      </w:r>
    </w:p>
    <w:p>
      <w:pPr/>
      <w:r>
        <w:t>Additional author contact: Hong Viet Tran, Institute of Artificial Intelligence, VNU University of Engineering and Technology, Vietnam National University, Hanoi, Vietnam. Email: thv79@gmail.com.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397" w:val="left"/>
      </w:tabs>
      <w:spacing w:before="0" w:after="0" w:line="240" w:lineRule="auto"/>
    </w:pP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r>
      <w:tab/>
    </w:r>
    <w:r>
      <w:rPr>
        <w:rFonts w:ascii="Times New Roman" w:hAnsi="Times New Roman"/>
        <w:b/>
        <w:sz w:val="16"/>
      </w:rPr>
      <w:t>Manh Hung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b/>
        <w:sz w:val="16"/>
      </w:rPr>
      <w:t>VaccineNLP: Explainable HITL Misinformation Surveillance</w:t>
    </w:r>
    <w:r>
      <w:tab/>
    </w: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An Explainable Human-in-the-Loop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