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Chemistry Lesson Plan Template</w:t>
      </w:r>
    </w:p>
    <w:p>
      <w:pPr>
        <w:pStyle w:val="Subtitle"/>
      </w:pPr>
      <w:r>
        <w:rPr/>
        <w:t>Hóa học   Mẫu kế hoạch bài dạy</w:t>
      </w:r>
    </w:p>
    <w:p>
      <w:pPr>
        <w:pStyle w:val="Heading2"/>
      </w:pPr>
      <w:r>
        <w:rPr/>
        <w:t>Topic   Chủ đề</w:t>
      </w:r>
    </w:p>
    <w:p>
      <w:r>
        <w:t>Explaining states of matter with particles</w:t>
      </w:r>
      <w:r>
        <w:rPr>
          <w:lang w:val="vi-VN"/>
        </w:rPr>
        <w:br/>
        <w:t>Giải thích các trạng thái vật chất bằng mô hình hạt</w:t>
      </w:r>
    </w:p>
    <w:p>
      <w:pPr>
        <w:pStyle w:val="Reference"/>
      </w:pPr>
      <w:r>
        <w:rPr/>
        <w:t>English-Vietnamese EMI resource independently prepared using Cambridge's planning structure. / Tài liệu EMI Anh-Việt biên soạn độc lập theo cấu trúc lập kế hoạch của Cambridge.</w:t>
      </w:r>
    </w:p>
    <w:p>
      <w:pPr>
        <w:pStyle w:val="Reference"/>
      </w:pPr>
      <w:r>
        <w:rPr/>
        <w:t>Bryan Earl and Doug Wilford. Cambridge IGCSE Chemistry. Third edition. Hodder Education, 2014.</w:t>
        <w:br/>
        <w:t>Chapter 1 The particulate nature of matter, printed pages 2-4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4032"/>
        <w:gridCol w:w="6336"/>
      </w:tblGrid>
      <w:tr>
        <w:trPr>
          <w:tblHeader/>
          <w:cantSplit/>
        </w:trPr>
        <w:tc>
          <w:tcPr>
            <w:tcW w:type="dxa" w:w="4032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Planning context / Bối cảnh</w:t>
            </w:r>
          </w:p>
        </w:tc>
        <w:tc>
          <w:tcPr>
            <w:tcW w:type="dxa" w:w="6336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Teacher details / Thông tin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School and teacher / Trường và giáo viên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......................................................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Date and class / Ngày và lớp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......................................................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Present and absent / Có mặt và vắng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......................................................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Level and reference / Trình độ và mã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IGCSE 0620; 45 minutes / phút</w:t>
            </w:r>
          </w:p>
        </w:tc>
      </w:tr>
    </w:tbl>
    <w:p>
      <w:r>
        <w:t>Adapt the topic and book reference to your lesson; complete both languages consistently.</w:t>
      </w:r>
      <w:r>
        <w:rPr>
          <w:lang w:val="vi-VN"/>
        </w:rPr>
        <w:br/>
        <w:t>Điều chỉnh chủ đề và nguồn sách theo bài; điền hai ngôn ngữ thống nhất.</w:t>
      </w:r>
    </w:p>
    <w:p>
      <w:r>
        <w:rPr>
          <w:b/>
        </w:rPr>
        <w:t>Curriculum learning aim / Mục tiêu học tập theo chương trình</w:t>
      </w:r>
      <w:r>
        <w:br/>
        <w:t>........................................................................................</w:t>
      </w:r>
    </w:p>
    <w:p>
      <w:r>
        <w:rPr>
          <w:b/>
        </w:rPr>
        <w:t>Lesson objectives using observable verbs up to three / Mục tiêu bài dạy với động từ quan sát được tối đa ba</w:t>
      </w:r>
      <w:r>
        <w:br/>
        <w:t>........................................................................................</w:t>
      </w:r>
    </w:p>
    <w:p>
      <w:r>
        <w:rPr>
          <w:b/>
        </w:rPr>
        <w:t>Success criteria and evidence of achievement / Tiêu chí thành công và bằng chứng đạt mục tiêu</w:t>
      </w:r>
      <w:r>
        <w:br/>
        <w:t>........................................................................................</w:t>
      </w:r>
    </w:p>
    <w:p>
      <w:r>
        <w:rPr>
          <w:b/>
        </w:rPr>
        <w:t>Language outcome for explaining subject reasoning / Mục tiêu ngôn ngữ để giải thích lập luận môn học</w:t>
      </w:r>
      <w:r>
        <w:br/>
        <w:t>........................................................................................</w:t>
      </w:r>
    </w:p>
    <w:p>
      <w:pPr>
        <w:pStyle w:val="Heading1"/>
        <w:pageBreakBefore/>
      </w:pPr>
      <w:r>
        <w:rPr/>
        <w:t>Vocabulary and prior learning</w:t>
      </w:r>
    </w:p>
    <w:p>
      <w:pPr>
        <w:pStyle w:val="Subtitle"/>
        <w:spacing w:after="180"/>
      </w:pPr>
      <w:r>
        <w:rPr/>
        <w:t>Từ vựng và kiến thức nền</w:t>
      </w:r>
    </w:p>
    <w:p>
      <w:r>
        <w:rPr/>
        <w:t>Suggested topic vocabulary; revise for your chosen lesson. / Từ vựng gợi ý cho chủ đề; điều chỉnh theo bài đã chọn.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4752"/>
        <w:gridCol w:w="5616"/>
      </w:tblGrid>
      <w:tr>
        <w:trPr>
          <w:tblHeader/>
          <w:cantSplit/>
        </w:trPr>
        <w:tc>
          <w:tcPr>
            <w:tcW w:type="dxa" w:w="4752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2"/>
              </w:rPr>
              <w:t>English term / Thuật ngữ</w:t>
            </w:r>
          </w:p>
        </w:tc>
        <w:tc>
          <w:tcPr>
            <w:tcW w:type="dxa" w:w="5616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2"/>
              </w:rPr>
              <w:t>Vietnamese meaning / Nghĩa tiếng Việt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particle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hạt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solid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chất rắn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liquid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chất lỏng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gas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chất khí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arrangement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sự sắp xếp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vibrate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dao động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compress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nén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melting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sự nóng chảy</w:t>
            </w:r>
          </w:p>
        </w:tc>
      </w:tr>
    </w:tbl>
    <w:p>
      <w:r>
        <w:rPr>
          <w:b/>
        </w:rPr>
        <w:t>Sentence frame / Mẫu câu</w:t>
      </w:r>
      <w:r>
        <w:br/>
        <w:t>........................................................................................</w:t>
      </w:r>
    </w:p>
    <w:p>
      <w:r>
        <w:rPr>
          <w:b/>
        </w:rPr>
        <w:t>Prior knowledge and misconception check / Kiểm tra kiến thức nền và hiểu nhầm</w:t>
      </w:r>
      <w:r>
        <w:br/>
        <w:t>........................................................................................</w:t>
      </w:r>
    </w:p>
    <w:p>
      <w:pPr>
        <w:pStyle w:val="Heading1"/>
      </w:pPr>
      <w:r>
        <w:rPr/>
        <w:t>Plan</w:t>
      </w:r>
    </w:p>
    <w:p>
      <w:pPr>
        <w:pStyle w:val="Subtitle"/>
        <w:spacing w:after="180"/>
      </w:pPr>
      <w:r>
        <w:rPr/>
        <w:t>Tiến trình bài dạy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440"/>
        <w:gridCol w:w="7056"/>
        <w:gridCol w:w="1872"/>
      </w:tblGrid>
      <w:tr>
        <w:trPr>
          <w:tblHeader/>
          <w:cantSplit/>
        </w:trPr>
        <w:tc>
          <w:tcPr>
            <w:tcW w:type="dxa" w:w="1440"/>
            <w:vAlign w:val="center"/>
            <w:shd w:fill="F2F2F2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20"/>
              </w:rPr>
              <w:t>Time / Thời gian</w:t>
            </w:r>
          </w:p>
        </w:tc>
        <w:tc>
          <w:tcPr>
            <w:tcW w:type="dxa" w:w="7056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Teacher and learner activity / Hoạt động</w:t>
            </w:r>
          </w:p>
        </w:tc>
        <w:tc>
          <w:tcPr>
            <w:tcW w:type="dxa" w:w="1872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Resources / Học liệu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sz w:val="20"/>
              </w:rPr>
              <w:t>Beginning</w:t>
              <w:br/>
              <w:t>Mở đầu</w:t>
              <w:br/>
              <w:t>5 min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Prior-learning prompt and shared goals / Câu hỏi nền và mục tiêu</w:t>
              <w:br/>
              <w:t>...............................................................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sz w:val="20"/>
              </w:rPr>
              <w:t>Middle</w:t>
              <w:br/>
              <w:t>Phát triển</w:t>
              <w:br/>
              <w:t>35 min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Model, tasks and checks / Minh họa, luyện tập và kiểm tra</w:t>
              <w:br/>
              <w:t>...............................................................</w:t>
              <w:br/>
              <w:t>...............................................................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</w:t>
              <w:br/>
              <w:t>....................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sz w:val="20"/>
              </w:rPr>
              <w:t>End</w:t>
              <w:br/>
              <w:t>Kết thúc</w:t>
              <w:br/>
              <w:t>5 min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Exit evidence and next step / Bằng chứng cuối giờ và bước tiếp</w:t>
              <w:br/>
              <w:t>...............................................................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</w:t>
            </w:r>
          </w:p>
        </w:tc>
      </w:tr>
    </w:tbl>
    <w:p>
      <w:pPr>
        <w:pStyle w:val="Reference"/>
      </w:pPr>
      <w:r>
        <w:rPr/>
        <w:t>Total / Tổng: 45 minutes / phút. Split the middle into timed steps as needed. / Chia phần phát triển thành các bước có thời gian khi cần.</w:t>
      </w:r>
    </w:p>
    <w:p>
      <w:pPr>
        <w:pStyle w:val="Heading1"/>
        <w:pageBreakBefore/>
      </w:pPr>
      <w:r>
        <w:rPr/>
        <w:t>Additional planning</w:t>
      </w:r>
    </w:p>
    <w:p>
      <w:pPr>
        <w:pStyle w:val="Subtitle"/>
        <w:spacing w:after="180"/>
      </w:pPr>
      <w:r>
        <w:rPr/>
        <w:t>Thông tin bổ sung</w:t>
      </w:r>
    </w:p>
    <w:p>
      <w:r>
        <w:rPr>
          <w:b/>
        </w:rPr>
        <w:t>Support and access arrangements / Hỗ trợ và điều chỉnh tiếp cận</w:t>
      </w:r>
      <w:r>
        <w:br/>
        <w:t>........................................................................................</w:t>
      </w:r>
      <w:r>
        <w:br/>
        <w:t>........................................................................................</w:t>
      </w:r>
    </w:p>
    <w:p>
      <w:r>
        <w:rPr>
          <w:b/>
        </w:rPr>
        <w:t>Extension that deepens reasoning / Mở rộng để phát triển tư duy</w:t>
      </w:r>
      <w:r>
        <w:br/>
        <w:t>........................................................................................</w:t>
      </w:r>
    </w:p>
    <w:p>
      <w:r>
        <w:rPr>
          <w:b/>
        </w:rPr>
        <w:t>Assessment checks and response to incomplete learning / Kiểm tra đánh giá và xử lý khi chưa đạt</w:t>
      </w:r>
      <w:r>
        <w:br/>
        <w:t>........................................................................................</w:t>
      </w:r>
      <w:r>
        <w:br/>
        <w:t>........................................................................................</w:t>
      </w:r>
    </w:p>
    <w:p>
      <w:r>
        <w:rPr>
          <w:b/>
        </w:rPr>
        <w:t>Health safety and purposeful ICT use / Sức khỏe an toàn và ứng dụng CNTT có mục đích</w:t>
      </w:r>
      <w:r>
        <w:br/>
        <w:t>........................................................................................</w:t>
      </w:r>
    </w:p>
    <w:p>
      <w:r>
        <w:rPr>
          <w:b/>
        </w:rPr>
        <w:t>Homework linked to objectives and checking method / Bài về nhà gắn mục tiêu và cách kiểm tra</w:t>
      </w:r>
      <w:r>
        <w:br/>
        <w:t>........................................................................................</w:t>
      </w:r>
    </w:p>
    <w:p>
      <w:pPr>
        <w:pStyle w:val="Heading1"/>
      </w:pPr>
      <w:r>
        <w:rPr/>
        <w:t>Reflection and evaluation</w:t>
      </w:r>
    </w:p>
    <w:p>
      <w:pPr>
        <w:pStyle w:val="Subtitle"/>
        <w:spacing w:after="180"/>
      </w:pPr>
      <w:r>
        <w:rPr/>
        <w:t>Phản tư và đánh giá sau bài dạy</w:t>
      </w:r>
    </w:p>
    <w:p>
      <w:pPr>
        <w:pStyle w:val="Reference"/>
      </w:pPr>
      <w:r>
        <w:rPr/>
        <w:t>Complete after teaching using learner evidence; no outcomes are assumed. / Điền sau khi dạy dựa trên bằng chứng học tập; không giả định kết quả.</w:t>
      </w:r>
    </w:p>
    <w:p>
      <w:r>
        <w:rPr>
          <w:b/>
        </w:rPr>
        <w:t>Evidence against objectives and criteria / Bằng chứng theo mục tiêu và tiêu chí</w:t>
      </w:r>
      <w:r>
        <w:br/>
        <w:t>........................................................................................</w:t>
      </w:r>
    </w:p>
    <w:p>
      <w:r>
        <w:rPr>
          <w:b/>
        </w:rPr>
        <w:t>Support and timing adjustments that worked or need revision / Hỗ trợ và thời gian hiệu quả hoặc cần điều chỉnh</w:t>
      </w:r>
      <w:r>
        <w:br/>
        <w:t>........................................................................................</w:t>
      </w:r>
    </w:p>
    <w:p>
      <w:r>
        <w:rPr>
          <w:b/>
        </w:rPr>
        <w:t>Next lesson action for the class or individual learners / Việc cần làm ở bài sau cho lớp hoặc từng học sinh</w:t>
      </w:r>
      <w:r>
        <w:br/>
        <w:t>........................................................................................</w:t>
      </w:r>
    </w:p>
    <w:p>
      <w:pPr>
        <w:pStyle w:val="Heading2"/>
      </w:pPr>
      <w:r>
        <w:rPr/>
        <w:t>Sources and authorship   Nguồn và biên soạn</w:t>
      </w:r>
    </w:p>
    <w:p>
      <w:pPr>
        <w:pStyle w:val="Reference"/>
      </w:pPr>
      <w:r>
        <w:rPr/>
        <w:t>Planning structure adapted from Cambridge guidance; EMI support, activities and questions are independently authored, not copied textbook exercises. Not issued or endorsed by Cambridge. Verify the syllabus for your examination year. / Cấu trúc dựa trên hướng dẫn Cambridge; hỗ trợ EMI, hoạt động và câu hỏi được soạn độc lập. Không do Cambridge phát hành hoặc chứng nhận. Kiểm tra syllabus của năm thi.</w:t>
      </w:r>
    </w:p>
    <w:p>
      <w:pPr>
        <w:pStyle w:val="Reference"/>
      </w:pPr>
      <w:hyperlink r:id="rId10">
        <w:r>
          <w:rPr>
            <w:color w:val="006D77"/>
          </w:rPr>
          <w:t>Cambridge International lesson-planning guidance / Hướng dẫn lập kế hoạch bài dạy</w:t>
        </w:r>
      </w:hyperlink>
    </w:p>
    <w:p>
      <w:pPr>
        <w:pStyle w:val="Reference"/>
      </w:pPr>
      <w:r>
        <w:rPr/>
        <w:t>Structural reference: Cambridge IGCSE Biology Teacher Guide, Appendix, p. 24. / Tham chiếu cấu trúc: phụ lục mẫu kế hoạch, trang 24.</w:t>
      </w:r>
    </w:p>
    <w:p>
      <w:pPr>
        <w:pStyle w:val="Reference"/>
      </w:pPr>
      <w:hyperlink r:id="rId11">
        <w:r>
          <w:rPr>
            <w:color w:val="006D77"/>
          </w:rPr>
          <w:t>Referenced book or syllabus in Module 4 / Sách hoặc syllabus tham chiếu tại Module 4</w:t>
        </w:r>
      </w:hyperlink>
    </w:p>
    <w:sectPr w:rsidR="00FC693F" w:rsidRPr="0006063C" w:rsidSect="00034616">
      <w:footerReference w:type="default" r:id="rId9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Noto Sans" w:hAnsi="Noto Sans"/>
        <w:sz w:val="16"/>
      </w:rPr>
      <w:t xml:space="preserve">EMI STEM  |  Chemistry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Noto Sans" w:hAnsi="Noto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9" w:lineRule="auto"/>
      <w:outlineLvl w:val="0"/>
    </w:pPr>
    <w:rPr>
      <w:rFonts w:asciiTheme="majorHAnsi" w:eastAsiaTheme="majorEastAsia" w:hAnsiTheme="majorHAnsi" w:cstheme="majorBidi" w:ascii="Noto Sans" w:hAnsi="Noto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59" w:lineRule="auto"/>
      <w:outlineLvl w:val="1"/>
    </w:pPr>
    <w:rPr>
      <w:rFonts w:asciiTheme="majorHAnsi" w:eastAsiaTheme="majorEastAsia" w:hAnsiTheme="majorHAnsi" w:cstheme="majorBidi" w:ascii="Noto Sans" w:hAnsi="Noto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9" w:lineRule="auto"/>
      <w:contextualSpacing/>
    </w:pPr>
    <w:rPr>
      <w:rFonts w:asciiTheme="majorHAnsi" w:eastAsiaTheme="majorEastAsia" w:hAnsiTheme="majorHAnsi" w:cstheme="majorBidi" w:ascii="Noto Sans" w:hAnsi="Noto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140"/>
    </w:pPr>
    <w:rPr>
      <w:rFonts w:asciiTheme="majorHAnsi" w:eastAsiaTheme="majorEastAsia" w:hAnsiTheme="majorHAnsi" w:cstheme="majorBidi" w:ascii="Noto Sans" w:hAnsi="Noto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basedOn w:val="Normal"/>
    <w:pPr>
      <w:spacing w:after="8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earning.cambridgeinternational.org/classroom/course/view.php?id=4872" TargetMode="External"/><Relationship Id="rId11" Type="http://schemas.openxmlformats.org/officeDocument/2006/relationships/hyperlink" Target="https://emi-stem-vietnam-training-20260913.quynhthinhuto.chatgpt.site/api/books?subject=chemistry&amp;file=98b8438aac5cf03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Chemistry bilingual lesson plan template</dc:title>
  <dc:subject>Explaining states of matter with particles</dc:subject>
  <dc:creator>EMI STEM Teacher Training</dc:creator>
  <cp:keywords>English Vietnamese; bilingual; independently authored; lesson planning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