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551A7" w14:textId="77777777" w:rsidR="00E67A01" w:rsidRPr="00E67A01" w:rsidRDefault="00E67A01" w:rsidP="00E67A01">
      <w:pPr>
        <w:rPr>
          <w:b/>
          <w:bCs/>
          <w:lang w:val="en-US"/>
        </w:rPr>
      </w:pPr>
      <w:r w:rsidRPr="00E67A01">
        <w:rPr>
          <w:b/>
          <w:bCs/>
          <w:lang w:val="en-US"/>
        </w:rPr>
        <w:t>1. Estrategia de Configuración por Entorno</w:t>
      </w:r>
    </w:p>
    <w:p w14:paraId="2F7A4711" w14:textId="77777777" w:rsidR="00E67A01" w:rsidRPr="00E67A01" w:rsidRDefault="00E67A01" w:rsidP="00E67A01">
      <w:pPr>
        <w:rPr>
          <w:lang w:val="en-US"/>
        </w:rPr>
      </w:pPr>
      <w:r w:rsidRPr="00E67A01">
        <w:rPr>
          <w:lang w:val="en-US"/>
        </w:rPr>
        <w:t>AEM permite aplicar configuraciones distintas en función del entorno mediante la separación de las carpetas de configuración. Por ejemplo, puedes usar:</w:t>
      </w:r>
    </w:p>
    <w:p w14:paraId="01051106" w14:textId="77777777" w:rsidR="00E67A01" w:rsidRPr="00E67A01" w:rsidRDefault="00E67A01" w:rsidP="00E67A01">
      <w:pPr>
        <w:numPr>
          <w:ilvl w:val="0"/>
          <w:numId w:val="1"/>
        </w:numPr>
        <w:rPr>
          <w:lang w:val="en-US"/>
        </w:rPr>
      </w:pPr>
      <w:r w:rsidRPr="00E67A01">
        <w:rPr>
          <w:b/>
          <w:bCs/>
          <w:lang w:val="en-US"/>
        </w:rPr>
        <w:t>/apps/proyecteve/config.dev/</w:t>
      </w:r>
      <w:r w:rsidRPr="00E67A01">
        <w:rPr>
          <w:lang w:val="en-US"/>
        </w:rPr>
        <w:t xml:space="preserve"> para configuraciones específicas de desarrollo.</w:t>
      </w:r>
    </w:p>
    <w:p w14:paraId="3A6ACF59" w14:textId="77777777" w:rsidR="00E67A01" w:rsidRPr="00E67A01" w:rsidRDefault="00E67A01" w:rsidP="00E67A01">
      <w:pPr>
        <w:numPr>
          <w:ilvl w:val="0"/>
          <w:numId w:val="1"/>
        </w:numPr>
        <w:rPr>
          <w:lang w:val="en-US"/>
        </w:rPr>
      </w:pPr>
      <w:r w:rsidRPr="00E67A01">
        <w:rPr>
          <w:b/>
          <w:bCs/>
          <w:lang w:val="en-US"/>
        </w:rPr>
        <w:t>/apps/proyecteve/config.stage/</w:t>
      </w:r>
      <w:r w:rsidRPr="00E67A01">
        <w:rPr>
          <w:lang w:val="en-US"/>
        </w:rPr>
        <w:t xml:space="preserve"> para staging.</w:t>
      </w:r>
    </w:p>
    <w:p w14:paraId="2EA15DB4" w14:textId="77777777" w:rsidR="00E67A01" w:rsidRPr="00E67A01" w:rsidRDefault="00E67A01" w:rsidP="00E67A01">
      <w:pPr>
        <w:numPr>
          <w:ilvl w:val="0"/>
          <w:numId w:val="1"/>
        </w:numPr>
        <w:rPr>
          <w:lang w:val="en-US"/>
        </w:rPr>
      </w:pPr>
      <w:r w:rsidRPr="00E67A01">
        <w:rPr>
          <w:b/>
          <w:bCs/>
          <w:lang w:val="en-US"/>
        </w:rPr>
        <w:t>/apps/proyecteve/config.prod/</w:t>
      </w:r>
      <w:r w:rsidRPr="00E67A01">
        <w:rPr>
          <w:lang w:val="en-US"/>
        </w:rPr>
        <w:t xml:space="preserve"> para producción.</w:t>
      </w:r>
    </w:p>
    <w:p w14:paraId="7F94958F" w14:textId="77777777" w:rsidR="00E67A01" w:rsidRPr="00E67A01" w:rsidRDefault="00E67A01" w:rsidP="00E67A01">
      <w:pPr>
        <w:rPr>
          <w:lang w:val="en-US"/>
        </w:rPr>
      </w:pPr>
      <w:r w:rsidRPr="00E67A01">
        <w:rPr>
          <w:lang w:val="en-US"/>
        </w:rPr>
        <w:t>Al desplegar el paquete en el entorno correspondiente, AEM aplicará la configuración que se encuentre en la carpeta indicada.</w:t>
      </w:r>
    </w:p>
    <w:p w14:paraId="023A809F" w14:textId="77777777" w:rsidR="00E67A01" w:rsidRPr="00E67A01" w:rsidRDefault="00E67A01" w:rsidP="00E67A01">
      <w:pPr>
        <w:rPr>
          <w:lang w:val="en-US"/>
        </w:rPr>
      </w:pPr>
      <w:r w:rsidRPr="00E67A01">
        <w:rPr>
          <w:lang w:val="en-US"/>
        </w:rPr>
        <w:pict w14:anchorId="3D2DDF89">
          <v:rect id="_x0000_i1031" style="width:0;height:1.5pt" o:hralign="center" o:hrstd="t" o:hr="t" fillcolor="#a0a0a0" stroked="f"/>
        </w:pict>
      </w:r>
    </w:p>
    <w:p w14:paraId="1964F602" w14:textId="77777777" w:rsidR="00E67A01" w:rsidRPr="00E67A01" w:rsidRDefault="00E67A01" w:rsidP="00E67A01">
      <w:pPr>
        <w:rPr>
          <w:b/>
          <w:bCs/>
          <w:lang w:val="en-US"/>
        </w:rPr>
      </w:pPr>
      <w:r w:rsidRPr="00E67A01">
        <w:rPr>
          <w:b/>
          <w:bCs/>
          <w:lang w:val="en-US"/>
        </w:rPr>
        <w:t>2. Ejemplo de Configuración para ExternalApiService</w:t>
      </w:r>
    </w:p>
    <w:p w14:paraId="513E5E94" w14:textId="77777777" w:rsidR="00E67A01" w:rsidRPr="00E67A01" w:rsidRDefault="00E67A01" w:rsidP="00E67A01">
      <w:pPr>
        <w:rPr>
          <w:lang w:val="en-US"/>
        </w:rPr>
      </w:pPr>
      <w:r w:rsidRPr="00E67A01">
        <w:rPr>
          <w:lang w:val="en-US"/>
        </w:rPr>
        <w:t>Supongamos que el servicio OSGi ExternalApiServiceImpl tiene el siguiente PDI de configuración:</w:t>
      </w:r>
    </w:p>
    <w:p w14:paraId="60BF38EB" w14:textId="77777777" w:rsidR="00E67A01" w:rsidRPr="00E67A01" w:rsidRDefault="00E67A01" w:rsidP="00E67A01">
      <w:pPr>
        <w:numPr>
          <w:ilvl w:val="0"/>
          <w:numId w:val="2"/>
        </w:numPr>
        <w:rPr>
          <w:lang w:val="en-US"/>
        </w:rPr>
      </w:pPr>
      <w:r w:rsidRPr="00E67A01">
        <w:rPr>
          <w:b/>
          <w:bCs/>
          <w:lang w:val="en-US"/>
        </w:rPr>
        <w:t>endpointUrl:</w:t>
      </w:r>
      <w:r w:rsidRPr="00E67A01">
        <w:rPr>
          <w:lang w:val="en-US"/>
        </w:rPr>
        <w:t xml:space="preserve"> URL del endpoint externo.</w:t>
      </w:r>
    </w:p>
    <w:p w14:paraId="22F77174" w14:textId="77777777" w:rsidR="00E67A01" w:rsidRPr="00E67A01" w:rsidRDefault="00E67A01" w:rsidP="00E67A01">
      <w:pPr>
        <w:numPr>
          <w:ilvl w:val="0"/>
          <w:numId w:val="2"/>
        </w:numPr>
        <w:rPr>
          <w:lang w:val="en-US"/>
        </w:rPr>
      </w:pPr>
      <w:r w:rsidRPr="00E67A01">
        <w:rPr>
          <w:b/>
          <w:bCs/>
          <w:lang w:val="en-US"/>
        </w:rPr>
        <w:t>timeout:</w:t>
      </w:r>
      <w:r w:rsidRPr="00E67A01">
        <w:rPr>
          <w:lang w:val="en-US"/>
        </w:rPr>
        <w:t xml:space="preserve"> Tiempo de espera en milisegundos.</w:t>
      </w:r>
    </w:p>
    <w:p w14:paraId="09C84011" w14:textId="77777777" w:rsidR="00E67A01" w:rsidRPr="00E67A01" w:rsidRDefault="00E67A01" w:rsidP="00E67A01">
      <w:pPr>
        <w:rPr>
          <w:lang w:val="en-US"/>
        </w:rPr>
      </w:pPr>
      <w:r w:rsidRPr="00E67A01">
        <w:rPr>
          <w:lang w:val="en-US"/>
        </w:rPr>
        <w:t xml:space="preserve">Podemos crear archivos de configuración en formato </w:t>
      </w:r>
      <w:r w:rsidRPr="00E67A01">
        <w:rPr>
          <w:i/>
          <w:iCs/>
          <w:lang w:val="en-US"/>
        </w:rPr>
        <w:t>OSGi config</w:t>
      </w:r>
      <w:r w:rsidRPr="00E67A01">
        <w:rPr>
          <w:lang w:val="en-US"/>
        </w:rPr>
        <w:t xml:space="preserve"> (por ejemplo, </w:t>
      </w:r>
      <w:r w:rsidRPr="00E67A01">
        <w:rPr>
          <w:i/>
          <w:iCs/>
          <w:lang w:val="en-US"/>
        </w:rPr>
        <w:t>.cfg.json</w:t>
      </w:r>
      <w:r w:rsidRPr="00E67A01">
        <w:rPr>
          <w:lang w:val="en-US"/>
        </w:rPr>
        <w:t>) para cada entorno.</w:t>
      </w:r>
    </w:p>
    <w:p w14:paraId="624E863E" w14:textId="77777777" w:rsidR="00E67A01" w:rsidRPr="00E67A01" w:rsidRDefault="00E67A01" w:rsidP="00E67A01">
      <w:pPr>
        <w:rPr>
          <w:b/>
          <w:bCs/>
          <w:lang w:val="en-US"/>
        </w:rPr>
      </w:pPr>
      <w:r w:rsidRPr="00E67A01">
        <w:rPr>
          <w:b/>
          <w:bCs/>
          <w:lang w:val="en-US"/>
        </w:rPr>
        <w:t>2.1. Configuración para Desarrollo (dev)</w:t>
      </w:r>
    </w:p>
    <w:p w14:paraId="7980EFF5" w14:textId="77777777" w:rsidR="00E67A01" w:rsidRPr="00E67A01" w:rsidRDefault="00E67A01" w:rsidP="00E67A01">
      <w:pPr>
        <w:rPr>
          <w:lang w:val="en-US"/>
        </w:rPr>
      </w:pPr>
      <w:r w:rsidRPr="00E67A01">
        <w:rPr>
          <w:lang w:val="en-US"/>
        </w:rPr>
        <w:t>Ubica el archivo en:</w:t>
      </w:r>
      <w:r w:rsidRPr="00E67A01">
        <w:rPr>
          <w:lang w:val="en-US"/>
        </w:rPr>
        <w:br/>
        <w:t>/apps/proyecteve/config.dev/com.jadeveloper.core.services.ExternalApiService.config.json</w:t>
      </w:r>
    </w:p>
    <w:p w14:paraId="78F2517E" w14:textId="77777777" w:rsidR="00FD3E0E" w:rsidRDefault="00FD3E0E"/>
    <w:p w14:paraId="5D8D10C1" w14:textId="1D952E3B" w:rsidR="00E67A01" w:rsidRDefault="00E67A01">
      <w:r w:rsidRPr="00E67A01">
        <w:drawing>
          <wp:inline distT="0" distB="0" distL="0" distR="0" wp14:anchorId="7F1B60C0" wp14:editId="4EE3546C">
            <wp:extent cx="4671465" cy="1044030"/>
            <wp:effectExtent l="0" t="0" r="0" b="3810"/>
            <wp:docPr id="210404939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49395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2FC7" w14:textId="77777777" w:rsidR="00E67A01" w:rsidRPr="00E67A01" w:rsidRDefault="00E67A01" w:rsidP="00E67A01">
      <w:pPr>
        <w:rPr>
          <w:b/>
          <w:bCs/>
          <w:lang w:val="en-US"/>
        </w:rPr>
      </w:pPr>
      <w:r w:rsidRPr="00E67A01">
        <w:rPr>
          <w:b/>
          <w:bCs/>
          <w:lang w:val="en-US"/>
        </w:rPr>
        <w:t>2.2. Configuración para Staging (stage)</w:t>
      </w:r>
    </w:p>
    <w:p w14:paraId="12F7D0D1" w14:textId="77777777" w:rsidR="00E67A01" w:rsidRPr="00E67A01" w:rsidRDefault="00E67A01" w:rsidP="00E67A01">
      <w:pPr>
        <w:rPr>
          <w:lang w:val="en-US"/>
        </w:rPr>
      </w:pPr>
      <w:r w:rsidRPr="00E67A01">
        <w:rPr>
          <w:lang w:val="en-US"/>
        </w:rPr>
        <w:t>Ubica el archivo en:</w:t>
      </w:r>
      <w:r w:rsidRPr="00E67A01">
        <w:rPr>
          <w:lang w:val="en-US"/>
        </w:rPr>
        <w:br/>
        <w:t>/apps/proyecteve/config.stage/com.jadeveloper.core.services.ExternalApiService.config.json</w:t>
      </w:r>
    </w:p>
    <w:p w14:paraId="359E01A3" w14:textId="77777777" w:rsidR="00E67A01" w:rsidRDefault="00E67A01"/>
    <w:p w14:paraId="06AD9315" w14:textId="7C747950" w:rsidR="00E67A01" w:rsidRDefault="00E67A01">
      <w:r w:rsidRPr="00E67A01">
        <w:lastRenderedPageBreak/>
        <w:drawing>
          <wp:inline distT="0" distB="0" distL="0" distR="0" wp14:anchorId="1B5EEB99" wp14:editId="2A83E7BD">
            <wp:extent cx="4206605" cy="914479"/>
            <wp:effectExtent l="0" t="0" r="3810" b="0"/>
            <wp:docPr id="205695092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50924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34C8" w14:textId="77777777" w:rsidR="00E67A01" w:rsidRDefault="00E67A01"/>
    <w:p w14:paraId="2F66AB66" w14:textId="77777777" w:rsidR="00E67A01" w:rsidRPr="00E67A01" w:rsidRDefault="00E67A01" w:rsidP="00E67A01">
      <w:pPr>
        <w:rPr>
          <w:b/>
          <w:bCs/>
          <w:lang w:val="en-US"/>
        </w:rPr>
      </w:pPr>
      <w:r w:rsidRPr="00E67A01">
        <w:rPr>
          <w:b/>
          <w:bCs/>
          <w:lang w:val="en-US"/>
        </w:rPr>
        <w:t>2.3. Configuración para Producción (prod)</w:t>
      </w:r>
    </w:p>
    <w:p w14:paraId="10CA2460" w14:textId="77777777" w:rsidR="00E67A01" w:rsidRPr="00E67A01" w:rsidRDefault="00E67A01" w:rsidP="00E67A01">
      <w:pPr>
        <w:rPr>
          <w:lang w:val="en-US"/>
        </w:rPr>
      </w:pPr>
      <w:r w:rsidRPr="00E67A01">
        <w:rPr>
          <w:lang w:val="en-US"/>
        </w:rPr>
        <w:t>Ubica el archivo en:</w:t>
      </w:r>
      <w:r w:rsidRPr="00E67A01">
        <w:rPr>
          <w:lang w:val="en-US"/>
        </w:rPr>
        <w:br/>
        <w:t>/apps/proyecteve/config.prod/com.jadeveloper.core.services.ExternalApiService.config.json</w:t>
      </w:r>
    </w:p>
    <w:p w14:paraId="50D9A8F4" w14:textId="77777777" w:rsidR="00E67A01" w:rsidRDefault="00E67A01"/>
    <w:p w14:paraId="65869BDF" w14:textId="6CC4314B" w:rsidR="00E67A01" w:rsidRDefault="00E67A01">
      <w:r w:rsidRPr="00E67A01">
        <w:drawing>
          <wp:inline distT="0" distB="0" distL="0" distR="0" wp14:anchorId="3DA3E955" wp14:editId="7C94B45C">
            <wp:extent cx="4099915" cy="1005927"/>
            <wp:effectExtent l="0" t="0" r="0" b="3810"/>
            <wp:docPr id="732520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5205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B50A" w14:textId="77777777" w:rsidR="00E67A01" w:rsidRPr="00E67A01" w:rsidRDefault="00E67A01" w:rsidP="00E67A01">
      <w:pPr>
        <w:rPr>
          <w:lang w:val="en-US"/>
        </w:rPr>
      </w:pPr>
      <w:r w:rsidRPr="00E67A01">
        <w:rPr>
          <w:b/>
          <w:bCs/>
          <w:lang w:val="en-US"/>
        </w:rPr>
        <w:t>Nota:</w:t>
      </w:r>
    </w:p>
    <w:p w14:paraId="55C2384B" w14:textId="77777777" w:rsidR="00E67A01" w:rsidRPr="00E67A01" w:rsidRDefault="00E67A01" w:rsidP="00E67A01">
      <w:pPr>
        <w:numPr>
          <w:ilvl w:val="0"/>
          <w:numId w:val="3"/>
        </w:numPr>
        <w:rPr>
          <w:lang w:val="en-US"/>
        </w:rPr>
      </w:pPr>
      <w:r w:rsidRPr="00E67A01">
        <w:rPr>
          <w:lang w:val="en-US"/>
        </w:rPr>
        <w:t>Asegúrate de que el nombre del archivo coincida exactamente con el PID del servicio OSGi. En este ejemplo, se asume que el PID es com.jadeveloper.core.services.ExternalApiService.</w:t>
      </w:r>
    </w:p>
    <w:p w14:paraId="16F6723C" w14:textId="77777777" w:rsidR="00E67A01" w:rsidRPr="00E67A01" w:rsidRDefault="00E67A01" w:rsidP="00E67A01">
      <w:pPr>
        <w:numPr>
          <w:ilvl w:val="0"/>
          <w:numId w:val="3"/>
        </w:numPr>
        <w:rPr>
          <w:lang w:val="en-US"/>
        </w:rPr>
      </w:pPr>
      <w:r w:rsidRPr="00E67A01">
        <w:rPr>
          <w:lang w:val="en-US"/>
        </w:rPr>
        <w:t>Si utilizas otro formato (por ejemplo, .config o .cfg), asegúrate de seguir la convención requerida por AEM y Config Admin.</w:t>
      </w:r>
    </w:p>
    <w:p w14:paraId="07892B3C" w14:textId="77777777" w:rsidR="00E67A01" w:rsidRPr="00E67A01" w:rsidRDefault="00E67A01" w:rsidP="00E67A01">
      <w:pPr>
        <w:rPr>
          <w:lang w:val="en-US"/>
        </w:rPr>
      </w:pPr>
      <w:r w:rsidRPr="00E67A01">
        <w:rPr>
          <w:lang w:val="en-US"/>
        </w:rPr>
        <w:pict w14:anchorId="26BA4843">
          <v:rect id="_x0000_i1045" style="width:0;height:1.5pt" o:hralign="center" o:hrstd="t" o:hr="t" fillcolor="#a0a0a0" stroked="f"/>
        </w:pict>
      </w:r>
    </w:p>
    <w:p w14:paraId="344C628E" w14:textId="77777777" w:rsidR="00E67A01" w:rsidRPr="00E67A01" w:rsidRDefault="00E67A01" w:rsidP="00E67A01">
      <w:pPr>
        <w:rPr>
          <w:b/>
          <w:bCs/>
          <w:lang w:val="en-US"/>
        </w:rPr>
      </w:pPr>
      <w:r w:rsidRPr="00E67A01">
        <w:rPr>
          <w:b/>
          <w:bCs/>
          <w:lang w:val="en-US"/>
        </w:rPr>
        <w:t>3. Cómo se Aplica la Configuración en AEM</w:t>
      </w:r>
    </w:p>
    <w:p w14:paraId="716DBF8B" w14:textId="77777777" w:rsidR="00E67A01" w:rsidRPr="00E67A01" w:rsidRDefault="00E67A01" w:rsidP="00E67A01">
      <w:pPr>
        <w:rPr>
          <w:lang w:val="en-US"/>
        </w:rPr>
      </w:pPr>
      <w:r w:rsidRPr="00E67A01">
        <w:rPr>
          <w:lang w:val="en-US"/>
        </w:rPr>
        <w:t>Cuando despliegas tu paquete, AEM detecta los archivos de configuración y los aplica a los servicios OSGi correspondientes. La separación en carpetas (config.dev, config.stage, config.prod) te permite tener diferentes configuraciones sin necesidad de modificar el código.</w:t>
      </w:r>
    </w:p>
    <w:p w14:paraId="1A5A2F29" w14:textId="77777777" w:rsidR="00E67A01" w:rsidRPr="00E67A01" w:rsidRDefault="00E67A01" w:rsidP="00E67A01">
      <w:pPr>
        <w:numPr>
          <w:ilvl w:val="0"/>
          <w:numId w:val="4"/>
        </w:numPr>
        <w:rPr>
          <w:lang w:val="en-US"/>
        </w:rPr>
      </w:pPr>
      <w:r w:rsidRPr="00E67A01">
        <w:rPr>
          <w:b/>
          <w:bCs/>
          <w:lang w:val="en-US"/>
        </w:rPr>
        <w:t>En desarrollo:</w:t>
      </w:r>
      <w:r w:rsidRPr="00E67A01">
        <w:rPr>
          <w:lang w:val="en-US"/>
        </w:rPr>
        <w:t xml:space="preserve"> Despliega el paquete con la carpeta /apps/proyecteve/config.dev.</w:t>
      </w:r>
    </w:p>
    <w:p w14:paraId="10CFEE85" w14:textId="77777777" w:rsidR="00E67A01" w:rsidRPr="00E67A01" w:rsidRDefault="00E67A01" w:rsidP="00E67A01">
      <w:pPr>
        <w:numPr>
          <w:ilvl w:val="0"/>
          <w:numId w:val="4"/>
        </w:numPr>
        <w:rPr>
          <w:lang w:val="en-US"/>
        </w:rPr>
      </w:pPr>
      <w:r w:rsidRPr="00E67A01">
        <w:rPr>
          <w:b/>
          <w:bCs/>
          <w:lang w:val="en-US"/>
        </w:rPr>
        <w:t>En staging o producción:</w:t>
      </w:r>
      <w:r w:rsidRPr="00E67A01">
        <w:rPr>
          <w:lang w:val="en-US"/>
        </w:rPr>
        <w:t xml:space="preserve"> Asegúrate de que el paquete incluya la configuración adecuada para ese entorno.</w:t>
      </w:r>
    </w:p>
    <w:p w14:paraId="13FE27C1" w14:textId="77777777" w:rsidR="00E67A01" w:rsidRPr="00E67A01" w:rsidRDefault="00E67A01" w:rsidP="00E67A01">
      <w:pPr>
        <w:rPr>
          <w:lang w:val="en-US"/>
        </w:rPr>
      </w:pPr>
      <w:r w:rsidRPr="00E67A01">
        <w:rPr>
          <w:lang w:val="en-US"/>
        </w:rPr>
        <w:t>En AEM, puedes utilizar CRX/DE o el Package Manager para verificar que la configuración se haya aplicado correctamente en la consola OSGi (por ejemplo, en http://localhost:4502/system/console/configMgr).</w:t>
      </w:r>
    </w:p>
    <w:p w14:paraId="1847DCE0" w14:textId="77777777" w:rsidR="00E67A01" w:rsidRPr="00E67A01" w:rsidRDefault="00E67A01" w:rsidP="00E67A01">
      <w:pPr>
        <w:rPr>
          <w:lang w:val="en-US"/>
        </w:rPr>
      </w:pPr>
      <w:r w:rsidRPr="00E67A01">
        <w:rPr>
          <w:lang w:val="en-US"/>
        </w:rPr>
        <w:pict w14:anchorId="5372F819">
          <v:rect id="_x0000_i1046" style="width:0;height:1.5pt" o:hralign="center" o:hrstd="t" o:hr="t" fillcolor="#a0a0a0" stroked="f"/>
        </w:pict>
      </w:r>
    </w:p>
    <w:p w14:paraId="17F134F9" w14:textId="77777777" w:rsidR="00E67A01" w:rsidRPr="00E67A01" w:rsidRDefault="00E67A01" w:rsidP="00E67A01">
      <w:pPr>
        <w:rPr>
          <w:b/>
          <w:bCs/>
          <w:lang w:val="en-US"/>
        </w:rPr>
      </w:pPr>
      <w:r w:rsidRPr="00E67A01">
        <w:rPr>
          <w:b/>
          <w:bCs/>
          <w:lang w:val="en-US"/>
        </w:rPr>
        <w:t>4. Consideraciones Adicionales</w:t>
      </w:r>
    </w:p>
    <w:p w14:paraId="1B8A05C2" w14:textId="77777777" w:rsidR="00E67A01" w:rsidRPr="00E67A01" w:rsidRDefault="00E67A01" w:rsidP="00E67A01">
      <w:pPr>
        <w:numPr>
          <w:ilvl w:val="0"/>
          <w:numId w:val="5"/>
        </w:numPr>
        <w:rPr>
          <w:lang w:val="en-US"/>
        </w:rPr>
      </w:pPr>
      <w:r w:rsidRPr="00E67A01">
        <w:rPr>
          <w:b/>
          <w:bCs/>
          <w:lang w:val="en-US"/>
        </w:rPr>
        <w:lastRenderedPageBreak/>
        <w:t>Automatización:</w:t>
      </w:r>
      <w:r w:rsidRPr="00E67A01">
        <w:rPr>
          <w:lang w:val="en-US"/>
        </w:rPr>
        <w:br/>
        <w:t>Si dispones de pipelines de CI/CD, puedes automatizar la inyección de la configuración adecuada en cada entorno durante el proceso de despliegue.</w:t>
      </w:r>
    </w:p>
    <w:p w14:paraId="190B9A07" w14:textId="77777777" w:rsidR="00E67A01" w:rsidRPr="00E67A01" w:rsidRDefault="00E67A01" w:rsidP="00E67A01">
      <w:pPr>
        <w:numPr>
          <w:ilvl w:val="0"/>
          <w:numId w:val="5"/>
        </w:numPr>
        <w:rPr>
          <w:lang w:val="en-US"/>
        </w:rPr>
      </w:pPr>
      <w:r w:rsidRPr="00E67A01">
        <w:rPr>
          <w:b/>
          <w:bCs/>
          <w:lang w:val="en-US"/>
        </w:rPr>
        <w:t>Validación:</w:t>
      </w:r>
      <w:r w:rsidRPr="00E67A01">
        <w:rPr>
          <w:lang w:val="en-US"/>
        </w:rPr>
        <w:br/>
        <w:t>Asegúrate de que los valores configurados sean correctos y que tu servicio maneje adecuadamente errores, timeouts y excepciones.</w:t>
      </w:r>
    </w:p>
    <w:p w14:paraId="6D20BB02" w14:textId="77777777" w:rsidR="00E67A01" w:rsidRPr="00E67A01" w:rsidRDefault="00E67A01" w:rsidP="00E67A01">
      <w:pPr>
        <w:numPr>
          <w:ilvl w:val="0"/>
          <w:numId w:val="5"/>
        </w:numPr>
        <w:rPr>
          <w:lang w:val="en-US"/>
        </w:rPr>
      </w:pPr>
      <w:r w:rsidRPr="00E67A01">
        <w:rPr>
          <w:b/>
          <w:bCs/>
          <w:lang w:val="en-US"/>
        </w:rPr>
        <w:t>Documentación:</w:t>
      </w:r>
      <w:r w:rsidRPr="00E67A01">
        <w:rPr>
          <w:lang w:val="en-US"/>
        </w:rPr>
        <w:br/>
        <w:t>Documenta cada uno de estos archivos en tu repositorio para que otros desarrolladores sepan cuál es la configuración esperada para cada entorno.</w:t>
      </w:r>
    </w:p>
    <w:p w14:paraId="54ED92C4" w14:textId="77777777" w:rsidR="00E67A01" w:rsidRDefault="00E67A01"/>
    <w:sectPr w:rsidR="00E67A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B1D82"/>
    <w:multiLevelType w:val="multilevel"/>
    <w:tmpl w:val="8E32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60A62"/>
    <w:multiLevelType w:val="multilevel"/>
    <w:tmpl w:val="06DA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65BAC"/>
    <w:multiLevelType w:val="multilevel"/>
    <w:tmpl w:val="3768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12C4D"/>
    <w:multiLevelType w:val="multilevel"/>
    <w:tmpl w:val="937A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324A6"/>
    <w:multiLevelType w:val="multilevel"/>
    <w:tmpl w:val="7834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599122">
    <w:abstractNumId w:val="3"/>
  </w:num>
  <w:num w:numId="2" w16cid:durableId="730157339">
    <w:abstractNumId w:val="4"/>
  </w:num>
  <w:num w:numId="3" w16cid:durableId="1909420603">
    <w:abstractNumId w:val="2"/>
  </w:num>
  <w:num w:numId="4" w16cid:durableId="872184917">
    <w:abstractNumId w:val="1"/>
  </w:num>
  <w:num w:numId="5" w16cid:durableId="1473332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01"/>
    <w:rsid w:val="00273EF8"/>
    <w:rsid w:val="00E67A01"/>
    <w:rsid w:val="00FD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0E82D"/>
  <w15:chartTrackingRefBased/>
  <w15:docId w15:val="{55557F90-B7AB-4537-98D3-DD1B8827C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E67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7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7A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7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7A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7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7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7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7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7A01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s-C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7A01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s-C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7A01"/>
    <w:rPr>
      <w:rFonts w:eastAsiaTheme="majorEastAsia" w:cstheme="majorBidi"/>
      <w:noProof/>
      <w:color w:val="0F4761" w:themeColor="accent1" w:themeShade="BF"/>
      <w:sz w:val="28"/>
      <w:szCs w:val="28"/>
      <w:lang w:val="es-C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7A01"/>
    <w:rPr>
      <w:rFonts w:eastAsiaTheme="majorEastAsia" w:cstheme="majorBidi"/>
      <w:i/>
      <w:iCs/>
      <w:noProof/>
      <w:color w:val="0F4761" w:themeColor="accent1" w:themeShade="BF"/>
      <w:lang w:val="es-C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7A01"/>
    <w:rPr>
      <w:rFonts w:eastAsiaTheme="majorEastAsia" w:cstheme="majorBidi"/>
      <w:noProof/>
      <w:color w:val="0F4761" w:themeColor="accent1" w:themeShade="BF"/>
      <w:lang w:val="es-C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7A01"/>
    <w:rPr>
      <w:rFonts w:eastAsiaTheme="majorEastAsia" w:cstheme="majorBidi"/>
      <w:i/>
      <w:iCs/>
      <w:noProof/>
      <w:color w:val="595959" w:themeColor="text1" w:themeTint="A6"/>
      <w:lang w:val="es-C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7A01"/>
    <w:rPr>
      <w:rFonts w:eastAsiaTheme="majorEastAsia" w:cstheme="majorBidi"/>
      <w:noProof/>
      <w:color w:val="595959" w:themeColor="text1" w:themeTint="A6"/>
      <w:lang w:val="es-C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7A01"/>
    <w:rPr>
      <w:rFonts w:eastAsiaTheme="majorEastAsia" w:cstheme="majorBidi"/>
      <w:i/>
      <w:iCs/>
      <w:noProof/>
      <w:color w:val="272727" w:themeColor="text1" w:themeTint="D8"/>
      <w:lang w:val="es-C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7A01"/>
    <w:rPr>
      <w:rFonts w:eastAsiaTheme="majorEastAsia" w:cstheme="majorBidi"/>
      <w:noProof/>
      <w:color w:val="272727" w:themeColor="text1" w:themeTint="D8"/>
      <w:lang w:val="es-CL"/>
    </w:rPr>
  </w:style>
  <w:style w:type="paragraph" w:styleId="Ttulo">
    <w:name w:val="Title"/>
    <w:basedOn w:val="Normal"/>
    <w:next w:val="Normal"/>
    <w:link w:val="TtuloCar"/>
    <w:uiPriority w:val="10"/>
    <w:qFormat/>
    <w:rsid w:val="00E67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7A01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CL"/>
    </w:rPr>
  </w:style>
  <w:style w:type="paragraph" w:styleId="Subttulo">
    <w:name w:val="Subtitle"/>
    <w:basedOn w:val="Normal"/>
    <w:next w:val="Normal"/>
    <w:link w:val="SubttuloCar"/>
    <w:uiPriority w:val="11"/>
    <w:qFormat/>
    <w:rsid w:val="00E67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7A01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s-CL"/>
    </w:rPr>
  </w:style>
  <w:style w:type="paragraph" w:styleId="Cita">
    <w:name w:val="Quote"/>
    <w:basedOn w:val="Normal"/>
    <w:next w:val="Normal"/>
    <w:link w:val="CitaCar"/>
    <w:uiPriority w:val="29"/>
    <w:qFormat/>
    <w:rsid w:val="00E67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7A01"/>
    <w:rPr>
      <w:i/>
      <w:iCs/>
      <w:noProof/>
      <w:color w:val="404040" w:themeColor="text1" w:themeTint="BF"/>
      <w:lang w:val="es-CL"/>
    </w:rPr>
  </w:style>
  <w:style w:type="paragraph" w:styleId="Prrafodelista">
    <w:name w:val="List Paragraph"/>
    <w:basedOn w:val="Normal"/>
    <w:uiPriority w:val="34"/>
    <w:qFormat/>
    <w:rsid w:val="00E67A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7A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7A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7A01"/>
    <w:rPr>
      <w:i/>
      <w:iCs/>
      <w:noProof/>
      <w:color w:val="0F4761" w:themeColor="accent1" w:themeShade="BF"/>
      <w:lang w:val="es-CL"/>
    </w:rPr>
  </w:style>
  <w:style w:type="character" w:styleId="Referenciaintensa">
    <w:name w:val="Intense Reference"/>
    <w:basedOn w:val="Fuentedeprrafopredeter"/>
    <w:uiPriority w:val="32"/>
    <w:qFormat/>
    <w:rsid w:val="00E67A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6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39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2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6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evelik quezada</dc:creator>
  <cp:keywords/>
  <dc:description/>
  <cp:lastModifiedBy>evelik quezada</cp:lastModifiedBy>
  <cp:revision>1</cp:revision>
  <dcterms:created xsi:type="dcterms:W3CDTF">2025-04-03T06:51:00Z</dcterms:created>
  <dcterms:modified xsi:type="dcterms:W3CDTF">2025-04-03T06:55:00Z</dcterms:modified>
</cp:coreProperties>
</file>