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the_hundred_year_paradox_why_the_2b0bcb"/>
      <w:r>
        <w:rPr>
          <w:rFonts w:eastAsia="Georgia" w:cs="Georgia" w:ascii="Georgia" w:hAnsi="Georgia"/>
          <w:b/>
          <w:sz w:val="56"/>
        </w:rPr>
        <w:t xml:space="preserve">The Hundred-Year Paradox: Why the World's Favorite Probiotic Still Can't Be Engineered—and How Homologous Recombination Might Finally Change That</w:t>
      </w:r>
      <w:bookmarkEnd w:id="0"/>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a_bug_with_a_century_long_head_start"/>
      <w:r>
        <w:rPr>
          <w:b/>
          <w:sz w:val="42"/>
        </w:rPr>
        <w:t xml:space="preserve">A Bug With a Century-Long Head Start</w:t>
      </w:r>
      <w:bookmarkEnd w:id="1"/>
    </w:p>
    <w:p>
      <w:pPr>
        <w:spacing w:after="210" w:lineRule="auto"/>
      </w:pPr>
      <w:r>
        <w:rPr/>
        <w:t xml:space="preserve">In 1899, a French pediatrician named Henri Tissier peered through a microscope at the Pasteur Institute and spotted strange Y-shaped bacteria teeming in the stool of a healthy, breast-fed infant. He named them </w:t>
      </w:r>
      <w:r>
        <w:rPr>
          <w:i/>
        </w:rPr>
        <w:t xml:space="preserve">Bacillus bifidus</w:t>
      </w:r>
      <w:r>
        <w:rPr>
          <w:rFonts w:eastAsia="Georgia" w:cs="Georgia" w:ascii="Georgia" w:hAnsi="Georgia"/>
        </w:rPr>
        <w:t xml:space="preserve">—"bifid" from the Latin for "split"—and proposed a radical idea for his time: that these microbes were not the enemy, but the ally, and that feeding them back to sick infants could restore health. That idea, more than a century before the word "probiotic" would enter common vocabulary, was essentially the founding act of probiotic therapy.[1][2][3]</w:t>
      </w:r>
    </w:p>
    <w:p>
      <w:pPr>
        <w:spacing w:after="210" w:lineRule="auto"/>
      </w:pPr>
      <w:r>
        <w:rPr/>
        <w:t xml:space="preserve">Since then, </w:t>
      </w:r>
      <w:r>
        <w:rPr>
          <w:i/>
        </w:rPr>
        <w:t xml:space="preserve">Bifidobacterium</w:t>
      </w:r>
      <w:r>
        <w:rPr/>
        <w:t xml:space="preserve"> has become arguably the most culturally and commercially significant genus of gut bacteria on Earth. The global market for Bifidobacterium-based probiotics was valued at nearly $882 million in 2025 and is projected to exceed $1.9 billion by 2035. </w:t>
      </w:r>
      <w:r>
        <w:rPr>
          <w:i/>
        </w:rPr>
        <w:t xml:space="preserve">Bifidobacterium</w:t>
      </w:r>
      <w:r>
        <w:rPr/>
        <w:t xml:space="preserve"> species sit inside yogurt cups on every continent, line supplement shelves, and anchor infant formula worldwide. They are among the first colonizers of the neonatal gut, they modulate the immune system, they break down breast milk sugars that no human enzyme can touch, and they are linked in study after study to benefits ranging from reduced inflammation to better responses to cancer immunotherapy.[4][5][6]</w:t>
      </w:r>
    </w:p>
    <w:p>
      <w:pPr>
        <w:spacing w:after="210" w:lineRule="auto"/>
      </w:pPr>
      <w:r>
        <w:rPr>
          <w:rFonts w:eastAsia="Georgia" w:cs="Georgia" w:ascii="Georgia" w:hAnsi="Georgia"/>
        </w:rPr>
        <w:t xml:space="preserve">And yet, for all this fame, all this money, all this scientific attention—spanning 126 years of continuous study—</w:t>
      </w:r>
      <w:r>
        <w:rPr>
          <w:i/>
        </w:rPr>
        <w:t xml:space="preserve">Bifidobacterium</w:t>
      </w:r>
      <w:r>
        <w:rPr/>
        <w:t xml:space="preserve"> remains one of the most genetically intractable organisms in microbiology. We still cannot reliably edit its genome. We still cannot perform routine gene knockouts the way we can in </w:t>
      </w:r>
      <w:r>
        <w:rPr>
          <w:i/>
        </w:rPr>
        <w:t xml:space="preserve">E. coli</w:t>
      </w:r>
      <w:r>
        <w:rPr/>
        <w:t xml:space="preserve"> or even in many obscure soil bacteria that nobody outside a specialized lab has ever heard of.[7][8]</w:t>
      </w:r>
    </w:p>
    <w:p>
      <w:pPr>
        <w:spacing w:after="210" w:lineRule="auto"/>
      </w:pPr>
      <w:r>
        <w:rPr/>
        <w:t xml:space="preserve">This is the paradox. And recent discoveries about homologous recombination in </w:t>
      </w:r>
      <w:r>
        <w:rPr>
          <w:i/>
        </w:rPr>
        <w:t xml:space="preserve">Bifidobacterium</w:t>
      </w:r>
      <w:r>
        <w:rPr>
          <w:rFonts w:eastAsia="Georgia" w:cs="Georgia" w:ascii="Georgia" w:hAnsi="Georgia"/>
        </w:rPr>
        <w:t xml:space="preserve"> may finally explain why it exists—and how to resolve it.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the_wall_why_bifidobacterium_resi_422dca"/>
      <w:r>
        <w:rPr>
          <w:b/>
          <w:sz w:val="42"/>
        </w:rPr>
        <w:t xml:space="preserve">The Wall: Why Bifidobacterium Resists Genetic Manipulation</w:t>
      </w:r>
      <w:bookmarkEnd w:id="2"/>
    </w:p>
    <w:p>
      <w:pPr>
        <w:spacing w:after="210" w:lineRule="auto"/>
      </w:pPr>
      <w:r>
        <w:rPr/>
        <w:t xml:space="preserve">To understand the paradox, you need to understand the barriers. There are three, and they stack on top of each other like concentric fortifications.</w:t>
      </w:r>
    </w:p>
    <w:p>
      <w:pPr>
        <w:spacing w:line="271" w:before="240" w:lineRule="auto"/>
      </w:pPr>
      <w:bookmarkStart w:id="3" w:name="barrier_1_the_physical_wall"/>
      <w:r>
        <w:rPr>
          <w:b/>
          <w:sz w:val="33"/>
        </w:rPr>
        <w:t xml:space="preserve">Barrier 1: The Physical Wall</w:t>
      </w:r>
      <w:bookmarkEnd w:id="3"/>
    </w:p>
    <w:p>
      <w:pPr>
        <w:spacing w:after="210" w:lineRule="auto"/>
      </w:pPr>
      <w:r>
        <w:rPr>
          <w:i/>
        </w:rPr>
        <w:t xml:space="preserve">Bifidobacterium</w:t>
      </w:r>
      <w:r>
        <w:rPr>
          <w:rFonts w:eastAsia="Georgia" w:cs="Georgia" w:ascii="Georgia" w:hAnsi="Georgia"/>
        </w:rPr>
        <w:t xml:space="preserve"> species are strict anaerobes—they die when exposed to oxygen. This means every experiment must happen inside an anaerobic chamber, which slows everything down. But more importantly, they have unusually thick cell walls and produce exopolysaccharides—a sugary armor coat that physically blocks the entry of foreign DNA during electroporation, the standard method for forcing DNA into bacteria. Even after decades of optimization, transformation efficiencies for most </w:t>
      </w:r>
      <w:r>
        <w:rPr>
          <w:i/>
        </w:rPr>
        <w:t xml:space="preserve">Bifidobacterium</w:t>
      </w:r>
      <w:r>
        <w:rPr>
          <w:rFonts w:eastAsia="Georgia" w:cs="Georgia" w:ascii="Georgia" w:hAnsi="Georgia"/>
        </w:rPr>
        <w:t xml:space="preserve"> strains hover around 10³ colony-forming units per microgram of DNA—orders of magnitude below what is routine in workhorses like </w:t>
      </w:r>
      <w:r>
        <w:rPr>
          <w:i/>
        </w:rPr>
        <w:t xml:space="preserve">E. coli</w:t>
      </w:r>
      <w:r>
        <w:rPr/>
        <w:t xml:space="preserve">.[8][9][10]</w:t>
      </w:r>
    </w:p>
    <w:p>
      <w:pPr>
        <w:spacing w:line="271" w:before="240" w:lineRule="auto"/>
      </w:pPr>
      <w:bookmarkStart w:id="4" w:name="barrier_2_the_immune_system_restr_ae34e9"/>
      <w:r>
        <w:rPr>
          <w:rFonts w:eastAsia="Georgia" w:cs="Georgia" w:ascii="Georgia" w:hAnsi="Georgia"/>
          <w:b/>
          <w:sz w:val="33"/>
        </w:rPr>
        <w:t xml:space="preserve">Barrier 2: The Immune System—Restriction-Modification</w:t>
      </w:r>
      <w:bookmarkEnd w:id="4"/>
    </w:p>
    <w:p>
      <w:pPr>
        <w:spacing w:after="210" w:lineRule="auto"/>
      </w:pPr>
      <w:r>
        <w:rPr/>
        <w:t xml:space="preserve">Even when DNA does get inside a </w:t>
      </w:r>
      <w:r>
        <w:rPr>
          <w:i/>
        </w:rPr>
        <w:t xml:space="preserve">Bifidobacterium</w:t>
      </w:r>
      <w:r>
        <w:rPr>
          <w:rFonts w:eastAsia="Georgia" w:cs="Georgia" w:ascii="Georgia" w:hAnsi="Georgia"/>
        </w:rPr>
        <w:t xml:space="preserve"> cell, it faces a second, even more formidable defense: restriction-modification (R-M) systems. These are essentially the bacterium's innate immune system. R-M systems consist of a pair of enzymes: a methyltransferase that stamps the cell's own DNA with chemical marks (methyl groups) at specific sequences, and a restriction endonuclease that chews up any DNA lacking those marks. Foreign DNA—like the plasmid a scientist just electroporated in—is instantly recognized as alien and destroyed.[11][12]</w:t>
      </w:r>
    </w:p>
    <w:p>
      <w:pPr>
        <w:spacing w:after="210" w:lineRule="auto"/>
      </w:pPr>
      <w:r>
        <w:rPr/>
        <w:t xml:space="preserve">Here is what makes </w:t>
      </w:r>
      <w:r>
        <w:rPr>
          <w:i/>
        </w:rPr>
        <w:t xml:space="preserve">Bifidobacterium</w:t>
      </w:r>
      <w:r>
        <w:rPr>
          <w:rFonts w:eastAsia="Georgia" w:cs="Georgia" w:ascii="Georgia" w:hAnsi="Georgia"/>
        </w:rPr>
        <w:t xml:space="preserve"> especially difficult: it doesn't just have one R-M system. It has many, and they are wildly diverse from strain to strain—even between strains of the same species. A landmark study on </w:t>
      </w:r>
      <w:r>
        <w:rPr>
          <w:i/>
        </w:rPr>
        <w:t xml:space="preserve">B. breve</w:t>
      </w:r>
      <w:r>
        <w:rPr>
          <w:rFonts w:eastAsia="Georgia" w:cs="Georgia" w:ascii="Georgia" w:hAnsi="Georgia"/>
        </w:rPr>
        <w:t xml:space="preserve"> found that R-M systems constitute a substantial fraction of the species' variable genome—the very genes that differ between strains. This means that a protocol painstakingly optimized for one strain, complete with the correct methylation patterns to sneak a plasmid past its defenses, often fails completely in the next strain over. There is no universal key.[13][11]</w:t>
      </w:r>
    </w:p>
    <w:p>
      <w:pPr>
        <w:spacing w:after="210" w:lineRule="auto"/>
      </w:pPr>
      <w:r>
        <w:rPr/>
        <w:t xml:space="preserve">Recent work has shown just how dramatic this barrier is. When researchers systematically knocked out the three restriction enzymes in </w:t>
      </w:r>
      <w:r>
        <w:rPr>
          <w:i/>
        </w:rPr>
        <w:t xml:space="preserve">B. longum</w:t>
      </w:r>
      <w:r>
        <w:rPr>
          <w:rFonts w:eastAsia="Georgia" w:cs="Georgia" w:ascii="Georgia" w:hAnsi="Georgia"/>
        </w:rPr>
        <w:t xml:space="preserve"> NCIMB 8809, transformation efficiency for a large editing plasmid jumped by 300,000-fold—five orders of magnitude. The plasmid hadn't changed. The cell wall hadn't changed. The only difference was removing the molecular shredder on the other side of the wall.[7][13]</w:t>
      </w:r>
    </w:p>
    <w:p>
      <w:pPr>
        <w:spacing w:line="271" w:before="240" w:lineRule="auto"/>
      </w:pPr>
      <w:bookmarkStart w:id="5" w:name="barrier_3_the_recombination_problem"/>
      <w:r>
        <w:rPr>
          <w:b/>
          <w:sz w:val="33"/>
        </w:rPr>
        <w:t xml:space="preserve">Barrier 3: The Recombination Problem</w:t>
      </w:r>
      <w:bookmarkEnd w:id="5"/>
    </w:p>
    <w:p>
      <w:pPr>
        <w:spacing w:after="210" w:lineRule="auto"/>
      </w:pPr>
      <w:r>
        <w:rPr>
          <w:rFonts w:eastAsia="Georgia" w:cs="Georgia" w:ascii="Georgia" w:hAnsi="Georgia"/>
        </w:rPr>
        <w:t xml:space="preserve">Even if DNA makes it inside and survives restriction, the next step in traditional genetic engineering—homologous recombination (HR)—is needed to actually integrate new or modified sequences into the chromosome. In most bacteria used for genetics, HR is a reasonably efficient and predictable process. In </w:t>
      </w:r>
      <w:r>
        <w:rPr>
          <w:i/>
        </w:rPr>
        <w:t xml:space="preserve">Bifidobacterium</w:t>
      </w:r>
      <w:r>
        <w:rPr/>
        <w:t xml:space="preserve">, the conventional wisdom was that HR was rare and difficult to harness, requiring heroic screening efforts to find the handful of cells where the desired crossover actually occurred.[8][7]</w:t>
      </w:r>
    </w:p>
    <w:p>
      <w:pPr>
        <w:spacing w:after="210" w:lineRule="auto"/>
      </w:pPr>
      <w:r>
        <w:rPr>
          <w:rFonts w:eastAsia="Georgia" w:cs="Georgia" w:ascii="Georgia" w:hAnsi="Georgia"/>
        </w:rPr>
        <w:t xml:space="preserve">And this is where the paradox deepens—because the latest data says something very different about HR in </w:t>
      </w:r>
      <w:r>
        <w:rPr>
          <w:i/>
        </w:rPr>
        <w:t xml:space="preserve">Bifidobacterium</w:t>
      </w:r>
      <w:r>
        <w:rPr/>
        <w:t xml:space="preserve">, and the implications are profound.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the_discovery_bifidobacterium_is_a1202d"/>
      <w:r>
        <w:rPr>
          <w:b/>
          <w:sz w:val="42"/>
        </w:rPr>
        <w:t xml:space="preserve">The Discovery: Bifidobacterium Is a Recombination Machine</w:t>
      </w:r>
      <w:bookmarkEnd w:id="6"/>
    </w:p>
    <w:p>
      <w:pPr>
        <w:spacing w:after="210" w:lineRule="auto"/>
      </w:pPr>
      <w:r>
        <w:rPr>
          <w:rFonts w:eastAsia="Georgia" w:cs="Georgia" w:ascii="Georgia" w:hAnsi="Georgia"/>
        </w:rPr>
        <w:t xml:space="preserve">A study of unprecedented scale recently examined the genomes of 28,680 bacterial isolates cultured from 711 human donors—the largest collection of sequenced gut bacterial isolates ever assembled. For each of 96 abundant species, the researchers compared genomes of isolates from the same person (within-person pairs) to those from different people (between-people pairs), looking for signatures of homologous recombination.[14]</w:t>
      </w:r>
    </w:p>
    <w:p>
      <w:pPr>
        <w:spacing w:after="210" w:lineRule="auto"/>
      </w:pPr>
      <w:r>
        <w:rPr/>
        <w:t xml:space="preserve">The results split gut bacteria into two sharply different categories.</w:t>
      </w:r>
    </w:p>
    <w:p>
      <w:pPr>
        <w:spacing w:after="210" w:lineRule="auto"/>
      </w:pPr>
      <w:r>
        <w:rPr>
          <w:rFonts w:eastAsia="Georgia" w:cs="Georgia" w:ascii="Georgia" w:hAnsi="Georgia"/>
        </w:rPr>
        <w:t xml:space="preserve">In most species—</w:t>
      </w:r>
      <w:r>
        <w:rPr>
          <w:i/>
        </w:rPr>
        <w:t xml:space="preserve">Bacteroides uniformis</w:t>
      </w:r>
      <w:r>
        <w:rPr>
          <w:rFonts w:eastAsia="Georgia" w:cs="Georgia" w:ascii="Georgia" w:hAnsi="Georgia"/>
        </w:rPr>
        <w:t xml:space="preserve"> being the textbook example—genomes from the same person formed a tight cluster near 100% average nucleotide identity (ANI), with a small, well-separated second peak at lower ANI representing cases where a person carried two distinct strains. The picture was clean and orderly: within a person, a species' genome is essentially frozen, accumulating only slow point mutations.[14]</w:t>
      </w:r>
    </w:p>
    <w:p>
      <w:pPr>
        <w:spacing w:after="210" w:lineRule="auto"/>
      </w:pPr>
      <w:r>
        <w:rPr>
          <w:i/>
        </w:rPr>
        <w:t xml:space="preserve">Bifidobacterium longum</w:t>
      </w:r>
      <w:r>
        <w:rPr/>
        <w:t xml:space="preserve"> and </w:t>
      </w:r>
      <w:r>
        <w:rPr>
          <w:i/>
        </w:rPr>
        <w:t xml:space="preserve">Bifidobacterium adolescentis</w:t>
      </w:r>
      <w:r>
        <w:rPr/>
        <w:t xml:space="preserve"> looked nothing like this. Instead of a tight peak, within-person pairs formed a broad, continuous smear declining from ANI 100% all the way down to the between-people threshold. Something was scrambling their genomes rapidly, within individual human hosts.[14]</w:t>
      </w:r>
    </w:p>
    <w:p>
      <w:pPr>
        <w:spacing w:after="210" w:lineRule="auto"/>
      </w:pPr>
      <w:r>
        <w:rPr/>
        <w:t xml:space="preserve">That something was homologous recombination. By examining specific donor populations in detail, the researchers found that within a single person, </w:t>
      </w:r>
      <w:r>
        <w:rPr>
          <w:i/>
        </w:rPr>
        <w:t xml:space="preserve">Bifidobacterium</w:t>
      </w:r>
      <w:r>
        <w:rPr>
          <w:rFonts w:eastAsia="Georgia" w:cs="Georgia" w:ascii="Georgia" w:hAnsi="Georgia"/>
        </w:rPr>
        <w:t xml:space="preserve"> strains were swapping large chunks of their chromosomes—segments up to 100 kilobases—with co-resident strains of the same species. In one illustrative case, a donor carried three clades of </w:t>
      </w:r>
      <w:r>
        <w:rPr>
          <w:i/>
        </w:rPr>
        <w:t xml:space="preserve">B. longum</w:t>
      </w:r>
      <w:r>
        <w:rPr/>
        <w:t xml:space="preserve">; one clade had acquired a 100-kb segment from a distantly related co-resident strain, with perfect SNP matching confirming the swap.[14]</w:t>
      </w:r>
    </w:p>
    <w:p>
      <w:pPr>
        <w:spacing w:after="210" w:lineRule="auto"/>
      </w:pPr>
      <w:r>
        <w:rPr/>
        <w:t xml:space="preserve">The numbers were staggering: HR signatures appeared in 23% of within-person </w:t>
      </w:r>
      <w:r>
        <w:rPr>
          <w:i/>
        </w:rPr>
        <w:t xml:space="preserve">B. longum</w:t>
      </w:r>
      <w:r>
        <w:rPr/>
        <w:t xml:space="preserve"> genome pairs and 15% of </w:t>
      </w:r>
      <w:r>
        <w:rPr>
          <w:i/>
        </w:rPr>
        <w:t xml:space="preserve">B. adolescentis</w:t>
      </w:r>
      <w:r>
        <w:rPr/>
        <w:t xml:space="preserve"> pairs. Across the donor population, roughly 60% of people carrying either species harbored isolates showing clear HR signatures. No other abundant gut species came close. </w:t>
      </w:r>
      <w:r>
        <w:rPr>
          <w:i/>
        </w:rPr>
        <w:t xml:space="preserve">Eggerthella lenta</w:t>
      </w:r>
      <w:r>
        <w:rPr/>
        <w:t xml:space="preserve"> showed HR in 23% of donors; most species were near zero.[14]</w:t>
      </w:r>
    </w:p>
    <w:p>
      <w:pPr>
        <w:spacing w:after="210" w:lineRule="auto"/>
      </w:pPr>
      <w:r>
        <w:rPr/>
        <w:t xml:space="preserve">In other words, </w:t>
      </w:r>
      <w:r>
        <w:rPr>
          <w:i/>
        </w:rPr>
        <w:t xml:space="preserve">Bifidobacterium</w:t>
      </w:r>
      <w:r>
        <w:rPr>
          <w:rFonts w:eastAsia="Georgia" w:cs="Georgia" w:ascii="Georgia" w:hAnsi="Georgia"/>
        </w:rPr>
        <w:t xml:space="preserve"> is not a clonal, genetically stable organism quietly sitting in the gut. It is one of the most recombinogenic bacteria in the entire human microbiome—constantly reshuffling large genomic regions among co-resident strains within each person.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the_paradox_explained_hyperactive_404ecb"/>
      <w:r>
        <w:rPr>
          <w:b/>
          <w:sz w:val="42"/>
        </w:rPr>
        <w:t xml:space="preserve">The Paradox Explained: Hyperactive Recombination Meets Hyperactive Defense</w:t>
      </w:r>
      <w:bookmarkEnd w:id="7"/>
    </w:p>
    <w:p>
      <w:pPr>
        <w:spacing w:after="210" w:lineRule="auto"/>
      </w:pPr>
      <w:r>
        <w:rPr/>
        <w:t xml:space="preserve">This finding reframes the entire genetic tools problem. The paradox is not that </w:t>
      </w:r>
      <w:r>
        <w:rPr>
          <w:i/>
        </w:rPr>
        <w:t xml:space="preserve">Bifidobacterium</w:t>
      </w:r>
      <w:r>
        <w:rPr>
          <w:rFonts w:eastAsia="Georgia" w:cs="Georgia" w:ascii="Georgia" w:hAnsi="Georgia"/>
        </w:rPr>
        <w:t xml:space="preserve"> lacks the capacity for recombination—it clearly has it in abundance. The paradox is that this very capacity is entangled with, and possibly a consequence of, the same defense systems that block genetic engineering.</w:t>
      </w:r>
    </w:p>
    <w:p>
      <w:pPr>
        <w:spacing w:after="210" w:lineRule="auto"/>
      </w:pPr>
      <w:r>
        <w:rPr/>
        <w:t xml:space="preserve">Consider the evolutionary logic. A bacterium that constantly recombines large genomic segments with its neighbors faces a serious problem: each time it takes up DNA from a different strain, that DNA carries different R-M methylation patterns. Without robust R-M systems, a hyper-recombinogenic bacterium would be vulnerable to the phages and parasitic elements that ride along on foreign DNA. So the selection pressure is for </w:t>
      </w:r>
      <w:r>
        <w:rPr>
          <w:i/>
        </w:rPr>
        <w:t xml:space="preserve">more</w:t>
      </w:r>
      <w:r>
        <w:rPr>
          <w:rFonts w:eastAsia="Georgia" w:cs="Georgia" w:ascii="Georgia" w:hAnsi="Georgia"/>
        </w:rPr>
        <w:t xml:space="preserve"> R-M systems, not fewer—and indeed, </w:t>
      </w:r>
      <w:r>
        <w:rPr>
          <w:i/>
        </w:rPr>
        <w:t xml:space="preserve">Bifidobacterium</w:t>
      </w:r>
      <w:r>
        <w:rPr/>
        <w:t xml:space="preserve"> genomes are packed with them.[15][11]</w:t>
      </w:r>
    </w:p>
    <w:p>
      <w:pPr>
        <w:spacing w:after="210" w:lineRule="auto"/>
      </w:pPr>
      <w:r>
        <w:rPr>
          <w:rFonts w:eastAsia="Georgia" w:cs="Georgia" w:ascii="Georgia" w:hAnsi="Georgia"/>
        </w:rPr>
        <w:t xml:space="preserve">But this creates a cruel irony for the microbiologist. The very organism whose genome is most naturally plastic—most willing, in principle, to incorporate new DNA by recombination—is also the one that has built the thickest barricade of restriction enzymes to control who gets to play. Natural HR works because it happens between DNA that is already "self"—methylated with the same patterns. The scientist's plasmid, built in </w:t>
      </w:r>
      <w:r>
        <w:rPr>
          <w:i/>
        </w:rPr>
        <w:t xml:space="preserve">E. coli</w:t>
      </w:r>
      <w:r>
        <w:rPr/>
        <w:t xml:space="preserve"> and carrying completely foreign methylation marks, doesn't get past the door.</w:t>
      </w:r>
    </w:p>
    <w:p>
      <w:pPr>
        <w:spacing w:after="210" w:lineRule="auto"/>
      </w:pPr>
      <w:r>
        <w:rPr/>
        <w:t xml:space="preserve">This also explains why genetic tools that work beautifully in one </w:t>
      </w:r>
      <w:r>
        <w:rPr>
          <w:i/>
        </w:rPr>
        <w:t xml:space="preserve">Bifidobacterium</w:t>
      </w:r>
      <w:r>
        <w:rPr/>
        <w:t xml:space="preserve"> strain fail in the next. Each strain has its own unique complement of R-M systems. The diversity of R-M arsenals across strains is itself likely driven by the need to maintain self/non-self discrimination in a genus where genomic exchange with neighbors is rampant. It is an evolutionary arms race, and the scientist trying to introduce a plasmid is an unwitting civilian caught in the crossfire.[11][13]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a_research_plan_from_understandin_700525"/>
      <w:r>
        <w:rPr>
          <w:b/>
          <w:sz w:val="42"/>
        </w:rPr>
        <w:t xml:space="preserve">A Research Plan: From Understanding HR to Building Tools</w:t>
      </w:r>
      <w:bookmarkEnd w:id="8"/>
    </w:p>
    <w:p>
      <w:pPr>
        <w:spacing w:after="210" w:lineRule="auto"/>
      </w:pPr>
      <w:r>
        <w:rPr/>
        <w:t xml:space="preserve">The pieces are now in place for a systematic assault on this problem. Here, we outline a research program in two phases: first, a deep bioinformatic and experimental characterization of HR across all </w:t>
      </w:r>
      <w:r>
        <w:rPr>
          <w:i/>
        </w:rPr>
        <w:t xml:space="preserve">Bifidobacterium</w:t>
      </w:r>
      <w:r>
        <w:rPr/>
        <w:t xml:space="preserve"> species; second, the translation of that understanding into a new generation of genetic tools.</w:t>
      </w:r>
    </w:p>
    <w:p>
      <w:pPr>
        <w:spacing w:line="271" w:before="240" w:lineRule="auto"/>
      </w:pPr>
      <w:bookmarkStart w:id="9" w:name="the_starting_advantage"/>
      <w:r>
        <w:rPr>
          <w:b/>
          <w:sz w:val="33"/>
        </w:rPr>
        <w:t xml:space="preserve">The Starting Advantage</w:t>
      </w:r>
      <w:bookmarkEnd w:id="9"/>
    </w:p>
    <w:p>
      <w:pPr>
        <w:spacing w:after="210" w:lineRule="auto"/>
      </w:pPr>
      <w:r>
        <w:rPr/>
        <w:t xml:space="preserve">The foundation for this program already exists. We have access to:</w:t>
      </w:r>
    </w:p>
    <w:p>
      <w:pPr>
        <w:numPr>
          <w:ilvl w:val="0"/>
          <w:numId w:val="1"/>
        </w:numPr>
        <w:spacing w:lineRule="auto"/>
      </w:pPr>
      <w:r>
        <w:rPr>
          <w:b/>
        </w:rPr>
        <w:t xml:space="preserve">Near-perfect hybrid assemblies</w:t>
      </w:r>
      <w:r>
        <w:rPr/>
        <w:t xml:space="preserve">: Short-read/long-read hybrid sequencing of all available </w:t>
      </w:r>
      <w:r>
        <w:rPr>
          <w:i/>
        </w:rPr>
        <w:t xml:space="preserve">Bifidobacterium</w:t>
      </w:r>
      <w:r>
        <w:rPr>
          <w:rFonts w:eastAsia="Georgia" w:cs="Georgia" w:ascii="Georgia" w:hAnsi="Georgia"/>
        </w:rPr>
        <w:t xml:space="preserve"> isolates will generate closed or near-closed genomes, resolving repeat regions, mobile elements, and R-M system cassettes that are invisible in short-read-only assemblies. This means HR detection will be definitive—no ambiguity from assembly fragmentation.</w:t>
      </w:r>
    </w:p>
    <w:p>
      <w:pPr>
        <w:numPr>
          <w:ilvl w:val="0"/>
          <w:numId w:val="1"/>
        </w:numPr>
        <w:spacing w:lineRule="auto"/>
      </w:pPr>
      <w:r>
        <w:rPr>
          <w:b/>
        </w:rPr>
        <w:t xml:space="preserve">All isolates in the freezer</w:t>
      </w:r>
      <w:r>
        <w:rPr/>
        <w:t xml:space="preserve">: Every genome has a corresponding living culture, ready for experimental validation. Bioinformatic predictions can be tested immediately.</w:t>
      </w:r>
    </w:p>
    <w:p>
      <w:pPr>
        <w:spacing w:line="271" w:before="240" w:lineRule="auto"/>
      </w:pPr>
      <w:bookmarkStart w:id="10" w:name="phase_1_map_the_recombination_landscape"/>
      <w:r>
        <w:rPr>
          <w:b/>
          <w:sz w:val="33"/>
        </w:rPr>
        <w:t xml:space="preserve">Phase 1: Map the Recombination Landscape</w:t>
      </w:r>
      <w:bookmarkEnd w:id="10"/>
    </w:p>
    <w:p>
      <w:pPr>
        <w:spacing w:after="210" w:lineRule="auto"/>
      </w:pPr>
      <w:r>
        <w:rPr>
          <w:b/>
        </w:rPr>
        <w:t xml:space="preserve">Aim 1.1 — Build a pan-species HR atlas.</w:t>
      </w:r>
      <w:r>
        <w:rPr/>
        <w:br w:type="textWrapping"/>
      </w:r>
      <w:r>
        <w:rPr/>
        <w:t xml:space="preserve">Using the hybrid-assembled genomes, systematically detect HR events across all </w:t>
      </w:r>
      <w:r>
        <w:rPr>
          <w:i/>
        </w:rPr>
        <w:t xml:space="preserve">Bifidobacterium</w:t>
      </w:r>
      <w:r>
        <w:rPr/>
        <w:t xml:space="preserve"> species (not just </w:t>
      </w:r>
      <w:r>
        <w:rPr>
          <w:i/>
        </w:rPr>
        <w:t xml:space="preserve">B. longum</w:t>
      </w:r>
      <w:r>
        <w:rPr/>
        <w:t xml:space="preserve"> and </w:t>
      </w:r>
      <w:r>
        <w:rPr>
          <w:i/>
        </w:rPr>
        <w:t xml:space="preserve">B. adolescentis</w:t>
      </w:r>
      <w:r>
        <w:rPr/>
        <w:t xml:space="preserve">) using the SNP-density signature method validated in the Zhao et al. study. For each species, quantify: (a) the fraction of genome pairs with HR signatures, (b) the fraction of donors with HR, (c) the size distribution of recombined segments, and (d) the genomic locations of recombination hotspots. Tools like ClonalFrameML and Approximate Bayesian Computation methods can complement and cross-validate the direct SNP-density approach, and the RCandy package can visualize recombination landscapes across whole genomes.[16][17][18][14]</w:t>
      </w:r>
    </w:p>
    <w:p>
      <w:pPr>
        <w:spacing w:after="210" w:lineRule="auto"/>
      </w:pPr>
      <w:r>
        <w:rPr>
          <w:b/>
        </w:rPr>
        <w:t xml:space="preserve">Aim 1.2 — Map R-M systems and methylation patterns.</w:t>
      </w:r>
      <w:r>
        <w:rPr/>
        <w:br w:type="textWrapping"/>
      </w:r>
      <w:r>
        <w:rPr>
          <w:rFonts w:eastAsia="Georgia" w:cs="Georgia" w:ascii="Georgia" w:hAnsi="Georgia"/>
        </w:rPr>
        <w:t xml:space="preserve">Using PacBio and nanopore data from the hybrid assemblies, call methylation motifs genome-wide for every isolate. Catalog every R-M system—Type I, II, III, and IV—across the entire collection. Build a database linking each strain's R-M complement to its methylation profile, enabling prediction of which foreign DNA sequences will be tolerated and which will be destroyed.</w:t>
      </w:r>
    </w:p>
    <w:p>
      <w:pPr>
        <w:spacing w:after="210" w:lineRule="auto"/>
      </w:pPr>
      <w:r>
        <w:rPr>
          <w:b/>
        </w:rPr>
        <w:t xml:space="preserve">Aim 1.3 — Correlate HR with R-M diversity.</w:t>
      </w:r>
      <w:r>
        <w:rPr/>
        <w:br w:type="textWrapping"/>
      </w:r>
      <w:r>
        <w:rPr/>
        <w:t xml:space="preserve">Test the central hypothesis: do species and strains with higher HR rates also carry more diverse R-M systems? Is there a quantitative relationship between recombination frequency and the number or type of R-M barriers? This analysis, only possible with hundreds to thousands of genomes per species, will reveal whether HR and R-M truly co-evolve in </w:t>
      </w:r>
      <w:r>
        <w:rPr>
          <w:i/>
        </w:rPr>
        <w:t xml:space="preserve">Bifidobacterium</w:t>
      </w:r>
      <w:r>
        <w:rPr/>
        <w:t xml:space="preserve">.</w:t>
      </w:r>
    </w:p>
    <w:p>
      <w:pPr>
        <w:spacing w:after="210" w:lineRule="auto"/>
      </w:pPr>
      <w:r>
        <w:rPr>
          <w:b/>
        </w:rPr>
        <w:t xml:space="preserve">Aim 1.4 — Identify the recombination machinery.</w:t>
      </w:r>
      <w:r>
        <w:rPr/>
        <w:br w:type="textWrapping"/>
      </w:r>
      <w:r>
        <w:rPr/>
        <w:t xml:space="preserve">What proteins mediate the exceptionally high HR in </w:t>
      </w:r>
      <w:r>
        <w:rPr>
          <w:i/>
        </w:rPr>
        <w:t xml:space="preserve">Bifidobacterium</w:t>
      </w:r>
      <w:r>
        <w:rPr/>
        <w:t xml:space="preserve">? Are RecA, RecBCD/AddAB, and RecFOR systems sufficient, or are there novel recombinases? Comparative genomics across species with high and low HR rates, combined with gene neighborhood analysis, will nominate candidates. These may include prophage-encoded recombinases or novel enzymes unique to Actinobacteria.[19][20]</w:t>
      </w:r>
    </w:p>
    <w:p>
      <w:pPr>
        <w:spacing w:after="210" w:lineRule="auto"/>
      </w:pPr>
      <w:r>
        <w:rPr>
          <w:b/>
        </w:rPr>
        <w:t xml:space="preserve">Aim 1.5 — Experimental validation of HR.</w:t>
      </w:r>
      <w:r>
        <w:rPr/>
        <w:br w:type="textWrapping"/>
      </w:r>
      <w:r>
        <w:rPr/>
        <w:t xml:space="preserve">Select donor-strain triads where bioinformatics predicts specific HR events (e.g., a 100-kb swap between strain A and strain B within a donor). Co-culture the parental strains in vitro and screen for recombinant offspring by sequencing, confirming that HR can be reproduced outside the human gut. Vary conditions (cell density, growth phase, stress) to identify parameters that promote or suppress recombination.</w:t>
      </w:r>
    </w:p>
    <w:p>
      <w:pPr>
        <w:spacing w:line="271" w:before="240" w:lineRule="auto"/>
      </w:pPr>
      <w:bookmarkStart w:id="11" w:name="phase_2_translate_hr_understandin_3c5351"/>
      <w:r>
        <w:rPr>
          <w:b/>
          <w:sz w:val="33"/>
        </w:rPr>
        <w:t xml:space="preserve">Phase 2: Translate HR Understanding Into Genetic Tools</w:t>
      </w:r>
      <w:bookmarkEnd w:id="11"/>
    </w:p>
    <w:p>
      <w:pPr>
        <w:spacing w:after="210" w:lineRule="auto"/>
      </w:pPr>
      <w:r>
        <w:rPr>
          <w:b/>
        </w:rPr>
        <w:t xml:space="preserve">Aim 2.1 — Build a universal R-M bypass toolkit.</w:t>
      </w:r>
      <w:r>
        <w:rPr/>
        <w:br w:type="textWrapping"/>
      </w:r>
      <w:r>
        <w:rPr/>
        <w:t xml:space="preserve">Using the R-M database from Phase 1, construct a panel of </w:t>
      </w:r>
      <w:r>
        <w:rPr>
          <w:i/>
        </w:rPr>
        <w:t xml:space="preserve">E. coli</w:t>
      </w:r>
      <w:r>
        <w:rPr/>
        <w:t xml:space="preserve"> strains each expressing a different combination of </w:t>
      </w:r>
      <w:r>
        <w:rPr>
          <w:i/>
        </w:rPr>
        <w:t xml:space="preserve">Bifidobacterium</w:t>
      </w:r>
      <w:r>
        <w:rPr/>
        <w:t xml:space="preserve"> methyltransferases. For any target </w:t>
      </w:r>
      <w:r>
        <w:rPr>
          <w:i/>
        </w:rPr>
        <w:t xml:space="preserve">Bifidobacterium</w:t>
      </w:r>
      <w:r>
        <w:rPr/>
        <w:t xml:space="preserve"> strain, the user looks up its R-M profile in the database, selects the matching methyltransferase cocktail, propagates their plasmid through the corresponding </w:t>
      </w:r>
      <w:r>
        <w:rPr>
          <w:i/>
        </w:rPr>
        <w:t xml:space="preserve">E. coli</w:t>
      </w:r>
      <w:r>
        <w:rPr>
          <w:rFonts w:eastAsia="Georgia" w:cs="Georgia" w:ascii="Georgia" w:hAnsi="Georgia"/>
        </w:rPr>
        <w:t xml:space="preserve"> host, and transforms pre-methylated DNA into the target strain. This approach has already demonstrated 10⁵-fold improvements in transformation efficiency for specific strains; the goal is to generalize it across the genus.[13]</w:t>
      </w:r>
    </w:p>
    <w:p>
      <w:pPr>
        <w:spacing w:after="210" w:lineRule="auto"/>
      </w:pPr>
      <w:r>
        <w:rPr>
          <w:b/>
        </w:rPr>
        <w:t xml:space="preserve">Aim 2.2 — Engineer R-M-free chassis strains.</w:t>
      </w:r>
      <w:r>
        <w:rPr/>
        <w:br w:type="textWrapping"/>
      </w:r>
      <w:r>
        <w:rPr/>
        <w:t xml:space="preserve">For the most important species (</w:t>
      </w:r>
      <w:r>
        <w:rPr>
          <w:i/>
        </w:rPr>
        <w:t xml:space="preserve">B. longum</w:t>
      </w:r>
      <w:r>
        <w:rPr/>
        <w:t xml:space="preserve">, </w:t>
      </w:r>
      <w:r>
        <w:rPr>
          <w:i/>
        </w:rPr>
        <w:t xml:space="preserve">B. adolescentis</w:t>
      </w:r>
      <w:r>
        <w:rPr/>
        <w:t xml:space="preserve">, </w:t>
      </w:r>
      <w:r>
        <w:rPr>
          <w:i/>
        </w:rPr>
        <w:t xml:space="preserve">B. breve</w:t>
      </w:r>
      <w:r>
        <w:rPr/>
        <w:t xml:space="preserve">, </w:t>
      </w:r>
      <w:r>
        <w:rPr>
          <w:i/>
        </w:rPr>
        <w:t xml:space="preserve">B. infantis</w:t>
      </w:r>
      <w:r>
        <w:rPr/>
        <w:t xml:space="preserve">, </w:t>
      </w:r>
      <w:r>
        <w:rPr>
          <w:i/>
        </w:rPr>
        <w:t xml:space="preserve">B. animalis</w:t>
      </w:r>
      <w:r>
        <w:rPr/>
        <w:t xml:space="preserve">), use existing CRISPR base editors or CRISPRi tools to sequentially knock out all restriction endonuclease genes, creating "open" chassis strains that accept any DNA. These strains would serve as both cloning intermediates (producing correctly methylated DNA for wild-type strains) and as primary engineering platforms.[8][13]</w:t>
      </w:r>
    </w:p>
    <w:p>
      <w:pPr>
        <w:spacing w:after="210" w:lineRule="auto"/>
      </w:pPr>
      <w:r>
        <w:rPr>
          <w:b/>
        </w:rPr>
        <w:t xml:space="preserve">Aim 2.3 — Harness natural HR for markerless editing.</w:t>
      </w:r>
      <w:r>
        <w:rPr/>
        <w:br w:type="textWrapping"/>
      </w:r>
      <w:r>
        <w:rPr/>
        <w:t xml:space="preserve">If natural HR in </w:t>
      </w:r>
      <w:r>
        <w:rPr>
          <w:i/>
        </w:rPr>
        <w:t xml:space="preserve">Bifidobacterium</w:t>
      </w:r>
      <w:r>
        <w:rPr>
          <w:rFonts w:eastAsia="Georgia" w:cs="Georgia" w:ascii="Georgia" w:hAnsi="Georgia"/>
        </w:rPr>
        <w:t xml:space="preserve"> is as robust as the genomic data suggests, it may be possible to perform recombineering—introducing linear DNA with flanking homology arms and letting the cell's own recombination machinery do the rest—without the counter-selection cassettes and suicide vectors currently required. The key experiments: electroplate linear DNA with homology arms into R-M-bypassed or R-M-free strains and measure recombination rates directly. If the endogenous HR machinery is sufficient, this eliminates the need for complex CRISPR constructs entirely.</w:t>
      </w:r>
    </w:p>
    <w:p>
      <w:pPr>
        <w:spacing w:after="210" w:lineRule="auto"/>
      </w:pPr>
      <w:r>
        <w:rPr>
          <w:b/>
        </w:rPr>
        <w:t xml:space="preserve">Aim 2.4 — Develop HR-aware vector design rules.</w:t>
      </w:r>
      <w:r>
        <w:rPr/>
        <w:br w:type="textWrapping"/>
      </w:r>
      <w:r>
        <w:rPr>
          <w:rFonts w:eastAsia="Georgia" w:cs="Georgia" w:ascii="Georgia" w:hAnsi="Georgia"/>
        </w:rPr>
        <w:t xml:space="preserve">The recombination hotspot map from Phase 1 will reveal which genomic regions are most accessible to HR. Design integration vectors that target these hotspots, maximizing the probability of successful recombination. Conversely, identify "cold spots" where inserted sequences will be stably maintained without being shuffled away by subsequent HR events—essential for any engineered strain intended for therapeutic or industrial use.</w:t>
      </w:r>
    </w:p>
    <w:p>
      <w:pPr>
        <w:spacing w:after="210" w:lineRule="auto"/>
      </w:pPr>
      <w:r>
        <w:rPr>
          <w:b/>
        </w:rPr>
        <w:t xml:space="preserve">Aim 2.5 — From single-gene edits to genome-scale libraries.</w:t>
      </w:r>
      <w:r>
        <w:rPr/>
        <w:br w:type="textWrapping"/>
      </w:r>
      <w:r>
        <w:rPr/>
        <w:t xml:space="preserve">With efficient transformation (via R-M bypass) and efficient recombination (via natural HR at hotspots), the final goal is to build transposon libraries, saturation mutagenesis screens, or CRISPR interference libraries across entire </w:t>
      </w:r>
      <w:r>
        <w:rPr>
          <w:i/>
        </w:rPr>
        <w:t xml:space="preserve">Bifidobacterium</w:t>
      </w:r>
      <w:r>
        <w:rPr>
          <w:rFonts w:eastAsia="Georgia" w:cs="Georgia" w:ascii="Georgia" w:hAnsi="Georgia"/>
        </w:rPr>
        <w:t xml:space="preserve"> genomes—the kind of functional genomics that has been routine in </w:t>
      </w:r>
      <w:r>
        <w:rPr>
          <w:i/>
        </w:rPr>
        <w:t xml:space="preserve">E. coli</w:t>
      </w:r>
      <w:r>
        <w:rPr/>
        <w:t xml:space="preserve"> for decades but has never been possible in the genus that arguably matters most for human health.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why_this_matters"/>
      <w:r>
        <w:rPr>
          <w:b/>
          <w:sz w:val="42"/>
        </w:rPr>
        <w:t xml:space="preserve">Why This Matters</w:t>
      </w:r>
      <w:bookmarkEnd w:id="12"/>
    </w:p>
    <w:p>
      <w:pPr>
        <w:spacing w:after="210" w:lineRule="auto"/>
      </w:pPr>
      <w:r>
        <w:rPr>
          <w:i/>
        </w:rPr>
        <w:t xml:space="preserve">Bifidobacterium</w:t>
      </w:r>
      <w:r>
        <w:rPr>
          <w:rFonts w:eastAsia="Georgia" w:cs="Georgia" w:ascii="Georgia" w:hAnsi="Georgia"/>
        </w:rPr>
        <w:t xml:space="preserve"> is not a curiosity. It is the dominant bacterium in the infant gut, a lifelong resident of the adult microbiome, a $13-billion-dollar commercial organism, and one of the most promising platforms for engineered live biotherapeutics. Yet we understand its biology through an almost entirely correlational lens—we know </w:t>
      </w:r>
      <w:r>
        <w:rPr>
          <w:i/>
        </w:rPr>
        <w:t xml:space="preserve">what</w:t>
      </w:r>
      <w:r>
        <w:rPr/>
        <w:t xml:space="preserve"> it does by association, but we can rarely prove </w:t>
      </w:r>
      <w:r>
        <w:rPr>
          <w:i/>
        </w:rPr>
        <w:t xml:space="preserve">why</w:t>
      </w:r>
      <w:r>
        <w:rPr/>
        <w:t xml:space="preserve"> by making targeted mutations and observing the consequences.[21][8]</w:t>
      </w:r>
    </w:p>
    <w:p>
      <w:pPr>
        <w:spacing w:after="210" w:lineRule="auto"/>
      </w:pPr>
      <w:r>
        <w:rPr/>
        <w:t xml:space="preserve">The discovery that </w:t>
      </w:r>
      <w:r>
        <w:rPr>
          <w:i/>
        </w:rPr>
        <w:t xml:space="preserve">Bifidobacterium</w:t>
      </w:r>
      <w:r>
        <w:rPr>
          <w:rFonts w:eastAsia="Georgia" w:cs="Georgia" w:ascii="Georgia" w:hAnsi="Georgia"/>
        </w:rPr>
        <w:t xml:space="preserve"> is hyper-recombinogenic does not just explain the genetic tools bottleneck. It reveals an organism whose fundamental biology—its strategy for adapting to individual human hosts—is built on a capacity for genome remodeling that, if properly understood and harnessed, could become the very engine of the tools we need.[14]</w:t>
      </w:r>
    </w:p>
    <w:p>
      <w:pPr>
        <w:spacing w:after="210" w:lineRule="auto"/>
      </w:pPr>
      <w:r>
        <w:rPr/>
        <w:t xml:space="preserve">For 126 years, </w:t>
      </w:r>
      <w:r>
        <w:rPr>
          <w:i/>
        </w:rPr>
        <w:t xml:space="preserve">Bifidobacterium</w:t>
      </w:r>
      <w:r>
        <w:rPr>
          <w:rFonts w:eastAsia="Georgia" w:cs="Georgia" w:ascii="Georgia" w:hAnsi="Georgia"/>
        </w:rPr>
        <w:t xml:space="preserve">'s defenses have kept scientists out. The irony is that the key to getting in may have been hiding in the very genomes we were trying to edit—written in the patterns of recombination that only now, with thousands of genomes from hundreds of people, we can finally see.</w:t>
      </w:r>
    </w:p>
    <w:p>
      <w:pPr>
        <w:spacing w:lineRule="auto"/>
      </w:pPr>
      <w:r>
        <w:rPr>
          <w:noProof/>
        </w:rPr>
        <w:pict>
          <v:rect alt="" style="width:434.5pt;height:.05pt;mso-width-percent:0;mso-height-percent:0;mso-width-percent:0;mso-height-percent:0" o:hralign="center" o:hrstd="t" o:hr="t"/>
        </w:pict>
      </w:r>
    </w:p>
    <w:p>
      <w:pPr>
        <w:spacing w:after="210" w:lineRule="auto"/>
      </w:pPr>
      <w:r>
        <w:rPr>
          <w:i/>
        </w:rPr>
        <w:t xml:space="preserve">This essay draws on findings from Zhao et al., "A Cultured Strain Atlas of the Human Gut Microbiome" (Cell Host &amp; Microbe, under revision), which analyzed 28,680 isolate genomes from 711 donors, alongside recent advances in CRISPR-based editing and R-M system characterization in Bifidobacterium.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references"/>
      <w:r>
        <w:rPr>
          <w:b/>
          <w:sz w:val="42"/>
        </w:rPr>
        <w:t xml:space="preserve">References</w:t>
      </w:r>
      <w:bookmarkEnd w:id="13"/>
    </w:p>
    <w:p>
      <w:pPr>
        <w:numPr>
          <w:ilvl w:val="0"/>
          <w:numId w:val="2"/>
        </w:numPr>
        <w:spacing w:after="210" w:lineRule="auto"/>
      </w:pPr>
      <w:hyperlink r:id="rId5">
        <w:r>
          <w:rPr>
            <w:color w:val="4472C4"/>
          </w:rPr>
          <w:t xml:space="preserve">Bifidobacterium bifidum: The Infant Gut Guardian - BugSpeaks</w:t>
        </w:r>
      </w:hyperlink>
      <w:r>
        <w:rPr/>
        <w:t xml:space="preserve"> - Bifidobacterium is closely tied to the origins of microbiology and probiotic science, beginning in 1...</w:t>
      </w:r>
    </w:p>
    <w:p>
      <w:pPr>
        <w:numPr>
          <w:ilvl w:val="0"/>
          <w:numId w:val="2"/>
        </w:numPr>
        <w:spacing w:after="210" w:lineRule="auto"/>
      </w:pPr>
      <w:hyperlink r:id="rId6">
        <w:r>
          <w:rPr>
            <w:rFonts w:eastAsia="Georgia" w:cs="Georgia" w:ascii="Georgia" w:hAnsi="Georgia"/>
            <w:color w:val="4472C4"/>
          </w:rPr>
          <w:t xml:space="preserve">Bifidobacteria｜Innovation Story｜R&amp;D｜MORINAGA MILK</w:t>
        </w:r>
      </w:hyperlink>
      <w:r>
        <w:rPr/>
        <w:t xml:space="preserve"> - In 1899, Dr. Henry Tissier of the Pasteur Institute in France discovered bifidobacteria in the stool...</w:t>
      </w:r>
    </w:p>
    <w:p>
      <w:pPr>
        <w:numPr>
          <w:ilvl w:val="0"/>
          <w:numId w:val="2"/>
        </w:numPr>
        <w:spacing w:after="210" w:lineRule="auto"/>
      </w:pPr>
      <w:hyperlink r:id="rId7">
        <w:r>
          <w:rPr>
            <w:color w:val="4472C4"/>
          </w:rPr>
          <w:t xml:space="preserve">Bifidobacterium bifidum as an example of a specialized human gut ...</w:t>
        </w:r>
      </w:hyperlink>
      <w:r>
        <w:rPr/>
        <w:t xml:space="preserve"> - ... Tissier in 1899, and then named Bacillus bifidus (Tissier, 1900). However, because of their morp...</w:t>
      </w:r>
    </w:p>
    <w:p>
      <w:pPr>
        <w:numPr>
          <w:ilvl w:val="0"/>
          <w:numId w:val="2"/>
        </w:numPr>
        <w:spacing w:after="210" w:lineRule="auto"/>
      </w:pPr>
      <w:hyperlink r:id="rId8">
        <w:r>
          <w:rPr>
            <w:color w:val="4472C4"/>
          </w:rPr>
          <w:t xml:space="preserve">Bifidobacterium Market | Global Market Analysis Report - 2035</w:t>
        </w:r>
      </w:hyperlink>
      <w:r>
        <w:rPr/>
        <w:t xml:space="preserve"> - Bifidobacterium Market was worth USD 881.8 million in 2025, and is predicted to grow to USD 1903.7 m...</w:t>
      </w:r>
    </w:p>
    <w:p>
      <w:pPr>
        <w:numPr>
          <w:ilvl w:val="0"/>
          <w:numId w:val="2"/>
        </w:numPr>
        <w:spacing w:after="210" w:lineRule="auto"/>
      </w:pPr>
      <w:hyperlink r:id="rId9">
        <w:r>
          <w:rPr>
            <w:color w:val="4472C4"/>
          </w:rPr>
          <w:t xml:space="preserve">Bifidobacterium - an overview | ScienceDirect Topics</w:t>
        </w:r>
      </w:hyperlink>
      <w:r>
        <w:rPr/>
        <w:t xml:space="preserve"> - Originally bifidobacteria were isolated from stool samples of breast-fed infants in 1899 by Tissier ...</w:t>
      </w:r>
    </w:p>
    <w:p>
      <w:pPr>
        <w:numPr>
          <w:ilvl w:val="0"/>
          <w:numId w:val="2"/>
        </w:numPr>
        <w:spacing w:after="210" w:lineRule="auto"/>
      </w:pPr>
      <w:hyperlink r:id="rId10">
        <w:r>
          <w:rPr>
            <w:color w:val="4472C4"/>
          </w:rPr>
          <w:t xml:space="preserve">Bifidobacteria and Their Role as Members of the Human Gut ... - PMC</w:t>
        </w:r>
      </w:hyperlink>
      <w:r>
        <w:rPr/>
        <w:t xml:space="preserve"> - Members of the genus Bifidobacterium are among the first microbes to colonize the human gastrointest...</w:t>
      </w:r>
    </w:p>
    <w:p>
      <w:pPr>
        <w:numPr>
          <w:ilvl w:val="0"/>
          <w:numId w:val="2"/>
        </w:numPr>
        <w:spacing w:after="210" w:lineRule="auto"/>
      </w:pPr>
      <w:hyperlink r:id="rId11">
        <w:r>
          <w:rPr>
            <w:color w:val="4472C4"/>
          </w:rPr>
          <w:t xml:space="preserve">Highly efficient CRISPR-Cas9 base editing in Bifidobacterium with ...</w:t>
        </w:r>
      </w:hyperlink>
      <w:r>
        <w:rPr/>
        <w:t xml:space="preserve"> - Conventional genetic manipulation of Bifidobacterium strains relied heavily on homologous recombinat...</w:t>
      </w:r>
    </w:p>
    <w:p>
      <w:pPr>
        <w:numPr>
          <w:ilvl w:val="0"/>
          <w:numId w:val="2"/>
        </w:numPr>
        <w:spacing w:after="210" w:lineRule="auto"/>
      </w:pPr>
      <w:hyperlink r:id="rId12">
        <w:r>
          <w:rPr>
            <w:color w:val="4472C4"/>
          </w:rPr>
          <w:t xml:space="preserve">A CRISPRi Gene Regulation System for Bifidobacteria - PMC</w:t>
        </w:r>
      </w:hyperlink>
      <w:r>
        <w:rPr/>
        <w:t xml:space="preserve"> - However, bifidobacteria are notoriously recalcitrant to genetic manipulation which has hindered the ...</w:t>
      </w:r>
    </w:p>
    <w:p>
      <w:pPr>
        <w:numPr>
          <w:ilvl w:val="0"/>
          <w:numId w:val="2"/>
        </w:numPr>
        <w:spacing w:after="210" w:lineRule="auto"/>
      </w:pPr>
      <w:hyperlink r:id="rId13">
        <w:r>
          <w:rPr>
            <w:color w:val="4472C4"/>
          </w:rPr>
          <w:t xml:space="preserve">Improvement of electroporation-mediated transformation efficiency ...</w:t>
        </w:r>
      </w:hyperlink>
      <w:r>
        <w:rPr/>
        <w:t xml:space="preserve"> - The aim of this study is to improve the electroporation-mediated transformation efficiency of bifido...</w:t>
      </w:r>
    </w:p>
    <w:p>
      <w:pPr>
        <w:numPr>
          <w:ilvl w:val="0"/>
          <w:numId w:val="2"/>
        </w:numPr>
        <w:spacing w:after="210" w:lineRule="auto"/>
      </w:pPr>
      <w:hyperlink r:id="rId14">
        <w:r>
          <w:rPr>
            <w:color w:val="4472C4"/>
          </w:rPr>
          <w:t xml:space="preserve">Improvement of electroporation-mediated transformation efficiency ...</w:t>
        </w:r>
      </w:hyperlink>
      <w:r>
        <w:rPr/>
        <w:t xml:space="preserve"> - The aim of this study is to improve the electroporation-mediated transformation efficiency of bifido...</w:t>
      </w:r>
    </w:p>
    <w:p>
      <w:pPr>
        <w:numPr>
          <w:ilvl w:val="0"/>
          <w:numId w:val="2"/>
        </w:numPr>
        <w:spacing w:after="210" w:lineRule="auto"/>
      </w:pPr>
      <w:hyperlink r:id="rId15">
        <w:r>
          <w:rPr>
            <w:color w:val="4472C4"/>
          </w:rPr>
          <w:t xml:space="preserve">Comparative genome and methylome analysis reveals restriction ...</w:t>
        </w:r>
      </w:hyperlink>
      <w:r>
        <w:rPr>
          <w:rFonts w:eastAsia="Georgia" w:cs="Georgia" w:ascii="Georgia" w:hAnsi="Georgia"/>
        </w:rPr>
        <w:t xml:space="preserve"> - R/M systems are relevant for the study of bifidobacteria as they obstruct genetic accessibility (18–...</w:t>
      </w:r>
    </w:p>
    <w:p>
      <w:pPr>
        <w:numPr>
          <w:ilvl w:val="0"/>
          <w:numId w:val="2"/>
        </w:numPr>
        <w:spacing w:after="210" w:lineRule="auto"/>
      </w:pPr>
      <w:hyperlink r:id="rId16">
        <w:r>
          <w:rPr>
            <w:color w:val="4472C4"/>
          </w:rPr>
          <w:t xml:space="preserve">Identification of Restriction-Modification Systems of Bifidobacterium ...</w:t>
        </w:r>
      </w:hyperlink>
      <w:r>
        <w:rPr/>
        <w:t xml:space="preserve"> - Restriction-modification (R-M) systems have been identified as key obstacles in the genetic accessib...</w:t>
      </w:r>
    </w:p>
    <w:p>
      <w:pPr>
        <w:numPr>
          <w:ilvl w:val="0"/>
          <w:numId w:val="2"/>
        </w:numPr>
        <w:spacing w:after="210" w:lineRule="auto"/>
      </w:pPr>
      <w:hyperlink r:id="rId17">
        <w:r>
          <w:rPr>
            <w:color w:val="4472C4"/>
          </w:rPr>
          <w:t xml:space="preserve">Highly efficient CRISPR-Cas9 base editing in Bifidobacterium with ...</w:t>
        </w:r>
      </w:hyperlink>
      <w:r>
        <w:rPr/>
        <w:t xml:space="preserve"> - However, the paucity of genetic tools and the widespread restriction modification (RM) systems in Bi...</w:t>
      </w:r>
    </w:p>
    <w:p>
      <w:pPr>
        <w:numPr>
          <w:ilvl w:val="0"/>
          <w:numId w:val="2"/>
        </w:numPr>
        <w:spacing w:after="210" w:lineRule="auto"/>
      </w:pPr>
      <w:hyperlink r:id="rId18">
        <w:r>
          <w:rPr>
            <w:color w:val="4472C4"/>
          </w:rPr>
          <w:t xml:space="preserve">Fu-Jian-10.pdf</w:t>
        </w:r>
      </w:hyperlink>
      <w:r>
        <w:rPr/>
        <w:t xml:space="preserve"> - Microsoft Word - Zhao,Cell Host Microbe, under revision.docx</w:t>
      </w:r>
    </w:p>
    <w:p>
      <w:pPr>
        <w:numPr>
          <w:ilvl w:val="0"/>
          <w:numId w:val="2"/>
        </w:numPr>
        <w:spacing w:after="210" w:lineRule="auto"/>
      </w:pPr>
      <w:hyperlink r:id="rId19">
        <w:r>
          <w:rPr>
            <w:color w:val="4472C4"/>
          </w:rPr>
          <w:t xml:space="preserve">Diverse defense systems and prophages in human-associated ...</w:t>
        </w:r>
      </w:hyperlink>
      <w:r>
        <w:rPr>
          <w:rFonts w:eastAsia="Georgia" w:cs="Georgia" w:ascii="Georgia" w:hAnsi="Georgia"/>
        </w:rPr>
        <w:t xml:space="preserve"> - For this study, the Bifidobacterium strains had a median genome size of ∼2.3 Mbp, ranging from just ...</w:t>
      </w:r>
    </w:p>
    <w:p>
      <w:pPr>
        <w:numPr>
          <w:ilvl w:val="0"/>
          <w:numId w:val="2"/>
        </w:numPr>
        <w:spacing w:after="210" w:lineRule="auto"/>
      </w:pPr>
      <w:hyperlink r:id="rId20">
        <w:r>
          <w:rPr>
            <w:color w:val="4472C4"/>
          </w:rPr>
          <w:t xml:space="preserve">Efficient Inference of Recombination in Whole Bacterial Genomes</w:t>
        </w:r>
      </w:hyperlink>
      <w:r>
        <w:rPr/>
        <w:t xml:space="preserve"> - Here we present ClonalFrameML, which uses maximum likelihood inference to simultaneously detect reco...</w:t>
      </w:r>
    </w:p>
    <w:p>
      <w:pPr>
        <w:numPr>
          <w:ilvl w:val="0"/>
          <w:numId w:val="2"/>
        </w:numPr>
        <w:spacing w:after="210" w:lineRule="auto"/>
      </w:pPr>
      <w:hyperlink r:id="rId21">
        <w:r>
          <w:rPr>
            <w:color w:val="4472C4"/>
          </w:rPr>
          <w:t xml:space="preserve">Evolution of homologous recombination rates across bacteria - PNAS</w:t>
        </w:r>
      </w:hyperlink>
      <w:r>
        <w:rPr/>
        <w:t xml:space="preserve"> - Homologous recombination is a fundamental mechanism driving the evolution of bacteria. Recombination...</w:t>
      </w:r>
    </w:p>
    <w:p>
      <w:pPr>
        <w:numPr>
          <w:ilvl w:val="0"/>
          <w:numId w:val="2"/>
        </w:numPr>
        <w:spacing w:after="210" w:lineRule="auto"/>
      </w:pPr>
      <w:hyperlink r:id="rId22">
        <w:r>
          <w:rPr>
            <w:color w:val="4472C4"/>
          </w:rPr>
          <w:t xml:space="preserve">RCandy: an R package for visualizing homologous recombinations ...</w:t>
        </w:r>
      </w:hyperlink>
      <w:r>
        <w:rPr/>
        <w:t xml:space="preserve"> - Here, we present RCandy, a platform-independent R package for rapid, simple and flexible visualizati...</w:t>
      </w:r>
    </w:p>
    <w:p>
      <w:pPr>
        <w:numPr>
          <w:ilvl w:val="0"/>
          <w:numId w:val="2"/>
        </w:numPr>
        <w:spacing w:after="210" w:lineRule="auto"/>
      </w:pPr>
      <w:hyperlink r:id="rId23">
        <w:r>
          <w:rPr>
            <w:color w:val="4472C4"/>
          </w:rPr>
          <w:t xml:space="preserve">Comparative and Evolutionary Analysis of the Bacterial Homologous ...</w:t>
        </w:r>
      </w:hyperlink>
      <w:r>
        <w:rPr/>
        <w:t xml:space="preserve"> - Homologous recombination is a housekeeping process involved in the maintenance of chromosome integri...</w:t>
      </w:r>
    </w:p>
    <w:p>
      <w:pPr>
        <w:numPr>
          <w:ilvl w:val="0"/>
          <w:numId w:val="2"/>
        </w:numPr>
        <w:spacing w:after="210" w:lineRule="auto"/>
      </w:pPr>
      <w:hyperlink r:id="rId24">
        <w:r>
          <w:rPr>
            <w:color w:val="4472C4"/>
          </w:rPr>
          <w:t xml:space="preserve">Homologous recombination shapes the architecture and evolution of ...</w:t>
        </w:r>
      </w:hyperlink>
      <w:r>
        <w:rPr/>
        <w:t xml:space="preserve"> - Our results show that homologous recombination varies greatly along bacterial genomes and shapes man...</w:t>
      </w:r>
    </w:p>
    <w:p>
      <w:pPr>
        <w:numPr>
          <w:ilvl w:val="0"/>
          <w:numId w:val="2"/>
        </w:numPr>
        <w:spacing w:after="210" w:lineRule="auto"/>
      </w:pPr>
      <w:hyperlink r:id="rId25">
        <w:r>
          <w:rPr>
            <w:color w:val="4472C4"/>
          </w:rPr>
          <w:t xml:space="preserve">Bifidobacterium Probiotics Market Share Analysis by Type and ...</w:t>
        </w:r>
      </w:hyperlink>
      <w:r>
        <w:rPr/>
        <w:t xml:space="preserve"> - The Bifidobacterium Probiotics Market was valued at 13.63 billion in 2025 and is projected to grow a...</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bugspeaks.com/blog/microbyte-series-4-bifidobacterium-bifidum" TargetMode="External"/><Relationship Id="rId6" Type="http://schemas.openxmlformats.org/officeDocument/2006/relationships/hyperlink" Target="https://www.morinagamilk.co.jp/english/research/story/bifidus/" TargetMode="External"/><Relationship Id="rId7" Type="http://schemas.openxmlformats.org/officeDocument/2006/relationships/hyperlink" Target="https://www.frontiersin.org/journals/microbiology/articles/10.3389/fmicb.2014.00437/full" TargetMode="External"/><Relationship Id="rId8" Type="http://schemas.openxmlformats.org/officeDocument/2006/relationships/hyperlink" Target="https://www.futuremarketinsights.com/reports/bifidobacterium-market" TargetMode="External"/><Relationship Id="rId9" Type="http://schemas.openxmlformats.org/officeDocument/2006/relationships/hyperlink" Target="https://www.sciencedirect.com/topics/biochemistry-genetics-and-molecular-biology/bifidobacterium" TargetMode="External"/><Relationship Id="rId10" Type="http://schemas.openxmlformats.org/officeDocument/2006/relationships/hyperlink" Target="https://pmc.ncbi.nlm.nih.gov/articles/PMC4908950/" TargetMode="External"/><Relationship Id="rId11" Type="http://schemas.openxmlformats.org/officeDocument/2006/relationships/hyperlink" Target="https://journals.asm.org/doi/10.1128/aem.01985-24" TargetMode="External"/><Relationship Id="rId12" Type="http://schemas.openxmlformats.org/officeDocument/2006/relationships/hyperlink" Target="https://pmc.ncbi.nlm.nih.gov/articles/PMC12592239/" TargetMode="External"/><Relationship Id="rId13" Type="http://schemas.openxmlformats.org/officeDocument/2006/relationships/hyperlink" Target="https://www.sciencedirect.com/science/article/abs/pii/S0167701218308194" TargetMode="External"/><Relationship Id="rId14" Type="http://schemas.openxmlformats.org/officeDocument/2006/relationships/hyperlink" Target="https://pubmed.ncbi.nlm.nih.gov/30529116/" TargetMode="External"/><Relationship Id="rId15" Type="http://schemas.openxmlformats.org/officeDocument/2006/relationships/hyperlink" Target="https://academic.oup.com/nar/article/46/4/1860/4780163" TargetMode="External"/><Relationship Id="rId16" Type="http://schemas.openxmlformats.org/officeDocument/2006/relationships/hyperlink" Target="https://journals.plos.org/plosone/article?id=10.1371%2Fjournal.pone.0094875" TargetMode="External"/><Relationship Id="rId17" Type="http://schemas.openxmlformats.org/officeDocument/2006/relationships/hyperlink" Target="https://pmc.ncbi.nlm.nih.gov/articles/PMC12016496/" TargetMode="External"/><Relationship Id="rId18" Type="http://schemas.openxmlformats.org/officeDocument/2006/relationships/hyperlink" Target="https://ppl-ai-file-upload.s3.amazonaws.com/web/direct-files/attachments/22076962/63af900c-480d-4fed-a848-5bcfd1458485/Fu-Jian-10.pdf" TargetMode="External"/><Relationship Id="rId19" Type="http://schemas.openxmlformats.org/officeDocument/2006/relationships/hyperlink" Target="https://www.sciencedirect.com/science/article/pii/S2211124725013130" TargetMode="External"/><Relationship Id="rId20" Type="http://schemas.openxmlformats.org/officeDocument/2006/relationships/hyperlink" Target="https://journals.plos.org/ploscompbiol/article?id=10.1371%2Fjournal.pcbi.1004041" TargetMode="External"/><Relationship Id="rId21" Type="http://schemas.openxmlformats.org/officeDocument/2006/relationships/hyperlink" Target="https://www.pnas.org/doi/10.1073/pnas.2316302121" TargetMode="External"/><Relationship Id="rId22" Type="http://schemas.openxmlformats.org/officeDocument/2006/relationships/hyperlink" Target="https://academic.oup.com/bioinformatics/article/38/5/1450/6448222" TargetMode="External"/><Relationship Id="rId23" Type="http://schemas.openxmlformats.org/officeDocument/2006/relationships/hyperlink" Target="https://journals.plos.org/plosgenetics/article?id=10.1371%2Fjournal.pgen.0010015" TargetMode="External"/><Relationship Id="rId24" Type="http://schemas.openxmlformats.org/officeDocument/2006/relationships/hyperlink" Target="https://pmc.ncbi.nlm.nih.gov/articles/PMC11879095/" TargetMode="External"/><Relationship Id="rId25" Type="http://schemas.openxmlformats.org/officeDocument/2006/relationships/hyperlink" Target="https://www.linkedin.com/pulse/bifidobacterium-probiotics-market-share-analysis-type-application-57irc"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2026-02-23T13:49:31.626Z</dcterms:created>
  <dcterms:modified xsi:type="dcterms:W3CDTF">2026-02-23T13:49:31.626Z</dcterms:modified>
</cp:coreProperties>
</file>