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Deciphering the Bifidobacterium Paradox: Genomic Plasticity, Homologous Recombination, and the Technical Frontier of Probiotic Engineering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genus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occupies a position of unrivaled significance within the human ecological landscape, serving as both a primary biological marker of infant health and a cornerstone of the global probiotic industry. Since their discovery by Henri Tissier at the Pasteur Institute in 1899, these anaerobic, high G+C content Actinobacteria have been synonymous with beneficial host-microbe interactions, particularly in the context of the neonatal gut where they can constitute up to 90% of the total microbial population.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Despite over a century of intensive study and their status as the most well-known and easily cultured probiotics, a profound scientific paradox persists: the molecular mechanisms underpinning their health-promoting effects remain largely enigmatic due to a chronic lack of efficient, high-throughput genetic engineering tools.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large-scale genomic analyses have introduced a startling new dimension to this paradox. While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species are notoriously difficult to manipulate in a laboratory setting, they exhibit some of the highest rates of natural homologous recombination (HR) observed in the human gut microbiome.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divergence between natural genetic fluidity and artificial intractability suggests that the barrier to engineering is not a lack of inherent recombination machinery, but rather a sophisticated suite of defensive systems and physiological constraints that have evolved to preserve genomic integrity while allowing for rapid environmental adaptation.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leveraging a massive collection of isolates and near-perfect hybrid-assembled genomes, a new framework is emerging to resolve this paradox, turning the very mechanisms of natural recombination into the foundation for a next-generation genetic toolkit.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Landscape of Homologous Recombination in the Bifidobacterium Genus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study of genomic variation within the human gut has shifted from broad species-level surveys to high-resolution, strain-level analyses. Utilizing a cultured strain atlas of 28,680 isolates from 711 donors, recent research has characterized the landscape of within-person genomic diversity with unprecedented clarity.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atlas has revealed that </w:t>
      </w:r>
      <w:r w:rsidDel="00000000" w:rsidR="00000000" w:rsidRPr="00000000">
        <w:rPr>
          <w:rFonts w:ascii="Google Sans" w:cs="Google Sans" w:eastAsia="Google Sans" w:hAnsi="Google Sans"/>
          <w:i w:val="1"/>
          <w:iCs w:val="1"/>
          <w:color w:val="1f1f1f"/>
          <w:rtl w:val="0"/>
        </w:rPr>
        <w:t xml:space="preserve">Bifidobacterium adolescentis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Bifidobacterium longum</w:t>
      </w:r>
      <w:r w:rsidDel="00000000" w:rsidR="00000000" w:rsidRPr="00000000">
        <w:rPr>
          <w:rFonts w:ascii="Google Sans" w:cs="Google Sans" w:eastAsia="Google Sans" w:hAnsi="Google Sans"/>
          <w:color w:val="1f1f1f"/>
          <w:rtl w:val="0"/>
        </w:rPr>
        <w:t xml:space="preserve"> are outliers in their evolutionary dynamics, showing evidence of massive, ongoing genetic exchange within individual hosts.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Patterns of Within-Person Genomic Fluidity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comparison of average nucleotide identity (ANI) distributions across various gut commensals highlights the unique position of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In many species, such as </w:t>
      </w:r>
      <w:r w:rsidDel="00000000" w:rsidR="00000000" w:rsidRPr="00000000">
        <w:rPr>
          <w:rFonts w:ascii="Google Sans" w:cs="Google Sans" w:eastAsia="Google Sans" w:hAnsi="Google Sans"/>
          <w:i w:val="1"/>
          <w:iCs w:val="1"/>
          <w:color w:val="1f1f1f"/>
          <w:rtl w:val="0"/>
        </w:rPr>
        <w:t xml:space="preserve">Bacteroides uniformis</w:t>
      </w:r>
      <w:r w:rsidDel="00000000" w:rsidR="00000000" w:rsidRPr="00000000">
        <w:rPr>
          <w:rFonts w:ascii="Google Sans" w:cs="Google Sans" w:eastAsia="Google Sans" w:hAnsi="Google Sans"/>
          <w:color w:val="1f1f1f"/>
          <w:rtl w:val="0"/>
        </w:rPr>
        <w:t xml:space="preserve">, within-person genome pairs typically fall into two distinct groups: nearly identical clones representing the same strain, or highly divergent pairs representing different strains.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species, however, exhibit a broad, declining peak of ANI values, suggesting that strains are not merely accumulating slow point mutations but are actively reshuffling their genetic material through recombination.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HR Signature Prevalence (Donors)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HR Signature Frequency (Pairs)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Evolutionary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Bifidobacterium longum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adaptation/Host specialization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Bifidobacterium adolescentis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plasticity/Dietary adaptation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Eggerthella lenta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exchange rates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Bacteroides uniformis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Clonal stability/Slow drift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Phocaeicola vulgatus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Negligible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genomic conservation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high prevalence of HR signatures—detected in approximately 60% of donors for both </w:t>
      </w:r>
      <w:r w:rsidDel="00000000" w:rsidR="00000000" w:rsidRPr="00000000">
        <w:rPr>
          <w:rFonts w:ascii="Google Sans" w:cs="Google Sans" w:eastAsia="Google Sans" w:hAnsi="Google Sans"/>
          <w:i w:val="1"/>
          <w:iCs w:val="1"/>
          <w:color w:val="1f1f1f"/>
          <w:rtl w:val="0"/>
        </w:rPr>
        <w:t xml:space="preserve">B. longum</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B. adolescentis</w:t>
      </w:r>
      <w:r w:rsidDel="00000000" w:rsidR="00000000" w:rsidRPr="00000000">
        <w:rPr>
          <w:rFonts w:ascii="Google Sans" w:cs="Google Sans" w:eastAsia="Google Sans" w:hAnsi="Google Sans"/>
          <w:color w:val="1f1f1f"/>
          <w:rtl w:val="0"/>
        </w:rPr>
        <w:t xml:space="preserve">—indicates that these probiotics possess a highly plastic genomic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plasticity is not a random byproduct of cellular stress but a core feature of their life history in the competitive environment of the human gut.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Mechanisms of Large-Scale Genomic Substitution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signatures of HR in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are often characterized by specific genomic segments where SNP density is significantly higher than the genomic average.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many cases, these segments reach 100 kb in length, representing a substantial portion of the total chromosome.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Phylogenetic analysis of isolates from a single donor often reveals co-existing clades where one clade contributes DNA to another in a process of regional replacement.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instance, in a study of </w:t>
      </w:r>
      <w:r w:rsidDel="00000000" w:rsidR="00000000" w:rsidRPr="00000000">
        <w:rPr>
          <w:rFonts w:ascii="Google Sans" w:cs="Google Sans" w:eastAsia="Google Sans" w:hAnsi="Google Sans"/>
          <w:i w:val="1"/>
          <w:iCs w:val="1"/>
          <w:color w:val="1f1f1f"/>
          <w:rtl w:val="0"/>
        </w:rPr>
        <w:t xml:space="preserve">B. longum</w:t>
      </w:r>
      <w:r w:rsidDel="00000000" w:rsidR="00000000" w:rsidRPr="00000000">
        <w:rPr>
          <w:rFonts w:ascii="Google Sans" w:cs="Google Sans" w:eastAsia="Google Sans" w:hAnsi="Google Sans"/>
          <w:color w:val="1f1f1f"/>
          <w:rtl w:val="0"/>
        </w:rPr>
        <w:t xml:space="preserve"> isolates from one specific donor, clades separated by approximately 10,000 SNPs were found to have exchanged segments where the SNP patterns in the recipient clade perfectly matched those of a more distant donor clade.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observation confirms that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can integrate large blocks of foreign DNA, likely acquired through natural transformation or conjugation, into their core genome.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"genomic swapping" allows for the simultaneous acquisition of multiple alleles, potentially accelerating the evolution of traits such as carbohydrate utilization or phage defense.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the Paradox: A Century of Cultivation vs. Genetic Intractability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"Bifidobacterium Paradox" centers on the contradiction between the genus's prominence in human health and its resistance to standard genetic manipulation.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w:t>
      </w:r>
      <w:r w:rsidDel="00000000" w:rsidR="00000000" w:rsidRPr="00000000">
        <w:rPr>
          <w:rFonts w:ascii="Google Sans" w:cs="Google Sans" w:eastAsia="Google Sans" w:hAnsi="Google Sans"/>
          <w:i w:val="1"/>
          <w:iCs w:val="1"/>
          <w:color w:val="1f1f1f"/>
          <w:rtl w:val="0"/>
        </w:rPr>
        <w:t xml:space="preserve">Escherichia coli</w:t>
      </w:r>
      <w:r w:rsidDel="00000000" w:rsidR="00000000" w:rsidRPr="00000000">
        <w:rPr>
          <w:rFonts w:ascii="Google Sans" w:cs="Google Sans" w:eastAsia="Google Sans" w:hAnsi="Google Sans"/>
          <w:color w:val="1f1f1f"/>
          <w:rtl w:val="0"/>
        </w:rPr>
        <w:t xml:space="preserve"> became the workhorse of biotechnology within decades of its discovery,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has remained largely a "black box" for mechanistic study.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Myth of Genetic Fragility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It was long assumed that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species were naturally deficient in DNA repair or recombination machinery, making them inherently unsuited for genetic modification.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the discovery of high natural HR rates fundamentally dismantles this myth. The presence of functional RecA proteins, along with orthologs for the RecBCD or AddAB pathways, suggests that the basic biological toolkit for recombination is not only present but exceptionally active.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true bottleneck is not the lack of internal machinery, but the external and periplasmic barriers that prevent artificial DNA from reaching that machinery in a functional state.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These barriers include a refractory, multi-layered cell wall, active restriction-modification (R-M) systems that act as a "genomic immune system," and a lack of universal plasmids that can serve as stable vectors.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Restriction-Modification Barrier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significant impediment to genetic tool development in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is the widespread prevalence of R-M systems.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systems utilize methyltransferases to mark "self" DNA and restriction endonucleases (REases) to cleave "non-self" DNA that lacks the correct methylation pattern.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genomes are densely packed with these systems, often containing multiple Type I, II, and III R-M variants within a single strain.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Barrier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Genetic Engineering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Relevance to Bifidobacterium Paradox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R-M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Degradation of exogenous plasmids upon entry.</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Primary cause of low transformation efficiency (</w:t>
            </w:r>
            <w:r w:rsidDel="00000000" w:rsidR="00000000" w:rsidRPr="00000000">
              <w:rPr>
                <w:rFonts w:ascii="Google Sans" w:cs="Google Sans" w:eastAsia="Google Sans" w:hAnsi="Google Sans"/>
                <w:color w:val="1f1f1f"/>
                <w:shd w:fill="auto" w:val="clear"/>
              </w:rPr>
              <w:drawing>
                <wp:inline distB="19050" distT="19050" distL="19050" distR="19050">
                  <wp:extent cx="649114" cy="19091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9114" cy="19091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CFU/</w:t>
            </w:r>
            <w:r w:rsidDel="00000000" w:rsidR="00000000" w:rsidRPr="00000000">
              <w:rPr>
                <w:rFonts w:ascii="Google Sans" w:cs="Google Sans" w:eastAsia="Google Sans" w:hAnsi="Google Sans"/>
                <w:color w:val="1f1f1f"/>
                <w:shd w:fill="auto" w:val="clear"/>
              </w:rPr>
              <w:drawing>
                <wp:inline distB="19050" distT="19050" distL="19050" distR="19050">
                  <wp:extent cx="97334" cy="21413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7334" cy="21413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g).</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Cell Wall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Hinders DNA uptake during electroporation.</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Requires high voltage and specific buffers for marginal gains.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Vector Stability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Plasmids often undergo rearrangement or loss.</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natural HR can lead to excision of introduced genes.</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 Toxicity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Heterologous Cas effectors cause cell death.</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Limits the portability of standard CRISPR toolkits.</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extreme strain-specificity of these R-M systems means that a tool developed for one </w:t>
      </w:r>
      <w:r w:rsidDel="00000000" w:rsidR="00000000" w:rsidRPr="00000000">
        <w:rPr>
          <w:rFonts w:ascii="Google Sans" w:cs="Google Sans" w:eastAsia="Google Sans" w:hAnsi="Google Sans"/>
          <w:i w:val="1"/>
          <w:iCs w:val="1"/>
          <w:color w:val="1f1f1f"/>
          <w:rtl w:val="0"/>
        </w:rPr>
        <w:t xml:space="preserve">B. longum</w:t>
      </w:r>
      <w:r w:rsidDel="00000000" w:rsidR="00000000" w:rsidRPr="00000000">
        <w:rPr>
          <w:rFonts w:ascii="Google Sans" w:cs="Google Sans" w:eastAsia="Google Sans" w:hAnsi="Google Sans"/>
          <w:color w:val="1f1f1f"/>
          <w:rtl w:val="0"/>
        </w:rPr>
        <w:t xml:space="preserve"> isolate may fail completely in another, leading to the perception of general genetic intractability.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Bioinformatic Deep Dive: Harnessing Hybrid Assemblies for Recombination Mapping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resolution of the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paradox begins with a "near-perfect" understanding of their genomic landscape. Traditional short-read sequencing often produces fragmented assemblies where recombination breakpoints and repeat regions are obscured.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By combining Illumina short-reads (providing high base-level accuracy) with Oxford Nanopore long-reads (providing structural continuity), researchers can now generate complete, circularized chromosomes for hundreds of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isolates.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Detection of HR Hotspots and Breakpoints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Hybrid assemblies allow for the precise mapping of single nucleotide polymorphisms (SNPs) across the entire chromosome, which is critical for identifying HR signatures.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Tools like Gubbins use spatial scanning statistics to differentiate between vertical inheritance (slow, random mutations) and horizontal transfer (clusters of polymorphisms).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these hotspots are often associated with specific chromosomal regions, such as those flanking prophages or metabolic islands.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ability to see these hotspots in "near-perfect" genomes allows for the identification of conserved regulatory sequences that guide the recombination machinery.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Search for the Crossover Hotspot Instigator (Chi) Site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model organisms like </w:t>
      </w:r>
      <w:r w:rsidDel="00000000" w:rsidR="00000000" w:rsidRPr="00000000">
        <w:rPr>
          <w:rFonts w:ascii="Google Sans" w:cs="Google Sans" w:eastAsia="Google Sans" w:hAnsi="Google Sans"/>
          <w:i w:val="1"/>
          <w:iCs w:val="1"/>
          <w:color w:val="1f1f1f"/>
          <w:rtl w:val="0"/>
        </w:rPr>
        <w:t xml:space="preserve">E. coli</w:t>
      </w:r>
      <w:r w:rsidDel="00000000" w:rsidR="00000000" w:rsidRPr="00000000">
        <w:rPr>
          <w:rFonts w:ascii="Google Sans" w:cs="Google Sans" w:eastAsia="Google Sans" w:hAnsi="Google Sans"/>
          <w:color w:val="1f1f1f"/>
          <w:rtl w:val="0"/>
        </w:rPr>
        <w:t xml:space="preserve">, the RecBCD complex initiates recombination only after recognizing a specific sequence known as the Chi site (</w:t>
      </w:r>
      <w:r w:rsidDel="00000000" w:rsidR="00000000" w:rsidRPr="00000000">
        <w:rPr>
          <w:rFonts w:ascii="Google Sans" w:cs="Google Sans" w:eastAsia="Google Sans" w:hAnsi="Google Sans"/>
          <w:color w:val="1f1f1f"/>
        </w:rPr>
        <w:drawing>
          <wp:inline distB="19050" distT="19050" distL="19050" distR="19050">
            <wp:extent cx="1796501" cy="228127"/>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796501" cy="2281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high HR rates in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suggest the existence of highly efficient, genus-specific Chi sites that have yet to be fully validated.</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Bioinformatic k-mer analysis of the "near-perfect"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genomes can reveal over-represented sequences that correlate with HR boundaries.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Identifying these motifs is essential for tool development, as artificial DNA constructs (such as plasmids or linear fragments) can be designed to include these sites, effectively "tricking" the cell's machinery into initiating a repair and integration process rather than a destructive nuclease response.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Experimental Deep Dive: Analyzing HR in "Freezer-Ready" Isolate Collections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the isolates already available in biobanks, the focus shifts to rigorous experimental interrogation of the recombination machinery. This involves moving beyond correlation to demonstrate the causative factors that allow or prevent genetic modification.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Presynaptic Machinery: RecBCD versus AddAB</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experimental objective is to determine which presynaptic pathway is active in various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species.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While Gammaproteobacteria primarily use RecBCD, many Actinobacteria utilize the AddAB complex.</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RecBCD Pathway:</w:t>
      </w:r>
      <w:r w:rsidDel="00000000" w:rsidR="00000000" w:rsidRPr="00000000">
        <w:rPr>
          <w:rFonts w:ascii="Google Sans" w:cs="Google Sans" w:eastAsia="Google Sans" w:hAnsi="Google Sans"/>
          <w:color w:val="1f1f1f"/>
          <w:rtl w:val="0"/>
        </w:rPr>
        <w:t xml:space="preserve"> Involves a three-subunit helicase-nuclease that scans for Chi sites using a specialized tunnel in the RecC subunit.</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AddAB Pathway:</w:t>
      </w:r>
      <w:r w:rsidDel="00000000" w:rsidR="00000000" w:rsidRPr="00000000">
        <w:rPr>
          <w:rFonts w:ascii="Google Sans" w:cs="Google Sans" w:eastAsia="Google Sans" w:hAnsi="Google Sans"/>
          <w:color w:val="1f1f1f"/>
          <w:rtl w:val="0"/>
        </w:rPr>
        <w:t xml:space="preserve"> Often a two-subunit system where the AddB subunit contains a Chi-recognition domain and an iron-sulfur (Fe-S) cluster critical for DNA binding and structural integrity.</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Characterizing these proteins in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—specifically their sensitivity to temperature and oxidative stress—can help optimize the environmental conditions required for successful transformation and recombination.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Quantifying Recombination Frequency via Marker Exchange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availability of isolates allows for the direct measurement of recombination frequencies using chromosomal marker exchange assays.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By co-incubating strains with complementary nutritional requirements (auxotrophs) or by transforming cells with DNA fragments containing selectable markers (e.g., antibiotic resistance), the rate of "natural" genetic exchange can be quantified under various conditions.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Experimental benchmarks for single-crossover (SCO) integration in </w:t>
      </w:r>
      <w:r w:rsidDel="00000000" w:rsidR="00000000" w:rsidRPr="00000000">
        <w:rPr>
          <w:rFonts w:ascii="Google Sans" w:cs="Google Sans" w:eastAsia="Google Sans" w:hAnsi="Google Sans"/>
          <w:i w:val="1"/>
          <w:iCs w:val="1"/>
          <w:color w:val="1f1f1f"/>
          <w:rtl w:val="0"/>
        </w:rPr>
        <w:t xml:space="preserve">B. longum</w:t>
      </w:r>
      <w:r w:rsidDel="00000000" w:rsidR="00000000" w:rsidRPr="00000000">
        <w:rPr>
          <w:rFonts w:ascii="Google Sans" w:cs="Google Sans" w:eastAsia="Google Sans" w:hAnsi="Google Sans"/>
          <w:color w:val="1f1f1f"/>
          <w:rtl w:val="0"/>
        </w:rPr>
        <w:t xml:space="preserve"> have shown that homology arms longer than 1 kb are required for efficient integration, with frequencies reaching approximately </w:t>
      </w:r>
      <w:r w:rsidDel="00000000" w:rsidR="00000000" w:rsidRPr="00000000">
        <w:rPr>
          <w:rFonts w:ascii="Google Sans" w:cs="Google Sans" w:eastAsia="Google Sans" w:hAnsi="Google Sans"/>
          <w:color w:val="1f1f1f"/>
        </w:rPr>
        <w:drawing>
          <wp:inline distB="19050" distT="19050" distL="19050" distR="19050">
            <wp:extent cx="358751" cy="217138"/>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58751" cy="2171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integrations per cell.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However, the transition to double-crossover (DCO) events, which are necessary for scarless gene editing, remains a significant bottleneck, often occurring at frequencies as low as 1.8% among transformants.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Plan: A Roadmap for Pushing Genetic Tool Development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goal of this research is to transform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into a genetically tractable chassis for synthetic biology. This requires a multi-stage plan that integrates bioinformatic insights with targeted experimental interventions.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 R-M System Neutralization and Bypass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first step in tool development must be to overcome the R-M barrier. This will be achieved through a "host mimicry" strategy.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Bioinformatic Profiling:</w:t>
      </w:r>
      <w:r w:rsidDel="00000000" w:rsidR="00000000" w:rsidRPr="00000000">
        <w:rPr>
          <w:rFonts w:ascii="Google Sans" w:cs="Google Sans" w:eastAsia="Google Sans" w:hAnsi="Google Sans"/>
          <w:color w:val="1f1f1f"/>
          <w:rtl w:val="0"/>
        </w:rPr>
        <w:t xml:space="preserve"> Map the R-M and methyltransferase repertoire of target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strains using the near-perfect hybrid assemblies.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Host-Specific Methylation:</w:t>
      </w:r>
      <w:r w:rsidDel="00000000" w:rsidR="00000000" w:rsidRPr="00000000">
        <w:rPr>
          <w:rFonts w:ascii="Google Sans" w:cs="Google Sans" w:eastAsia="Google Sans" w:hAnsi="Google Sans"/>
          <w:color w:val="1f1f1f"/>
          <w:rtl w:val="0"/>
        </w:rPr>
        <w:t xml:space="preserve"> Engineer </w:t>
      </w:r>
      <w:r w:rsidDel="00000000" w:rsidR="00000000" w:rsidRPr="00000000">
        <w:rPr>
          <w:rFonts w:ascii="Google Sans" w:cs="Google Sans" w:eastAsia="Google Sans" w:hAnsi="Google Sans"/>
          <w:i w:val="1"/>
          <w:iCs w:val="1"/>
          <w:color w:val="1f1f1f"/>
          <w:rtl w:val="0"/>
        </w:rPr>
        <w:t xml:space="preserve">E. coli</w:t>
      </w:r>
      <w:r w:rsidDel="00000000" w:rsidR="00000000" w:rsidRPr="00000000">
        <w:rPr>
          <w:rFonts w:ascii="Google Sans" w:cs="Google Sans" w:eastAsia="Google Sans" w:hAnsi="Google Sans"/>
          <w:color w:val="1f1f1f"/>
          <w:rtl w:val="0"/>
        </w:rPr>
        <w:t xml:space="preserve"> "cloning hosts" that express the exact set of methyltransferases found in the target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strain.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ensures that any DNA produced in </w:t>
      </w:r>
      <w:r w:rsidDel="00000000" w:rsidR="00000000" w:rsidRPr="00000000">
        <w:rPr>
          <w:rFonts w:ascii="Google Sans" w:cs="Google Sans" w:eastAsia="Google Sans" w:hAnsi="Google Sans"/>
          <w:i w:val="1"/>
          <w:iCs w:val="1"/>
          <w:color w:val="1f1f1f"/>
          <w:rtl w:val="0"/>
        </w:rPr>
        <w:t xml:space="preserve">E. coli</w:t>
      </w:r>
      <w:r w:rsidDel="00000000" w:rsidR="00000000" w:rsidRPr="00000000">
        <w:rPr>
          <w:rFonts w:ascii="Google Sans" w:cs="Google Sans" w:eastAsia="Google Sans" w:hAnsi="Google Sans"/>
          <w:color w:val="1f1f1f"/>
          <w:rtl w:val="0"/>
        </w:rPr>
        <w:t xml:space="preserve"> arrives at the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cell with the correct "self" stamps, bypassing the destructive REases.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REase Disruption:</w:t>
      </w:r>
      <w:r w:rsidDel="00000000" w:rsidR="00000000" w:rsidRPr="00000000">
        <w:rPr>
          <w:rFonts w:ascii="Google Sans" w:cs="Google Sans" w:eastAsia="Google Sans" w:hAnsi="Google Sans"/>
          <w:color w:val="1f1f1f"/>
          <w:rtl w:val="0"/>
        </w:rPr>
        <w:t xml:space="preserve"> Use base editing or SCO to knock out the major restriction endonucleases in "prototype"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strains, creating highly transformable laboratory chassis.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2: Harnessing Endogenous CRISPR and Recombination Machinery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avoid the toxicity of foreign Cas9 proteins, the research plan focuses on utilizing the CRISPR systems already present in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genomes.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Endogenous Type I-C and I-G Systems:</w:t>
      </w:r>
      <w:r w:rsidDel="00000000" w:rsidR="00000000" w:rsidRPr="00000000">
        <w:rPr>
          <w:rFonts w:ascii="Google Sans" w:cs="Google Sans" w:eastAsia="Google Sans" w:hAnsi="Google Sans"/>
          <w:color w:val="1f1f1f"/>
          <w:rtl w:val="0"/>
        </w:rPr>
        <w:t xml:space="preserve"> These systems, which utilize the Cas3 nuclease, are highly efficient for creating large-scale deletions and can be repurposed for precision editing by providing specific guide RNAs and repair templates.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Chi-Enhanced Integration:</w:t>
      </w:r>
      <w:r w:rsidDel="00000000" w:rsidR="00000000" w:rsidRPr="00000000">
        <w:rPr>
          <w:rFonts w:ascii="Google Sans" w:cs="Google Sans" w:eastAsia="Google Sans" w:hAnsi="Google Sans"/>
          <w:color w:val="1f1f1f"/>
          <w:rtl w:val="0"/>
        </w:rPr>
        <w:t xml:space="preserve"> Incorporate the bioinformatically identified genus-specific Chi sites into the design of editing plasmids to maximize the recruitment of the HR machinery.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 Editing for Stability:</w:t>
      </w:r>
      <w:r w:rsidDel="00000000" w:rsidR="00000000" w:rsidRPr="00000000">
        <w:rPr>
          <w:rFonts w:ascii="Google Sans" w:cs="Google Sans" w:eastAsia="Google Sans" w:hAnsi="Google Sans"/>
          <w:color w:val="1f1f1f"/>
          <w:rtl w:val="0"/>
        </w:rPr>
        <w:t xml:space="preserve"> Utilize cytosine base editors (cBEST) to introduce single-letter changes without creating double-strand breaks.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minimizes genomic instability and allows for the precise modification of genes involved in probiotic efficacy, such as those in the HMO (human milk oligosaccharide) utilization pathways.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3: Developing Stable and Portable Vector Systems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stage involves the development of a suite of plasmids that can reliably replicate and maintain genetic payloads across different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species.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Broad Host-Range (BHR) Plasmids:</w:t>
      </w:r>
      <w:r w:rsidDel="00000000" w:rsidR="00000000" w:rsidRPr="00000000">
        <w:rPr>
          <w:rFonts w:ascii="Google Sans" w:cs="Google Sans" w:eastAsia="Google Sans" w:hAnsi="Google Sans"/>
          <w:color w:val="1f1f1f"/>
          <w:rtl w:val="0"/>
        </w:rPr>
        <w:t xml:space="preserve"> Characterize naturally occurring BHR plasmids identified in the strain atlas, such as PL-326, to determine the minimum requirements for stable replication.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Temperature-Sensitive (Ts) Evolution:</w:t>
      </w:r>
      <w:r w:rsidDel="00000000" w:rsidR="00000000" w:rsidRPr="00000000">
        <w:rPr>
          <w:rFonts w:ascii="Google Sans" w:cs="Google Sans" w:eastAsia="Google Sans" w:hAnsi="Google Sans"/>
          <w:color w:val="1f1f1f"/>
          <w:rtl w:val="0"/>
        </w:rPr>
        <w:t xml:space="preserve"> Use error-prone PCR to evolve existing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plasmids into Ts variants that can be easily "cured" from the cell after the editing process is complete.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Synthetic Auxotrophy:</w:t>
      </w:r>
      <w:r w:rsidDel="00000000" w:rsidR="00000000" w:rsidRPr="00000000">
        <w:rPr>
          <w:rFonts w:ascii="Google Sans" w:cs="Google Sans" w:eastAsia="Google Sans" w:hAnsi="Google Sans"/>
          <w:color w:val="1f1f1f"/>
          <w:rtl w:val="0"/>
        </w:rPr>
        <w:t xml:space="preserve"> Develop antibiotic-free selection systems, such as those based on thymidine auxotrophy (</w:t>
      </w:r>
      <w:r w:rsidDel="00000000" w:rsidR="00000000" w:rsidRPr="00000000">
        <w:rPr>
          <w:rFonts w:ascii="Google Sans" w:cs="Google Sans" w:eastAsia="Google Sans" w:hAnsi="Google Sans"/>
          <w:i w:val="1"/>
          <w:iCs w:val="1"/>
          <w:color w:val="1f1f1f"/>
          <w:rtl w:val="0"/>
        </w:rPr>
        <w:t xml:space="preserve">thyA</w:t>
      </w:r>
      <w:r w:rsidDel="00000000" w:rsidR="00000000" w:rsidRPr="00000000">
        <w:rPr>
          <w:rFonts w:ascii="Google Sans" w:cs="Google Sans" w:eastAsia="Google Sans" w:hAnsi="Google Sans"/>
          <w:color w:val="1f1f1f"/>
          <w:rtl w:val="0"/>
        </w:rPr>
        <w:t xml:space="preserve"> deletion), to ensure the long-term stability of modified strains in the absence of selective pressure.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"Bifidobacterium Library": An Assay for the General Audience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why this research is so critical, imagine the human gut as a vast, bustling metropolis where billions of inhabitants (the bacteria) work together to keep the city running. Among these inhabitants, the </w:t>
      </w:r>
      <w:r w:rsidDel="00000000" w:rsidR="00000000" w:rsidRPr="00000000">
        <w:rPr>
          <w:rFonts w:ascii="Google Sans" w:cs="Google Sans" w:eastAsia="Google Sans" w:hAnsi="Google Sans"/>
          <w:i w:val="1"/>
          <w:iCs w:val="1"/>
          <w:color w:val="1f1f1f"/>
          <w:rtl w:val="0"/>
        </w:rPr>
        <w:t xml:space="preserve">Bifidobacteria</w:t>
      </w:r>
      <w:r w:rsidDel="00000000" w:rsidR="00000000" w:rsidRPr="00000000">
        <w:rPr>
          <w:rFonts w:ascii="Google Sans" w:cs="Google Sans" w:eastAsia="Google Sans" w:hAnsi="Google Sans"/>
          <w:color w:val="1f1f1f"/>
          <w:rtl w:val="0"/>
        </w:rPr>
        <w:t xml:space="preserve"> are the "founding architects," arriving early in life and building the foundations of a healthy immune system and a balanced metabolism.</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over a hundred years, scientists have been able to "interview" these architects (by growing them in the lab) and "read their manuals" (by sequencing their DNA). However, we have never been able to "collaborate" with them effectively. We haven't been able to give them new tools or suggest improvements to their work because they are incredibly protective of their secret manuals. They have a "security team" (the R-M systems) that shreds any new instructions that don't look exactly like the originals.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research is finally solving this "shredding" problem. By using near-perfect digital maps (our new genomes) and our massive collection of isolates, we have learned how to "speak their language" and "stamp our instructions" correctly so the security team lets them through. We have discovered that these architects are already constantly swapping notes and updating their manuals with their neighbors—they just do it in a very specific, secure way.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learning their secrets, we can finally work together. We can help them become even better at their jobs—perhaps by training them to produce special vitamins, to neutralize toxins, or to help our bodies respond better to cancer treatments. This isn't just about changing a few genes; it's about finally being able to talk back to the most important residents of our inner ecosystem, turning a century-old mystery into a new era of personalized health.</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Insights from the Isolate Atlas: Phenotypic Consequences of Genomic Variation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urgency of this research plan is driven by the phenotypic diversity already observed in the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isolate collection. The atlas has demonstrated that even within a single species, genomic variations lead to radically different behaviors.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ThyA/ThyX Paradigm and Drug Sensitivity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prime example of the functional impact of genomic variation is found in the drug response of </w:t>
      </w:r>
      <w:r w:rsidDel="00000000" w:rsidR="00000000" w:rsidRPr="00000000">
        <w:rPr>
          <w:rFonts w:ascii="Google Sans" w:cs="Google Sans" w:eastAsia="Google Sans" w:hAnsi="Google Sans"/>
          <w:i w:val="1"/>
          <w:iCs w:val="1"/>
          <w:color w:val="1f1f1f"/>
          <w:rtl w:val="0"/>
        </w:rPr>
        <w:t xml:space="preserve">Parabacteroides distasonis</w:t>
      </w:r>
      <w:r w:rsidDel="00000000" w:rsidR="00000000" w:rsidRPr="00000000">
        <w:rPr>
          <w:rFonts w:ascii="Google Sans" w:cs="Google Sans" w:eastAsia="Google Sans" w:hAnsi="Google Sans"/>
          <w:color w:val="1f1f1f"/>
          <w:rtl w:val="0"/>
        </w:rPr>
        <w:t xml:space="preserve">, a species sampled deeply alongside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Using a linear mixed model (GEMMA) to associate genomic variations with growth inhibition, researchers found that the response to the cancer drug 5-fluorouracil (5-FU) is controlled by a pair of mutually exclusive genes: </w:t>
      </w:r>
      <w:r w:rsidDel="00000000" w:rsidR="00000000" w:rsidRPr="00000000">
        <w:rPr>
          <w:rFonts w:ascii="Google Sans" w:cs="Google Sans" w:eastAsia="Google Sans" w:hAnsi="Google Sans"/>
          <w:i w:val="1"/>
          <w:iCs w:val="1"/>
          <w:color w:val="1f1f1f"/>
          <w:rtl w:val="0"/>
        </w:rPr>
        <w:t xml:space="preserve">ThyA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ThyX</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Genotype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Drug Response (5-FU)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Prevalence in Population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ThyA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Susceptibility (Low </w:t>
            </w:r>
            <w:r w:rsidDel="00000000" w:rsidR="00000000" w:rsidRPr="00000000">
              <w:rPr>
                <w:rFonts w:ascii="Google Sans" w:cs="Google Sans" w:eastAsia="Google Sans" w:hAnsi="Google Sans"/>
                <w:color w:val="1f1f1f"/>
                <w:shd w:fill="auto" w:val="clear"/>
              </w:rPr>
              <w:drawing>
                <wp:inline distB="19050" distT="19050" distL="19050" distR="19050">
                  <wp:extent cx="320130" cy="207143"/>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20130" cy="20714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Thymidylate synthase (Host-like).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86% of isolates.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ThyX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Resistance (High </w:t>
            </w:r>
            <w:r w:rsidDel="00000000" w:rsidR="00000000" w:rsidRPr="00000000">
              <w:rPr>
                <w:rFonts w:ascii="Google Sans" w:cs="Google Sans" w:eastAsia="Google Sans" w:hAnsi="Google Sans"/>
                <w:color w:val="1f1f1f"/>
                <w:shd w:fill="auto" w:val="clear"/>
              </w:rPr>
              <w:drawing>
                <wp:inline distB="19050" distT="19050" distL="19050" distR="19050">
                  <wp:extent cx="320130" cy="207143"/>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20130" cy="20714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Alternative thymidylate synthase.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14% of isolates.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"mutual exclusivity" demonstrates how the presence or absence of a single gene—likely acquired or lost through the very recombination processes we are studying—can determine whether a beneficial bacterium survives or perishes during medical treatment.</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Phage Induction and the Viral Reservoirs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strain atlas also revealed a massive, unexplored reservoir of prophages within </w:t>
      </w:r>
      <w:r w:rsidDel="00000000" w:rsidR="00000000" w:rsidRPr="00000000">
        <w:rPr>
          <w:rFonts w:ascii="Google Sans" w:cs="Google Sans" w:eastAsia="Google Sans" w:hAnsi="Google Sans"/>
          <w:i w:val="1"/>
          <w:iCs w:val="1"/>
          <w:color w:val="1f1f1f"/>
          <w:rtl w:val="0"/>
        </w:rPr>
        <w:t xml:space="preserve">Bifidobacterium adolescentis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exposing 127 isolates to mitomycin C, researchers induced 22 distinct phage-species, some of which are shared across different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species.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Induction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Bifidobacterium adolescentis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Bacteroides uniformis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Global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Tested Isolates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127 from 86 donors.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92 from 78 donors.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Largest induction screen to date.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Induction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 of isolates.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 of isolates.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Phages are ubiquitous but dormant.</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Phage Diversity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22 phage-species.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32 phage-species.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Sampling is far from saturation.</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phages represent more than just biological curiosities; they are natural "genetic delivery vehicles" that have evolved to bypass the R-M systems of their hosts.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Understanding the mechanisms they use to enter and integrate into the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genome provides a direct blueprint for developing artificial delivery vectors.</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Outlook: Precision Probiotics and the Era of Microbiome Engineering</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high-resolution HR mapping with near-perfect genomic data marks the end of the "black box" era for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As the research plan progresses, the focus will move from basic tool development to complex functional engineering.</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Targeted Metabolic Reprogramming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first applications of the new toolkit will be the optimization of HMO utilization.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swapping specific glycoside hydrolase (GH) genes between strains using HR-based tools, researchers can create "super-probiotics" tailored for infants with different dietary or health backgrounds.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example, the transfer of fucose-utilization clusters into adult-type </w:t>
      </w:r>
      <w:r w:rsidDel="00000000" w:rsidR="00000000" w:rsidRPr="00000000">
        <w:rPr>
          <w:rFonts w:ascii="Google Sans" w:cs="Google Sans" w:eastAsia="Google Sans" w:hAnsi="Google Sans"/>
          <w:i w:val="1"/>
          <w:iCs w:val="1"/>
          <w:color w:val="1f1f1f"/>
          <w:rtl w:val="0"/>
        </w:rPr>
        <w:t xml:space="preserve">B. adolescentis</w:t>
      </w:r>
      <w:r w:rsidDel="00000000" w:rsidR="00000000" w:rsidRPr="00000000">
        <w:rPr>
          <w:rFonts w:ascii="Google Sans" w:cs="Google Sans" w:eastAsia="Google Sans" w:hAnsi="Google Sans"/>
          <w:color w:val="1f1f1f"/>
          <w:rtl w:val="0"/>
        </w:rPr>
        <w:t xml:space="preserve"> could improve their persistence and efficacy in recovering the gut flora after antibiotic treatment.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Therapeutic Delivery and Immunomodulation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ability to stably integrate therapeutic genes into the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chromosome—free of antibiotic markers and backbones—opens the door to clinical applications.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Engineered </w:t>
      </w:r>
      <w:r w:rsidDel="00000000" w:rsidR="00000000" w:rsidRPr="00000000">
        <w:rPr>
          <w:rFonts w:ascii="Google Sans" w:cs="Google Sans" w:eastAsia="Google Sans" w:hAnsi="Google Sans"/>
          <w:i w:val="1"/>
          <w:iCs w:val="1"/>
          <w:color w:val="1f1f1f"/>
          <w:rtl w:val="0"/>
        </w:rPr>
        <w:t xml:space="preserve">Bifidobacteria</w:t>
      </w:r>
      <w:r w:rsidDel="00000000" w:rsidR="00000000" w:rsidRPr="00000000">
        <w:rPr>
          <w:rFonts w:ascii="Google Sans" w:cs="Google Sans" w:eastAsia="Google Sans" w:hAnsi="Google Sans"/>
          <w:color w:val="1f1f1f"/>
          <w:rtl w:val="0"/>
        </w:rPr>
        <w:t xml:space="preserve"> could be used to deliver anti-inflammatory cytokines directly to the intestinal lining in patients with Inflammatory Bowel Disease (IBD) or to modulate the host immune system to enhance the effectiveness of checkpoint inhibitors in cancer therapy.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conclusion, the paradox of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—high natural recombination but zero efficient tools—is a hurdle made of information gaps rather than biological impossibilities.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utilizing the massive donor population, the near-perfect hybrid genomes, and a strategic plan to bypass defensive barriers, the scientific community is finally poised to harness the full probiotic and therapeutic potential of this vital genus. The next hundred years of </w:t>
      </w:r>
      <w:r w:rsidDel="00000000" w:rsidR="00000000" w:rsidRPr="00000000">
        <w:rPr>
          <w:rFonts w:ascii="Google Sans" w:cs="Google Sans" w:eastAsia="Google Sans" w:hAnsi="Google Sans"/>
          <w:i w:val="1"/>
          <w:iCs w:val="1"/>
          <w:color w:val="1f1f1f"/>
          <w:rtl w:val="0"/>
        </w:rPr>
        <w:t xml:space="preserve">Bifidobacterium</w:t>
      </w:r>
      <w:r w:rsidDel="00000000" w:rsidR="00000000" w:rsidRPr="00000000">
        <w:rPr>
          <w:rFonts w:ascii="Google Sans" w:cs="Google Sans" w:eastAsia="Google Sans" w:hAnsi="Google Sans"/>
          <w:color w:val="1f1f1f"/>
          <w:rtl w:val="0"/>
        </w:rPr>
        <w:t xml:space="preserve"> research will not just be about observation, but about the precise and purposeful engineering of the human microbiome for the benefit of global health.</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附件10.pdf</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Scarless gene disruption enabled by a dual-plasmid knockout platform in a clinical infant-derived Bifidobacterium breve strain - Frontiers, accessed February 23, 2026, </w:t>
      </w:r>
      <w:hyperlink r:id="rId11">
        <w:r w:rsidDel="00000000" w:rsidR="00000000" w:rsidRPr="00000000">
          <w:rPr>
            <w:rFonts w:ascii="Google Sans" w:cs="Google Sans" w:eastAsia="Google Sans" w:hAnsi="Google Sans"/>
            <w:color w:val="0000ee"/>
            <w:sz w:val="24"/>
            <w:szCs w:val="24"/>
            <w:u w:val="single"/>
            <w:rtl w:val="0"/>
          </w:rPr>
          <w:t xml:space="preserve">https://www.frontiersin.org/journals/microbiology/articles/10.3389/fmicb.2025.1653505/full</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Genomic Insights into Bifidobacteria - PMC - NIH, accessed February 23, 2026,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https://pmc.ncbi.nlm.nih.gov/articles/PMC2937518/</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Genomic and epigenetic landscapes drive CRISPR-based genome ..., accessed February 23, 2026, </w:t>
      </w:r>
      <w:hyperlink r:id="rId13">
        <w:r w:rsidDel="00000000" w:rsidR="00000000" w:rsidRPr="00000000">
          <w:rPr>
            <w:rFonts w:ascii="Google Sans" w:cs="Google Sans" w:eastAsia="Google Sans" w:hAnsi="Google Sans"/>
            <w:color w:val="0000ee"/>
            <w:sz w:val="24"/>
            <w:szCs w:val="24"/>
            <w:u w:val="single"/>
            <w:rtl w:val="0"/>
          </w:rPr>
          <w:t xml:space="preserve">https://www.pnas.org/doi/10.1073/pnas.2205068119</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editing of Bifidobacterium lactis using the endogenous Type I-G CRISPR-Cas system | Applied and Environmental Microbiology - ASM Journals, accessed February 23, 2026, </w:t>
      </w:r>
      <w:hyperlink r:id="rId14">
        <w:r w:rsidDel="00000000" w:rsidR="00000000" w:rsidRPr="00000000">
          <w:rPr>
            <w:rFonts w:ascii="Google Sans" w:cs="Google Sans" w:eastAsia="Google Sans" w:hAnsi="Google Sans"/>
            <w:color w:val="0000ee"/>
            <w:sz w:val="24"/>
            <w:szCs w:val="24"/>
            <w:u w:val="single"/>
            <w:rtl w:val="0"/>
          </w:rPr>
          <w:t xml:space="preserve">https://journals.asm.org/doi/10.1128/aem.01839-25</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Highly efficient CRISPR-Cas9 base editing in Bifidobacterium with bypass of restriction modification systems - ResearchGate, accessed February 23, 2026,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https://www.researchgate.net/publication/389716633_Highly_efficient_CRISPR-Cas9_base_editing_in_Bifidobacterium_with_bypass_of_restriction_modification_systems</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genomics reveals two major lineages of Bifidobacterium adolescentis in the human gut, driven by divergent adaptation in China and the United States - PubMed, accessed February 23, 2026, </w:t>
      </w:r>
      <w:hyperlink r:id="rId16">
        <w:r w:rsidDel="00000000" w:rsidR="00000000" w:rsidRPr="00000000">
          <w:rPr>
            <w:rFonts w:ascii="Google Sans" w:cs="Google Sans" w:eastAsia="Google Sans" w:hAnsi="Google Sans"/>
            <w:color w:val="0000ee"/>
            <w:sz w:val="24"/>
            <w:szCs w:val="24"/>
            <w:u w:val="single"/>
            <w:rtl w:val="0"/>
          </w:rPr>
          <w:t xml:space="preserve">https://pubmed.ncbi.nlm.nih.gov/41605290/</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Recombination in Bacterial Genomes: Evolutionary Trends - PMC - NIH, accessed February 23, 2026,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https://pmc.ncbi.nlm.nih.gov/articles/PMC10534446/</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Rapid phylogenetic analysis of large samples of recombinant bacterial whole genome sequences using Gubbins | Nucleic Acids Research | Oxford Academic, accessed February 23, 2026, </w:t>
      </w:r>
      <w:hyperlink r:id="rId18">
        <w:r w:rsidDel="00000000" w:rsidR="00000000" w:rsidRPr="00000000">
          <w:rPr>
            <w:rFonts w:ascii="Google Sans" w:cs="Google Sans" w:eastAsia="Google Sans" w:hAnsi="Google Sans"/>
            <w:color w:val="0000ee"/>
            <w:sz w:val="24"/>
            <w:szCs w:val="24"/>
            <w:u w:val="single"/>
            <w:rtl w:val="0"/>
          </w:rPr>
          <w:t xml:space="preserve">https://academic.oup.com/nar/article/43/3/e15/2410982</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Homologous recombination by RecBCD and RecF pathways - ResearchGate, accessed February 23, 2026, </w:t>
      </w:r>
      <w:hyperlink r:id="rId19">
        <w:r w:rsidDel="00000000" w:rsidR="00000000" w:rsidRPr="00000000">
          <w:rPr>
            <w:rFonts w:ascii="Google Sans" w:cs="Google Sans" w:eastAsia="Google Sans" w:hAnsi="Google Sans"/>
            <w:color w:val="0000ee"/>
            <w:sz w:val="24"/>
            <w:szCs w:val="24"/>
            <w:u w:val="single"/>
            <w:rtl w:val="0"/>
          </w:rPr>
          <w:t xml:space="preserve">https://www.researchgate.net/publication/228889953_Homologous_recombination_by_RecBCD_and_RecF_pathways</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Occurrence and applications of CRISPR-Cas systems in bifidobacteria - PMC, accessed February 23, 2026,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https://pmc.ncbi.nlm.nih.gov/articles/PMC12838274/</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Harnessing the endogenous Type I-C CRISPR-Cas system for genome editing in Bifidobacterium breve | Applied and Environmental Microbiology - ASM Journals, accessed February 23, 2026, </w:t>
      </w:r>
      <w:hyperlink r:id="rId21">
        <w:r w:rsidDel="00000000" w:rsidR="00000000" w:rsidRPr="00000000">
          <w:rPr>
            <w:rFonts w:ascii="Google Sans" w:cs="Google Sans" w:eastAsia="Google Sans" w:hAnsi="Google Sans"/>
            <w:color w:val="0000ee"/>
            <w:sz w:val="24"/>
            <w:szCs w:val="24"/>
            <w:u w:val="single"/>
            <w:rtl w:val="0"/>
          </w:rPr>
          <w:t xml:space="preserve">https://journals.asm.org/doi/10.1128/aem.02074-23</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RecBC enzyme loads RecA protein onto ssDNA asymmetrically and independently of χ, resulting in constitutive recombination activation - PMC, accessed February 23,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https://pmc.ncbi.nlm.nih.gov/articles/PMC316600/</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Bacterial-Artificial-Chromosome-Based Genome Editing Methods and the Applications in Herpesvirus Research - MDPI, accessed February 23, 2026, </w:t>
      </w:r>
      <w:hyperlink r:id="rId23">
        <w:r w:rsidDel="00000000" w:rsidR="00000000" w:rsidRPr="00000000">
          <w:rPr>
            <w:rFonts w:ascii="Google Sans" w:cs="Google Sans" w:eastAsia="Google Sans" w:hAnsi="Google Sans"/>
            <w:color w:val="0000ee"/>
            <w:sz w:val="24"/>
            <w:szCs w:val="24"/>
            <w:u w:val="single"/>
            <w:rtl w:val="0"/>
          </w:rPr>
          <w:t xml:space="preserve">https://www.mdpi.com/2076-2607/11/3/589</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Investigating the restriction-modification barrier to DNA delivery in human gut probiotic bacteria for streamlined genetic tool development | Request PDF - ResearchGate, accessed February 23, 2026,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https://www.researchgate.net/publication/396752221_Investigating_the_restriction-modification_barrier_to_DNA_delivery_in_human_gut_probiotic_bacteria_for_streamlined_genetic_tool_development</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Plasmid Engineering | DNA Cloning and Isolation - Danaher Life Sciences, accessed February 23, 2026, </w:t>
      </w:r>
      <w:hyperlink r:id="rId25">
        <w:r w:rsidDel="00000000" w:rsidR="00000000" w:rsidRPr="00000000">
          <w:rPr>
            <w:rFonts w:ascii="Google Sans" w:cs="Google Sans" w:eastAsia="Google Sans" w:hAnsi="Google Sans"/>
            <w:color w:val="0000ee"/>
            <w:sz w:val="24"/>
            <w:szCs w:val="24"/>
            <w:u w:val="single"/>
            <w:rtl w:val="0"/>
          </w:rPr>
          <w:t xml:space="preserve">https://lifesciences.danaher.com/us/en/library/plasmid-engineering.html</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Highly efficient CRISPR-Cas9 base editing in Bifidobacterium with bypass of restriction modification systems | Applied and Environmental Microbiology - ASM Journals, accessed February 23, 2026, </w:t>
      </w:r>
      <w:hyperlink r:id="rId26">
        <w:r w:rsidDel="00000000" w:rsidR="00000000" w:rsidRPr="00000000">
          <w:rPr>
            <w:rFonts w:ascii="Google Sans" w:cs="Google Sans" w:eastAsia="Google Sans" w:hAnsi="Google Sans"/>
            <w:color w:val="0000ee"/>
            <w:sz w:val="24"/>
            <w:szCs w:val="24"/>
            <w:u w:val="single"/>
            <w:rtl w:val="0"/>
          </w:rPr>
          <w:t xml:space="preserve">https://journals.asm.org/doi/10.1128/aem.01985-24</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Regulation of genetic flux between bacteria by restriction–modification systems - PNAS, accessed February 23, 2026, </w:t>
      </w:r>
      <w:hyperlink r:id="rId27">
        <w:r w:rsidDel="00000000" w:rsidR="00000000" w:rsidRPr="00000000">
          <w:rPr>
            <w:rFonts w:ascii="Google Sans" w:cs="Google Sans" w:eastAsia="Google Sans" w:hAnsi="Google Sans"/>
            <w:color w:val="0000ee"/>
            <w:sz w:val="24"/>
            <w:szCs w:val="24"/>
            <w:u w:val="single"/>
            <w:rtl w:val="0"/>
          </w:rPr>
          <w:t xml:space="preserve">https://www.pnas.org/doi/10.1073/pnas.1603257113</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Systematic evasion of the restriction-modification barrier in bacteria - PNAS, accessed February 23, 2026, </w:t>
      </w:r>
      <w:hyperlink r:id="rId28">
        <w:r w:rsidDel="00000000" w:rsidR="00000000" w:rsidRPr="00000000">
          <w:rPr>
            <w:rFonts w:ascii="Google Sans" w:cs="Google Sans" w:eastAsia="Google Sans" w:hAnsi="Google Sans"/>
            <w:color w:val="0000ee"/>
            <w:sz w:val="24"/>
            <w:szCs w:val="24"/>
            <w:u w:val="single"/>
            <w:rtl w:val="0"/>
          </w:rPr>
          <w:t xml:space="preserve">https://www.pnas.org/doi/10.1073/pnas.1820256116</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targeted gene knockout method using a newly constructed temperature-sensitive plasmid mediated homologous recombination in Bifidobacterium longum - ResearchGate, accessed February 23, 2026,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https://www.researchgate.net/publication/225065871_A_targeted_gene_knockout_method_using_a_newly_constructed_temperature-sensitive_plasmid_mediated_homologous_recombination_in_Bifidobacterium_longum</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recombination hotspot Chi is recognized by the translocating RecBCD enzyme as the single strand of DNA containing the sequence 5′-GCTGGTGG-3′ - PMC, accessed February 23,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https://pmc.ncbi.nlm.nih.gov/articles/PMC21222/</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genetic stability and expression control in growth-decoupled continuous two-stage E. coli fermentations using plasmid-dependent thyA auxotrophic selection - PMC, accessed February 23, 2026,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https://pmc.ncbi.nlm.nih.gov/articles/PMC12853824/</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Bacterial Genome Instability - PMC, accessed February 23,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https://pmc.ncbi.nlm.nih.gov/articles/PMC3957733/</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Assembly Provides Improved Resolution of Plasmids, Antimicrobial Resistance Genes, and Virulence Factors in Escherichia coli and Klebsiella pneumoniae Clinical Isolates - PMC, accessed February 23, 2026,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https://pmc.ncbi.nlm.nih.gov/articles/PMC8704702/</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Circling in on plasmids: benchmarking plasmid detection and reconstruction tools for short-read data from diverse species | bioRxiv, accessed February 23, 2026, </w:t>
      </w:r>
      <w:hyperlink r:id="rId34">
        <w:r w:rsidDel="00000000" w:rsidR="00000000" w:rsidRPr="00000000">
          <w:rPr>
            <w:rFonts w:ascii="Google Sans" w:cs="Google Sans" w:eastAsia="Google Sans" w:hAnsi="Google Sans"/>
            <w:color w:val="0000ee"/>
            <w:sz w:val="24"/>
            <w:szCs w:val="24"/>
            <w:u w:val="single"/>
            <w:rtl w:val="0"/>
          </w:rPr>
          <w:t xml:space="preserve">https://www.biorxiv.org/content/10.1101/2025.07.28.667252v2.full-text</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Hybracter: Enabling Scalable, Automated, Complete and Accurate Bacterial Genome Assemblies - PMC, accessed February 23, 2026,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https://pmc.ncbi.nlm.nih.gov/articles/PMC10760025/</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Hybrid Approach for the Automated Finishing of Bacterial Genomes - PMC - NIH, accessed February 23, 2026,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https://pmc.ncbi.nlm.nih.gov/articles/PMC3731737/</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RecBCD enzyme and Chi recombination hotspots as determinants of self vs. non-self: Myths and mechanisms - PMC, accessed February 23, 2026,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https://pmc.ncbi.nlm.nih.gov/articles/PMC10047805/</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RecBCD Enzyme “Chi Recognition” Mutants Recognize Chi Recombination Hotspots in the Right DNA Context - PMC, accessed February 23, 2026,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https://pmc.ncbi.nlm.nih.gov/articles/PMC5012381/</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Insights into Chi recognition from the structure of an AddAB-type helicase–nuclease complex - PMC, accessed February 23,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https://pmc.ncbi.nlm.nih.gov/articles/PMC3321194/</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conformational switch in response to Chi converts RecBCD from phage destruction to DNA repair - PMC, accessed February 23, 2026, </w:t>
      </w:r>
      <w:hyperlink r:id="rId40">
        <w:r w:rsidDel="00000000" w:rsidR="00000000" w:rsidRPr="00000000">
          <w:rPr>
            <w:rFonts w:ascii="Google Sans" w:cs="Google Sans" w:eastAsia="Google Sans" w:hAnsi="Google Sans"/>
            <w:color w:val="0000ee"/>
            <w:sz w:val="24"/>
            <w:szCs w:val="24"/>
            <w:u w:val="single"/>
            <w:rtl w:val="0"/>
          </w:rPr>
          <w:t xml:space="preserve">https://pmc.ncbi.nlm.nih.gov/articles/PMC7000243/</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Small-molecule Inhibitors of Bacterial AddAB and RecBCD Helicase-nuclease DNA Repair Enzymes - PMC, accessed February 23, 2026,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https://pmc.ncbi.nlm.nih.gov/articles/PMC3356449/</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Distribution of RecBCD and AddAB recombination-associated genes among bacteria in 33 phyla - PubMed, accessed February 23, 2026, </w:t>
      </w:r>
      <w:hyperlink r:id="rId42">
        <w:r w:rsidDel="00000000" w:rsidR="00000000" w:rsidRPr="00000000">
          <w:rPr>
            <w:rFonts w:ascii="Google Sans" w:cs="Google Sans" w:eastAsia="Google Sans" w:hAnsi="Google Sans"/>
            <w:color w:val="0000ee"/>
            <w:sz w:val="24"/>
            <w:szCs w:val="24"/>
            <w:u w:val="single"/>
            <w:rtl w:val="0"/>
          </w:rPr>
          <w:t xml:space="preserve">https://pubmed.ncbi.nlm.nih.gov/33085588/</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Phylogenetic ubiquity and shuffling of the bacterial RecBCD and AddAB recombination complexes - PubMed, accessed February 23, 2026, </w:t>
      </w:r>
      <w:hyperlink r:id="rId43">
        <w:r w:rsidDel="00000000" w:rsidR="00000000" w:rsidRPr="00000000">
          <w:rPr>
            <w:rFonts w:ascii="Google Sans" w:cs="Google Sans" w:eastAsia="Google Sans" w:hAnsi="Google Sans"/>
            <w:color w:val="0000ee"/>
            <w:sz w:val="24"/>
            <w:szCs w:val="24"/>
            <w:u w:val="single"/>
            <w:rtl w:val="0"/>
          </w:rPr>
          <w:t xml:space="preserve">https://pubmed.ncbi.nlm.nih.gov/19542287/</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Phylogenetic Ubiquity and Shuffling of the Bacterial RecBCD and AddAB Recombination Complexes - PMC, accessed February 23, 2026, </w:t>
      </w:r>
      <w:hyperlink r:id="rId44">
        <w:r w:rsidDel="00000000" w:rsidR="00000000" w:rsidRPr="00000000">
          <w:rPr>
            <w:rFonts w:ascii="Google Sans" w:cs="Google Sans" w:eastAsia="Google Sans" w:hAnsi="Google Sans"/>
            <w:color w:val="0000ee"/>
            <w:sz w:val="24"/>
            <w:szCs w:val="24"/>
            <w:u w:val="single"/>
            <w:rtl w:val="0"/>
          </w:rPr>
          <w:t xml:space="preserve">https://pmc.ncbi.nlm.nih.gov/articles/PMC2725590/</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RecBCD Enzyme and the Repair of Double-Stranded DNA Breaks - PMC, accessed February 23, 2026,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https://pmc.ncbi.nlm.nih.gov/articles/PMC2593567/</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features of Chi recognition in AddAB with implications for RecBCD - PMC - NIH, accessed February 23, 2026,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https://pmc.ncbi.nlm.nih.gov/articles/PMC4614115/</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Integrated conjugative plasmid drives high frequency chromosomal gene transfer in Sulfolobus islandicus - Frontiers, accessed February 23, 2026, </w:t>
      </w:r>
      <w:hyperlink r:id="rId47">
        <w:r w:rsidDel="00000000" w:rsidR="00000000" w:rsidRPr="00000000">
          <w:rPr>
            <w:rFonts w:ascii="Google Sans" w:cs="Google Sans" w:eastAsia="Google Sans" w:hAnsi="Google Sans"/>
            <w:color w:val="0000ee"/>
            <w:sz w:val="24"/>
            <w:szCs w:val="24"/>
            <w:u w:val="single"/>
            <w:rtl w:val="0"/>
          </w:rPr>
          <w:t xml:space="preserve">https://www.frontiersin.org/journals/microbiology/articles/10.3389/fmicb.2023.1114574/full</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Conjugational Genetic Exchange in the Hyperthermophilic Archaeon Sulfolobus acidocaldarius: Intragenic Recombination with Minimal Dependence on Marker Separation - PMC - NIH, accessed February 23, 2026, </w:t>
      </w:r>
      <w:hyperlink r:id="rId48">
        <w:r w:rsidDel="00000000" w:rsidR="00000000" w:rsidRPr="00000000">
          <w:rPr>
            <w:rFonts w:ascii="Google Sans" w:cs="Google Sans" w:eastAsia="Google Sans" w:hAnsi="Google Sans"/>
            <w:color w:val="0000ee"/>
            <w:sz w:val="24"/>
            <w:szCs w:val="24"/>
            <w:u w:val="single"/>
            <w:rtl w:val="0"/>
          </w:rPr>
          <w:t xml:space="preserve">https://pmc.ncbi.nlm.nih.gov/articles/PMC543538/</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Highly efficient CRISPR-Cas9 base editing in Bifidobacterium with bypass of restriction modification systems - PMC, accessed February 23, 2026,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https://pmc.ncbi.nlm.nih.gov/articles/PMC12016496/</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Occurrence and applications of CRISPR-Cas systems in bifidobacteria - ASM Journals, accessed February 23, 2026, </w:t>
      </w:r>
      <w:hyperlink r:id="rId50">
        <w:r w:rsidDel="00000000" w:rsidR="00000000" w:rsidRPr="00000000">
          <w:rPr>
            <w:rFonts w:ascii="Google Sans" w:cs="Google Sans" w:eastAsia="Google Sans" w:hAnsi="Google Sans"/>
            <w:color w:val="0000ee"/>
            <w:sz w:val="24"/>
            <w:szCs w:val="24"/>
            <w:u w:val="single"/>
            <w:rtl w:val="0"/>
          </w:rPr>
          <w:t xml:space="preserve">https://journals.asm.org/doi/10.1128/aem.01703-25</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pyrE Gene as a Bidirectional Selection Marker in Bifidobacterium Longum 105-A, accessed February 23, 2026,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https://www.researchgate.net/publication/263206841_The_pyrE_Gene_as_a_Bidirectional_Selection_Marker_in_Bifidobacterium_Longum_105-A</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Genomics and Adaptive Evolution of Bifidobacterium adolescentis in Geographically Distinct Human Gut Populations - MDPI, accessed February 23, 2026, </w:t>
      </w:r>
      <w:hyperlink r:id="rId52">
        <w:r w:rsidDel="00000000" w:rsidR="00000000" w:rsidRPr="00000000">
          <w:rPr>
            <w:rFonts w:ascii="Google Sans" w:cs="Google Sans" w:eastAsia="Google Sans" w:hAnsi="Google Sans"/>
            <w:color w:val="0000ee"/>
            <w:sz w:val="24"/>
            <w:szCs w:val="24"/>
            <w:u w:val="single"/>
            <w:rtl w:val="0"/>
          </w:rPr>
          <w:t xml:space="preserve">https://www.mdpi.com/2304-8158/14/15/2747</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CABGen: A Web Application for the Bioinformatic Analysis of Bacterial Genomes - Frontiers, accessed February 23, 2026, </w:t>
      </w:r>
      <w:hyperlink r:id="rId53">
        <w:r w:rsidDel="00000000" w:rsidR="00000000" w:rsidRPr="00000000">
          <w:rPr>
            <w:rFonts w:ascii="Google Sans" w:cs="Google Sans" w:eastAsia="Google Sans" w:hAnsi="Google Sans"/>
            <w:color w:val="0000ee"/>
            <w:sz w:val="24"/>
            <w:szCs w:val="24"/>
            <w:u w:val="single"/>
            <w:rtl w:val="0"/>
          </w:rPr>
          <w:t xml:space="preserve">https://www.frontiersin.org/journals/microbiology/articles/10.3389/fmicb.2022.893474/full</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Genetic-Phenotype Analysis of Bifidobacterium bifidum and Its Glycoside Hydrolase Gene Distribution at Different Age Groups - MDPI, accessed February 23, 2026, </w:t>
      </w:r>
      <w:hyperlink r:id="rId54">
        <w:r w:rsidDel="00000000" w:rsidR="00000000" w:rsidRPr="00000000">
          <w:rPr>
            <w:rFonts w:ascii="Google Sans" w:cs="Google Sans" w:eastAsia="Google Sans" w:hAnsi="Google Sans"/>
            <w:color w:val="0000ee"/>
            <w:sz w:val="24"/>
            <w:szCs w:val="24"/>
            <w:u w:val="single"/>
            <w:rtl w:val="0"/>
          </w:rPr>
          <w:t xml:space="preserve">https://www.mdpi.com/2304-8158/12/5/922</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Genomic Analysis of Novel Bifidobacterium longum subsp. longum Strains Reveals Functional Divergence in the Human Gut Microbiota - Semantic Scholar, accessed February 23, 2026, </w:t>
      </w:r>
      <w:hyperlink r:id="rId55">
        <w:r w:rsidDel="00000000" w:rsidR="00000000" w:rsidRPr="00000000">
          <w:rPr>
            <w:rFonts w:ascii="Google Sans" w:cs="Google Sans" w:eastAsia="Google Sans" w:hAnsi="Google Sans"/>
            <w:color w:val="0000ee"/>
            <w:sz w:val="24"/>
            <w:szCs w:val="24"/>
            <w:u w:val="single"/>
            <w:rtl w:val="0"/>
          </w:rPr>
          <w:t xml:space="preserve">https://pdfs.semanticscholar.org/af7e/aa70ad8649179aeae526194246f921379253.pdf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7000243/" TargetMode="External"/><Relationship Id="rId42" Type="http://schemas.openxmlformats.org/officeDocument/2006/relationships/hyperlink" Target="https://pubmed.ncbi.nlm.nih.gov/33085588/" TargetMode="External"/><Relationship Id="rId41" Type="http://schemas.openxmlformats.org/officeDocument/2006/relationships/hyperlink" Target="https://pmc.ncbi.nlm.nih.gov/articles/PMC3356449/" TargetMode="External"/><Relationship Id="rId44" Type="http://schemas.openxmlformats.org/officeDocument/2006/relationships/hyperlink" Target="https://pmc.ncbi.nlm.nih.gov/articles/PMC2725590/" TargetMode="External"/><Relationship Id="rId43" Type="http://schemas.openxmlformats.org/officeDocument/2006/relationships/hyperlink" Target="https://pubmed.ncbi.nlm.nih.gov/19542287/" TargetMode="External"/><Relationship Id="rId46" Type="http://schemas.openxmlformats.org/officeDocument/2006/relationships/hyperlink" Target="https://pmc.ncbi.nlm.nih.gov/articles/PMC4614115/" TargetMode="External"/><Relationship Id="rId45" Type="http://schemas.openxmlformats.org/officeDocument/2006/relationships/hyperlink" Target="https://pmc.ncbi.nlm.nih.gov/articles/PMC259356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pmc.ncbi.nlm.nih.gov/articles/PMC543538/" TargetMode="External"/><Relationship Id="rId47" Type="http://schemas.openxmlformats.org/officeDocument/2006/relationships/hyperlink" Target="https://www.frontiersin.org/journals/microbiology/articles/10.3389/fmicb.2023.1114574/full" TargetMode="External"/><Relationship Id="rId49" Type="http://schemas.openxmlformats.org/officeDocument/2006/relationships/hyperlink" Target="https://pmc.ncbi.nlm.nih.gov/articles/PMC12016496/"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 Id="rId31" Type="http://schemas.openxmlformats.org/officeDocument/2006/relationships/hyperlink" Target="https://pmc.ncbi.nlm.nih.gov/articles/PMC12853824/" TargetMode="External"/><Relationship Id="rId30" Type="http://schemas.openxmlformats.org/officeDocument/2006/relationships/hyperlink" Target="https://pmc.ncbi.nlm.nih.gov/articles/PMC21222/" TargetMode="External"/><Relationship Id="rId33" Type="http://schemas.openxmlformats.org/officeDocument/2006/relationships/hyperlink" Target="https://pmc.ncbi.nlm.nih.gov/articles/PMC8704702/" TargetMode="External"/><Relationship Id="rId32" Type="http://schemas.openxmlformats.org/officeDocument/2006/relationships/hyperlink" Target="https://pmc.ncbi.nlm.nih.gov/articles/PMC3957733/" TargetMode="External"/><Relationship Id="rId35" Type="http://schemas.openxmlformats.org/officeDocument/2006/relationships/hyperlink" Target="https://pmc.ncbi.nlm.nih.gov/articles/PMC10760025/" TargetMode="External"/><Relationship Id="rId34" Type="http://schemas.openxmlformats.org/officeDocument/2006/relationships/hyperlink" Target="https://www.biorxiv.org/content/10.1101/2025.07.28.667252v2.full-text" TargetMode="External"/><Relationship Id="rId37" Type="http://schemas.openxmlformats.org/officeDocument/2006/relationships/hyperlink" Target="https://pmc.ncbi.nlm.nih.gov/articles/PMC10047805/" TargetMode="External"/><Relationship Id="rId36" Type="http://schemas.openxmlformats.org/officeDocument/2006/relationships/hyperlink" Target="https://pmc.ncbi.nlm.nih.gov/articles/PMC3731737/" TargetMode="External"/><Relationship Id="rId39" Type="http://schemas.openxmlformats.org/officeDocument/2006/relationships/hyperlink" Target="https://pmc.ncbi.nlm.nih.gov/articles/PMC3321194/" TargetMode="External"/><Relationship Id="rId38" Type="http://schemas.openxmlformats.org/officeDocument/2006/relationships/hyperlink" Target="https://pmc.ncbi.nlm.nih.gov/articles/PMC5012381/" TargetMode="External"/><Relationship Id="rId20" Type="http://schemas.openxmlformats.org/officeDocument/2006/relationships/hyperlink" Target="https://pmc.ncbi.nlm.nih.gov/articles/PMC12838274/" TargetMode="External"/><Relationship Id="rId22" Type="http://schemas.openxmlformats.org/officeDocument/2006/relationships/hyperlink" Target="https://pmc.ncbi.nlm.nih.gov/articles/PMC316600/" TargetMode="External"/><Relationship Id="rId21" Type="http://schemas.openxmlformats.org/officeDocument/2006/relationships/hyperlink" Target="https://journals.asm.org/doi/10.1128/aem.02074-23" TargetMode="External"/><Relationship Id="rId24" Type="http://schemas.openxmlformats.org/officeDocument/2006/relationships/hyperlink" Target="https://www.researchgate.net/publication/396752221_Investigating_the_restriction-modification_barrier_to_DNA_delivery_in_human_gut_probiotic_bacteria_for_streamlined_genetic_tool_development" TargetMode="External"/><Relationship Id="rId23" Type="http://schemas.openxmlformats.org/officeDocument/2006/relationships/hyperlink" Target="https://www.mdpi.com/2076-2607/11/3/589" TargetMode="External"/><Relationship Id="rId26" Type="http://schemas.openxmlformats.org/officeDocument/2006/relationships/hyperlink" Target="https://journals.asm.org/doi/10.1128/aem.01985-24" TargetMode="External"/><Relationship Id="rId25" Type="http://schemas.openxmlformats.org/officeDocument/2006/relationships/hyperlink" Target="https://lifesciences.danaher.com/us/en/library/plasmid-engineering.html" TargetMode="External"/><Relationship Id="rId28" Type="http://schemas.openxmlformats.org/officeDocument/2006/relationships/hyperlink" Target="https://www.pnas.org/doi/10.1073/pnas.1820256116" TargetMode="External"/><Relationship Id="rId27" Type="http://schemas.openxmlformats.org/officeDocument/2006/relationships/hyperlink" Target="https://www.pnas.org/doi/10.1073/pnas.1603257113" TargetMode="External"/><Relationship Id="rId29" Type="http://schemas.openxmlformats.org/officeDocument/2006/relationships/hyperlink" Target="https://www.researchgate.net/publication/225065871_A_targeted_gene_knockout_method_using_a_newly_constructed_temperature-sensitive_plasmid_mediated_homologous_recombination_in_Bifidobacterium_longum" TargetMode="External"/><Relationship Id="rId51" Type="http://schemas.openxmlformats.org/officeDocument/2006/relationships/hyperlink" Target="https://www.researchgate.net/publication/263206841_The_pyrE_Gene_as_a_Bidirectional_Selection_Marker_in_Bifidobacterium_Longum_105-A" TargetMode="External"/><Relationship Id="rId50" Type="http://schemas.openxmlformats.org/officeDocument/2006/relationships/hyperlink" Target="https://journals.asm.org/doi/10.1128/aem.01703-25" TargetMode="External"/><Relationship Id="rId53" Type="http://schemas.openxmlformats.org/officeDocument/2006/relationships/hyperlink" Target="https://www.frontiersin.org/journals/microbiology/articles/10.3389/fmicb.2022.893474/full" TargetMode="External"/><Relationship Id="rId52" Type="http://schemas.openxmlformats.org/officeDocument/2006/relationships/hyperlink" Target="https://www.mdpi.com/2304-8158/14/15/2747" TargetMode="External"/><Relationship Id="rId11" Type="http://schemas.openxmlformats.org/officeDocument/2006/relationships/hyperlink" Target="https://www.frontiersin.org/journals/microbiology/articles/10.3389/fmicb.2025.1653505/full" TargetMode="External"/><Relationship Id="rId55" Type="http://schemas.openxmlformats.org/officeDocument/2006/relationships/hyperlink" Target="https://pdfs.semanticscholar.org/af7e/aa70ad8649179aeae526194246f921379253.pdf" TargetMode="External"/><Relationship Id="rId10" Type="http://schemas.openxmlformats.org/officeDocument/2006/relationships/image" Target="media/image4.png"/><Relationship Id="rId54" Type="http://schemas.openxmlformats.org/officeDocument/2006/relationships/hyperlink" Target="https://www.mdpi.com/2304-8158/12/5/922" TargetMode="External"/><Relationship Id="rId13" Type="http://schemas.openxmlformats.org/officeDocument/2006/relationships/hyperlink" Target="https://www.pnas.org/doi/10.1073/pnas.2205068119" TargetMode="External"/><Relationship Id="rId12" Type="http://schemas.openxmlformats.org/officeDocument/2006/relationships/hyperlink" Target="https://pmc.ncbi.nlm.nih.gov/articles/PMC2937518/" TargetMode="External"/><Relationship Id="rId15" Type="http://schemas.openxmlformats.org/officeDocument/2006/relationships/hyperlink" Target="https://www.researchgate.net/publication/389716633_Highly_efficient_CRISPR-Cas9_base_editing_in_Bifidobacterium_with_bypass_of_restriction_modification_systems" TargetMode="External"/><Relationship Id="rId14" Type="http://schemas.openxmlformats.org/officeDocument/2006/relationships/hyperlink" Target="https://journals.asm.org/doi/10.1128/aem.01839-25" TargetMode="External"/><Relationship Id="rId17" Type="http://schemas.openxmlformats.org/officeDocument/2006/relationships/hyperlink" Target="https://pmc.ncbi.nlm.nih.gov/articles/PMC10534446/" TargetMode="External"/><Relationship Id="rId16" Type="http://schemas.openxmlformats.org/officeDocument/2006/relationships/hyperlink" Target="https://pubmed.ncbi.nlm.nih.gov/41605290/" TargetMode="External"/><Relationship Id="rId19" Type="http://schemas.openxmlformats.org/officeDocument/2006/relationships/hyperlink" Target="https://www.researchgate.net/publication/228889953_Homologous_recombination_by_RecBCD_and_RecF_pathways" TargetMode="External"/><Relationship Id="rId18" Type="http://schemas.openxmlformats.org/officeDocument/2006/relationships/hyperlink" Target="https://academic.oup.com/nar/article/43/3/e15/241098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