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  <w:b/>
          <w:bCs/>
        </w:rPr>
        <w:t xml:space="preserve">Subnational administration </w:t>
      </w:r>
      <w:proofErr w:type="spellStart"/>
      <w:r w:rsidRPr="005B073E">
        <w:rPr>
          <w:rFonts w:ascii="Calibri Light" w:eastAsia="Times New Roman" w:hAnsi="Calibri Light" w:cs="Calibri Light"/>
          <w:b/>
          <w:bCs/>
        </w:rPr>
        <w:t>shapefile</w:t>
      </w:r>
      <w:proofErr w:type="spellEnd"/>
      <w:r w:rsidRPr="005B073E">
        <w:rPr>
          <w:rFonts w:ascii="Calibri Light" w:eastAsia="Times New Roman" w:hAnsi="Calibri Light" w:cs="Calibri Light"/>
          <w:b/>
          <w:bCs/>
        </w:rPr>
        <w:t xml:space="preserve"> matching: process documentation</w:t>
      </w:r>
      <w:r w:rsidRPr="005B073E">
        <w:rPr>
          <w:rFonts w:ascii="Calibri Light" w:eastAsia="Times New Roman" w:hAnsi="Calibri Light" w:cs="Calibri Light"/>
        </w:rPr>
        <w:t> </w:t>
      </w: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> </w:t>
      </w:r>
    </w:p>
    <w:p w:rsidR="005B073E" w:rsidRPr="005B073E" w:rsidRDefault="00FD459F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  <w:b/>
          <w:bCs/>
        </w:rPr>
        <w:t>Step 1: Cleaning data and initial data quality check</w:t>
      </w:r>
    </w:p>
    <w:p w:rsidR="00FD459F" w:rsidRDefault="005B073E" w:rsidP="00FD459F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>We clean the datasets by replacing diacritics and removing capitalization.  </w:t>
      </w:r>
    </w:p>
    <w:p w:rsidR="005B073E" w:rsidRPr="00FD459F" w:rsidRDefault="00821062" w:rsidP="00FD459F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>Numerator/Denominator</w:t>
      </w:r>
      <w:r w:rsidR="00FD459F">
        <w:rPr>
          <w:rFonts w:ascii="Calibri Light" w:eastAsia="Times New Roman" w:hAnsi="Calibri Light" w:cs="Calibri Light"/>
        </w:rPr>
        <w:t xml:space="preserve"> at admin 2 le</w:t>
      </w:r>
      <w:r>
        <w:rPr>
          <w:rFonts w:ascii="Calibri Light" w:eastAsia="Times New Roman" w:hAnsi="Calibri Light" w:cs="Calibri Light"/>
        </w:rPr>
        <w:t>vel add up to numerator/denominator</w:t>
      </w:r>
      <w:r w:rsidR="00FD459F">
        <w:rPr>
          <w:rFonts w:ascii="Calibri Light" w:eastAsia="Times New Roman" w:hAnsi="Calibri Light" w:cs="Calibri Light"/>
        </w:rPr>
        <w:t xml:space="preserve"> at admin 1 level. </w:t>
      </w: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  <w:b/>
          <w:bCs/>
        </w:rPr>
        <w:t xml:space="preserve">Step 2: Comparing number of administrative units between JRF data and </w:t>
      </w:r>
      <w:r w:rsidR="00FD459F">
        <w:rPr>
          <w:rFonts w:ascii="Calibri Light" w:eastAsia="Times New Roman" w:hAnsi="Calibri Light" w:cs="Calibri Light"/>
          <w:b/>
          <w:bCs/>
        </w:rPr>
        <w:t xml:space="preserve">WHO/Polio </w:t>
      </w:r>
      <w:proofErr w:type="spellStart"/>
      <w:r w:rsidR="00FD459F">
        <w:rPr>
          <w:rFonts w:ascii="Calibri Light" w:eastAsia="Times New Roman" w:hAnsi="Calibri Light" w:cs="Calibri Light"/>
          <w:b/>
          <w:bCs/>
        </w:rPr>
        <w:t>shapefile</w:t>
      </w:r>
      <w:proofErr w:type="spellEnd"/>
      <w:r w:rsidRPr="005B073E">
        <w:rPr>
          <w:rFonts w:ascii="Calibri Light" w:eastAsia="Times New Roman" w:hAnsi="Calibri Light" w:cs="Calibri Light"/>
        </w:rPr>
        <w:t> </w:t>
      </w:r>
    </w:p>
    <w:p w:rsidR="00FD459F" w:rsidRDefault="005B073E" w:rsidP="00FD459F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>We count the number of the most granular administrative units reported with the JRF for each country.</w:t>
      </w:r>
      <w:r w:rsidR="00821062">
        <w:rPr>
          <w:rFonts w:ascii="Calibri Light" w:eastAsia="Times New Roman" w:hAnsi="Calibri Light" w:cs="Calibri Light"/>
        </w:rPr>
        <w:t xml:space="preserve"> </w:t>
      </w:r>
      <w:r w:rsidR="00FD459F">
        <w:rPr>
          <w:rFonts w:ascii="Calibri Light" w:eastAsia="Times New Roman" w:hAnsi="Calibri Light" w:cs="Calibri Light"/>
        </w:rPr>
        <w:t xml:space="preserve">The reported administrative unit counts are compared to </w:t>
      </w:r>
      <w:r w:rsidR="00FD459F" w:rsidRPr="005B073E">
        <w:rPr>
          <w:rFonts w:ascii="Calibri Light" w:eastAsia="Times New Roman" w:hAnsi="Calibri Light" w:cs="Calibri Light"/>
        </w:rPr>
        <w:t>corresponding administrative unit counts</w:t>
      </w:r>
      <w:r w:rsidR="00FD459F">
        <w:rPr>
          <w:rFonts w:ascii="Calibri Light" w:eastAsia="Times New Roman" w:hAnsi="Calibri Light" w:cs="Calibri Light"/>
        </w:rPr>
        <w:t xml:space="preserve"> of WHO/Polio </w:t>
      </w:r>
      <w:proofErr w:type="spellStart"/>
      <w:r w:rsidR="00FD459F">
        <w:rPr>
          <w:rFonts w:ascii="Calibri Light" w:eastAsia="Times New Roman" w:hAnsi="Calibri Light" w:cs="Calibri Light"/>
        </w:rPr>
        <w:t>shapefile</w:t>
      </w:r>
      <w:proofErr w:type="spellEnd"/>
      <w:r w:rsidR="00FD459F">
        <w:rPr>
          <w:rFonts w:ascii="Calibri Light" w:eastAsia="Times New Roman" w:hAnsi="Calibri Light" w:cs="Calibri Light"/>
        </w:rPr>
        <w:t xml:space="preserve"> subset to the year in which the JRF data was collected. If they are different, we look at </w:t>
      </w:r>
      <w:r w:rsidR="00FD459F" w:rsidRPr="005B073E">
        <w:rPr>
          <w:rFonts w:ascii="Calibri Light" w:eastAsia="Times New Roman" w:hAnsi="Calibri Light" w:cs="Calibri Light"/>
        </w:rPr>
        <w:t xml:space="preserve">the surrounding years in the WHO </w:t>
      </w:r>
      <w:proofErr w:type="spellStart"/>
      <w:r w:rsidR="00FD459F" w:rsidRPr="005B073E">
        <w:rPr>
          <w:rFonts w:ascii="Calibri Light" w:eastAsia="Times New Roman" w:hAnsi="Calibri Light" w:cs="Calibri Light"/>
        </w:rPr>
        <w:t>shapefile</w:t>
      </w:r>
      <w:proofErr w:type="spellEnd"/>
      <w:r w:rsidR="00FD459F">
        <w:rPr>
          <w:rFonts w:ascii="Calibri Light" w:eastAsia="Times New Roman" w:hAnsi="Calibri Light" w:cs="Calibri Light"/>
        </w:rPr>
        <w:t xml:space="preserve"> </w:t>
      </w:r>
      <w:r w:rsidR="00FD459F" w:rsidRPr="005B073E">
        <w:rPr>
          <w:rFonts w:ascii="Calibri Light" w:eastAsia="Times New Roman" w:hAnsi="Calibri Light" w:cs="Calibri Light"/>
        </w:rPr>
        <w:t>(e.g. year before, year after, if available) to see if that improves the match</w:t>
      </w:r>
      <w:r w:rsidR="00FD459F">
        <w:rPr>
          <w:rFonts w:ascii="Calibri Light" w:eastAsia="Times New Roman" w:hAnsi="Calibri Light" w:cs="Calibri Light"/>
        </w:rPr>
        <w:t xml:space="preserve">. If they </w:t>
      </w:r>
      <w:r w:rsidR="00821062">
        <w:rPr>
          <w:rFonts w:ascii="Calibri Light" w:eastAsia="Times New Roman" w:hAnsi="Calibri Light" w:cs="Calibri Light"/>
        </w:rPr>
        <w:t xml:space="preserve">are still different, we record the difference and </w:t>
      </w:r>
      <w:r w:rsidR="0091300C">
        <w:rPr>
          <w:rFonts w:ascii="Calibri Light" w:eastAsia="Times New Roman" w:hAnsi="Calibri Light" w:cs="Calibri Light"/>
        </w:rPr>
        <w:t>flag</w:t>
      </w:r>
      <w:r w:rsidR="00821062">
        <w:rPr>
          <w:rFonts w:ascii="Calibri Light" w:eastAsia="Times New Roman" w:hAnsi="Calibri Light" w:cs="Calibri Light"/>
        </w:rPr>
        <w:t xml:space="preserve"> for WHO.</w:t>
      </w:r>
    </w:p>
    <w:p w:rsidR="004C6C45" w:rsidRDefault="004C6C45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</w:p>
    <w:p w:rsidR="004C6C45" w:rsidRPr="00925760" w:rsidRDefault="004C6C45" w:rsidP="004C6C45">
      <w:pPr>
        <w:spacing w:after="0" w:line="240" w:lineRule="auto"/>
        <w:textAlignment w:val="baseline"/>
        <w:rPr>
          <w:rFonts w:ascii="Calibri Light" w:eastAsia="Times New Roman" w:hAnsi="Calibri Light" w:cs="Calibri Light"/>
          <w:i/>
        </w:rPr>
      </w:pPr>
      <w:r w:rsidRPr="00925760">
        <w:rPr>
          <w:rFonts w:ascii="Calibri Light" w:eastAsia="Times New Roman" w:hAnsi="Calibri Light" w:cs="Calibri Light"/>
          <w:i/>
        </w:rPr>
        <w:t xml:space="preserve">Optional step: </w:t>
      </w:r>
    </w:p>
    <w:p w:rsidR="005B073E" w:rsidRPr="004C6C45" w:rsidRDefault="004C6C45" w:rsidP="004C6C45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</w:rPr>
      </w:pPr>
      <w:r>
        <w:rPr>
          <w:rFonts w:ascii="Calibri Light" w:eastAsia="Times New Roman" w:hAnsi="Calibri Light" w:cs="Calibri Light"/>
        </w:rPr>
        <w:t xml:space="preserve">If the WHO/Polio </w:t>
      </w:r>
      <w:proofErr w:type="spellStart"/>
      <w:r>
        <w:rPr>
          <w:rFonts w:ascii="Calibri Light" w:eastAsia="Times New Roman" w:hAnsi="Calibri Light" w:cs="Calibri Light"/>
        </w:rPr>
        <w:t>shapefile</w:t>
      </w:r>
      <w:proofErr w:type="spellEnd"/>
      <w:r>
        <w:rPr>
          <w:rFonts w:ascii="Calibri Light" w:eastAsia="Times New Roman" w:hAnsi="Calibri Light" w:cs="Calibri Light"/>
        </w:rPr>
        <w:t xml:space="preserve"> unit counts comparison is different, </w:t>
      </w:r>
      <w:proofErr w:type="gramStart"/>
      <w:r>
        <w:rPr>
          <w:rFonts w:ascii="Calibri Light" w:eastAsia="Times New Roman" w:hAnsi="Calibri Light" w:cs="Calibri Light"/>
        </w:rPr>
        <w:t>The</w:t>
      </w:r>
      <w:proofErr w:type="gramEnd"/>
      <w:r>
        <w:rPr>
          <w:rFonts w:ascii="Calibri Light" w:eastAsia="Times New Roman" w:hAnsi="Calibri Light" w:cs="Calibri Light"/>
        </w:rPr>
        <w:t xml:space="preserve"> reported administrative unit counts are compared to </w:t>
      </w:r>
      <w:r w:rsidRPr="005B073E">
        <w:rPr>
          <w:rFonts w:ascii="Calibri Light" w:eastAsia="Times New Roman" w:hAnsi="Calibri Light" w:cs="Calibri Light"/>
        </w:rPr>
        <w:t>corresponding administrative unit counts</w:t>
      </w:r>
      <w:r>
        <w:rPr>
          <w:rFonts w:ascii="Calibri Light" w:eastAsia="Times New Roman" w:hAnsi="Calibri Light" w:cs="Calibri Light"/>
        </w:rPr>
        <w:t xml:space="preserve"> of</w:t>
      </w:r>
      <w:r>
        <w:rPr>
          <w:rFonts w:ascii="Calibri Light" w:eastAsia="Times New Roman" w:hAnsi="Calibri Light" w:cs="Calibri Light"/>
        </w:rPr>
        <w:t xml:space="preserve"> every available IHME </w:t>
      </w:r>
      <w:proofErr w:type="spellStart"/>
      <w:r>
        <w:rPr>
          <w:rFonts w:ascii="Calibri Light" w:eastAsia="Times New Roman" w:hAnsi="Calibri Light" w:cs="Calibri Light"/>
        </w:rPr>
        <w:t>shapefiles</w:t>
      </w:r>
      <w:proofErr w:type="spellEnd"/>
      <w:r>
        <w:rPr>
          <w:rFonts w:ascii="Calibri Light" w:eastAsia="Times New Roman" w:hAnsi="Calibri Light" w:cs="Calibri Light"/>
        </w:rPr>
        <w:t xml:space="preserve"> library. The results are documented and flagged for WHO.</w:t>
      </w:r>
    </w:p>
    <w:p w:rsidR="004C6C45" w:rsidRPr="005B073E" w:rsidRDefault="004C6C45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  <w:b/>
          <w:bCs/>
        </w:rPr>
        <w:t>Step 3: Matching administra</w:t>
      </w:r>
      <w:r w:rsidR="00821062">
        <w:rPr>
          <w:rFonts w:ascii="Calibri Light" w:eastAsia="Times New Roman" w:hAnsi="Calibri Light" w:cs="Calibri Light"/>
          <w:b/>
          <w:bCs/>
        </w:rPr>
        <w:t>tive name between JRF data and WHO/Polio shapefile</w:t>
      </w:r>
      <w:r w:rsidRPr="005B073E">
        <w:rPr>
          <w:rFonts w:ascii="Calibri Light" w:eastAsia="Times New Roman" w:hAnsi="Calibri Light" w:cs="Calibri Light"/>
        </w:rPr>
        <w:t> </w:t>
      </w:r>
    </w:p>
    <w:p w:rsidR="004C6C45" w:rsidRDefault="00821062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>For countries where the unit counts are perfectly match</w:t>
      </w:r>
      <w:r w:rsidR="005B073E" w:rsidRPr="005B073E">
        <w:rPr>
          <w:rFonts w:ascii="Calibri Light" w:eastAsia="Times New Roman" w:hAnsi="Calibri Light" w:cs="Calibri Light"/>
        </w:rPr>
        <w:t>, </w:t>
      </w:r>
      <w:r w:rsidR="0091300C">
        <w:rPr>
          <w:rFonts w:ascii="Calibri Light" w:eastAsia="Times New Roman" w:hAnsi="Calibri Light" w:cs="Calibri Light"/>
        </w:rPr>
        <w:t xml:space="preserve">we match </w:t>
      </w:r>
      <w:r w:rsidR="0091300C" w:rsidRPr="005B073E">
        <w:rPr>
          <w:rFonts w:ascii="Calibri Light" w:eastAsia="Times New Roman" w:hAnsi="Calibri Light" w:cs="Calibri Light"/>
        </w:rPr>
        <w:t xml:space="preserve">both the first- and second-level administrative unit names </w:t>
      </w:r>
      <w:r w:rsidR="0091300C">
        <w:rPr>
          <w:rFonts w:ascii="Calibri Light" w:eastAsia="Times New Roman" w:hAnsi="Calibri Light" w:cs="Calibri Light"/>
        </w:rPr>
        <w:t>from the administrative data to</w:t>
      </w:r>
      <w:r w:rsidR="0091300C" w:rsidRPr="005B073E">
        <w:rPr>
          <w:rFonts w:ascii="Calibri Light" w:eastAsia="Times New Roman" w:hAnsi="Calibri Light" w:cs="Calibri Light"/>
        </w:rPr>
        <w:t xml:space="preserve"> </w:t>
      </w:r>
      <w:r w:rsidR="0091300C">
        <w:rPr>
          <w:rFonts w:ascii="Calibri Light" w:eastAsia="Times New Roman" w:hAnsi="Calibri Light" w:cs="Calibri Light"/>
        </w:rPr>
        <w:t xml:space="preserve">WHO/Polio </w:t>
      </w:r>
      <w:proofErr w:type="spellStart"/>
      <w:r w:rsidR="0091300C">
        <w:rPr>
          <w:rFonts w:ascii="Calibri Light" w:eastAsia="Times New Roman" w:hAnsi="Calibri Light" w:cs="Calibri Light"/>
        </w:rPr>
        <w:t>shapefile</w:t>
      </w:r>
      <w:proofErr w:type="spellEnd"/>
      <w:r w:rsidR="0091300C">
        <w:rPr>
          <w:rFonts w:ascii="Calibri Light" w:eastAsia="Times New Roman" w:hAnsi="Calibri Light" w:cs="Calibri Light"/>
        </w:rPr>
        <w:t xml:space="preserve"> using WHO synonym library</w:t>
      </w:r>
      <w:r w:rsidR="00925760">
        <w:rPr>
          <w:rFonts w:ascii="Calibri Light" w:eastAsia="Times New Roman" w:hAnsi="Calibri Light" w:cs="Calibri Light"/>
        </w:rPr>
        <w:t>. All</w:t>
      </w:r>
      <w:r w:rsidR="00925760" w:rsidRPr="005B073E">
        <w:rPr>
          <w:rFonts w:ascii="Calibri Light" w:eastAsia="Times New Roman" w:hAnsi="Calibri Light" w:cs="Calibri Light"/>
        </w:rPr>
        <w:t xml:space="preserve"> unsuccessful matchings/unmatched polygons are documented </w:t>
      </w:r>
      <w:r w:rsidR="00925760">
        <w:rPr>
          <w:rFonts w:ascii="Calibri Light" w:eastAsia="Times New Roman" w:hAnsi="Calibri Light" w:cs="Calibri Light"/>
        </w:rPr>
        <w:t>and flagged for WHO</w:t>
      </w:r>
    </w:p>
    <w:p w:rsidR="004C6C45" w:rsidRDefault="004C6C45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</w:p>
    <w:p w:rsidR="004C6C45" w:rsidRPr="00925760" w:rsidRDefault="004C6C45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  <w:i/>
        </w:rPr>
      </w:pPr>
      <w:r w:rsidRPr="00925760">
        <w:rPr>
          <w:rFonts w:ascii="Calibri Light" w:eastAsia="Times New Roman" w:hAnsi="Calibri Light" w:cs="Calibri Light"/>
          <w:i/>
        </w:rPr>
        <w:t>Optional step</w:t>
      </w:r>
      <w:r w:rsidR="00925760">
        <w:rPr>
          <w:rFonts w:ascii="Calibri Light" w:eastAsia="Times New Roman" w:hAnsi="Calibri Light" w:cs="Calibri Light"/>
          <w:i/>
        </w:rPr>
        <w:t>:</w:t>
      </w:r>
    </w:p>
    <w:p w:rsidR="005B073E" w:rsidRPr="005B073E" w:rsidRDefault="0091300C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If there is any difference in </w:t>
      </w:r>
      <w:r w:rsidRPr="005B073E">
        <w:rPr>
          <w:rFonts w:ascii="Calibri Light" w:eastAsia="Times New Roman" w:hAnsi="Calibri Light" w:cs="Calibri Light"/>
        </w:rPr>
        <w:t>administrative unit names</w:t>
      </w:r>
      <w:r>
        <w:rPr>
          <w:rFonts w:ascii="Calibri Light" w:eastAsia="Times New Roman" w:hAnsi="Calibri Light" w:cs="Calibri Light"/>
        </w:rPr>
        <w:t>, we</w:t>
      </w:r>
      <w:r w:rsidR="005B073E" w:rsidRPr="005B073E">
        <w:rPr>
          <w:rFonts w:ascii="Calibri Light" w:eastAsia="Times New Roman" w:hAnsi="Calibri Light" w:cs="Calibri Light"/>
        </w:rPr>
        <w:t> then use a fuzzy matching algorithm from the </w:t>
      </w:r>
      <w:proofErr w:type="spellStart"/>
      <w:r w:rsidR="005B073E" w:rsidRPr="005B073E">
        <w:rPr>
          <w:rFonts w:ascii="Calibri Light" w:eastAsia="Times New Roman" w:hAnsi="Calibri Light" w:cs="Calibri Light"/>
        </w:rPr>
        <w:t>stringdist</w:t>
      </w:r>
      <w:proofErr w:type="spellEnd"/>
      <w:r>
        <w:rPr>
          <w:rFonts w:ascii="Calibri Light" w:eastAsia="Times New Roman" w:hAnsi="Calibri Light" w:cs="Calibri Light"/>
        </w:rPr>
        <w:t> package in R</w:t>
      </w:r>
      <w:r w:rsidR="005B073E" w:rsidRPr="005B073E">
        <w:rPr>
          <w:rFonts w:ascii="Calibri Light" w:eastAsia="Times New Roman" w:hAnsi="Calibri Light" w:cs="Calibri Light"/>
        </w:rPr>
        <w:t>. The </w:t>
      </w:r>
      <w:proofErr w:type="spellStart"/>
      <w:r w:rsidR="005B073E" w:rsidRPr="005B073E">
        <w:rPr>
          <w:rFonts w:ascii="Calibri Light" w:eastAsia="Times New Roman" w:hAnsi="Calibri Light" w:cs="Calibri Light"/>
        </w:rPr>
        <w:t>stringdist</w:t>
      </w:r>
      <w:proofErr w:type="spellEnd"/>
      <w:r w:rsidR="005B073E" w:rsidRPr="005B073E">
        <w:rPr>
          <w:rFonts w:ascii="Calibri Light" w:eastAsia="Times New Roman" w:hAnsi="Calibri Light" w:cs="Calibri Light"/>
        </w:rPr>
        <w:t> package has multiple string distance methods to compare the difference between two string sequence: </w:t>
      </w: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Segoe UI" w:eastAsia="Times New Roman" w:hAnsi="Segoe UI" w:cs="Segoe UI"/>
          <w:sz w:val="18"/>
          <w:szCs w:val="18"/>
        </w:rPr>
        <w:t>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7005"/>
      </w:tblGrid>
      <w:tr w:rsidR="005B073E" w:rsidRPr="005B073E" w:rsidTr="005B073E"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  <w:b/>
                <w:bCs/>
              </w:rPr>
              <w:t>Method </w:t>
            </w:r>
            <w:r w:rsidRPr="005B073E">
              <w:rPr>
                <w:rFonts w:ascii="Calibri Light" w:eastAsia="Times New Roman" w:hAnsi="Calibri Light" w:cs="Calibri Light"/>
              </w:rPr>
              <w:t> </w:t>
            </w:r>
          </w:p>
        </w:tc>
        <w:tc>
          <w:tcPr>
            <w:tcW w:w="70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  <w:b/>
                <w:bCs/>
              </w:rPr>
              <w:t>Description </w:t>
            </w:r>
            <w:r w:rsidRPr="005B073E">
              <w:rPr>
                <w:rFonts w:ascii="Calibri Light" w:eastAsia="Times New Roman" w:hAnsi="Calibri Light" w:cs="Calibri Light"/>
              </w:rPr>
              <w:t>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osa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Optimal string alignment, (restricted </w:t>
            </w:r>
            <w:proofErr w:type="spellStart"/>
            <w:r w:rsidRPr="005B073E">
              <w:rPr>
                <w:rFonts w:ascii="Calibri Light" w:eastAsia="Times New Roman" w:hAnsi="Calibri Light" w:cs="Calibri Light"/>
              </w:rPr>
              <w:t>Damerau-Levenshtein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distance)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lv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Levenshtein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distance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dl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Full </w:t>
            </w:r>
            <w:proofErr w:type="spellStart"/>
            <w:r w:rsidRPr="005B073E">
              <w:rPr>
                <w:rFonts w:ascii="Calibri Light" w:eastAsia="Times New Roman" w:hAnsi="Calibri Light" w:cs="Calibri Light"/>
              </w:rPr>
              <w:t>Damerau-Levenshtein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distance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hamming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Hamming distance (string a and string b must have same number of character)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lcs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Longest common substring distance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qgram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1-gram distance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cosine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073E">
              <w:rPr>
                <w:rFonts w:ascii="Calibri Light" w:eastAsia="Times New Roman" w:hAnsi="Calibri Light" w:cs="Calibri Light"/>
              </w:rPr>
              <w:t>Cosine distance between q-gram profiles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jaccard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Jaccard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 xml:space="preserve"> distance between q-gram profiles  </w:t>
            </w:r>
          </w:p>
        </w:tc>
      </w:tr>
      <w:tr w:rsidR="005B073E" w:rsidRPr="005B073E" w:rsidTr="005B073E"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jw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 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5B073E" w:rsidRPr="005B073E" w:rsidRDefault="005B073E" w:rsidP="005B0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073E">
              <w:rPr>
                <w:rFonts w:ascii="Calibri Light" w:eastAsia="Times New Roman" w:hAnsi="Calibri Light" w:cs="Calibri Light"/>
              </w:rPr>
              <w:t>Jaro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, or </w:t>
            </w:r>
            <w:proofErr w:type="spellStart"/>
            <w:r w:rsidRPr="005B073E">
              <w:rPr>
                <w:rFonts w:ascii="Calibri Light" w:eastAsia="Times New Roman" w:hAnsi="Calibri Light" w:cs="Calibri Light"/>
              </w:rPr>
              <w:t>Jaro</w:t>
            </w:r>
            <w:proofErr w:type="spellEnd"/>
            <w:r w:rsidRPr="005B073E">
              <w:rPr>
                <w:rFonts w:ascii="Calibri Light" w:eastAsia="Times New Roman" w:hAnsi="Calibri Light" w:cs="Calibri Light"/>
              </w:rPr>
              <w:t>-Winker distance  </w:t>
            </w:r>
          </w:p>
        </w:tc>
      </w:tr>
    </w:tbl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> </w:t>
      </w:r>
    </w:p>
    <w:p w:rsidR="00925760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 xml:space="preserve">We try all matching methods listed above for each country and choose the one with highest number of matched administrative units, without additional units reported in the </w:t>
      </w:r>
      <w:proofErr w:type="spellStart"/>
      <w:r w:rsidRPr="005B073E">
        <w:rPr>
          <w:rFonts w:ascii="Calibri Light" w:eastAsia="Times New Roman" w:hAnsi="Calibri Light" w:cs="Calibri Light"/>
        </w:rPr>
        <w:t>shapefile</w:t>
      </w:r>
      <w:proofErr w:type="spellEnd"/>
      <w:r w:rsidRPr="005B073E">
        <w:rPr>
          <w:rFonts w:ascii="Calibri Light" w:eastAsia="Times New Roman" w:hAnsi="Calibri Light" w:cs="Calibri Light"/>
        </w:rPr>
        <w:t>. If there is a tie between two or more matching methods, we investigate further using manual matching validation (below) </w:t>
      </w:r>
      <w:r w:rsidR="00821062">
        <w:rPr>
          <w:rFonts w:ascii="Calibri Light" w:eastAsia="Times New Roman" w:hAnsi="Calibri Light" w:cs="Calibri Light"/>
        </w:rPr>
        <w:t>to determine the better method.</w:t>
      </w:r>
      <w:r w:rsidR="004C6C45">
        <w:rPr>
          <w:rFonts w:ascii="Calibri Light" w:eastAsia="Times New Roman" w:hAnsi="Calibri Light" w:cs="Calibri Light"/>
        </w:rPr>
        <w:t xml:space="preserve"> </w:t>
      </w:r>
    </w:p>
    <w:p w:rsidR="0091300C" w:rsidRDefault="00925760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All the </w:t>
      </w:r>
      <w:r w:rsidRPr="005B073E">
        <w:rPr>
          <w:rFonts w:ascii="Calibri Light" w:eastAsia="Times New Roman" w:hAnsi="Calibri Light" w:cs="Calibri Light"/>
        </w:rPr>
        <w:t>matches derived from the fuzzy matching algorithm</w:t>
      </w:r>
      <w:r w:rsidRPr="005B073E">
        <w:rPr>
          <w:rFonts w:ascii="Calibri Light" w:eastAsia="Times New Roman" w:hAnsi="Calibri Light" w:cs="Calibri Light"/>
        </w:rPr>
        <w:t xml:space="preserve"> </w:t>
      </w:r>
      <w:r>
        <w:rPr>
          <w:rFonts w:ascii="Calibri Light" w:eastAsia="Times New Roman" w:hAnsi="Calibri Light" w:cs="Calibri Light"/>
        </w:rPr>
        <w:t>are</w:t>
      </w:r>
      <w:r w:rsidR="004C6C45" w:rsidRPr="005B073E">
        <w:rPr>
          <w:rFonts w:ascii="Calibri Light" w:eastAsia="Times New Roman" w:hAnsi="Calibri Light" w:cs="Calibri Light"/>
        </w:rPr>
        <w:t xml:space="preserve"> manually verified</w:t>
      </w:r>
      <w:r w:rsidR="004C6C45">
        <w:rPr>
          <w:rFonts w:ascii="Calibri Light" w:eastAsia="Times New Roman" w:hAnsi="Calibri Light" w:cs="Calibri Light"/>
        </w:rPr>
        <w:t xml:space="preserve"> using </w:t>
      </w:r>
      <w:r w:rsidRPr="005B073E">
        <w:rPr>
          <w:rFonts w:ascii="Calibri Light" w:eastAsia="Times New Roman" w:hAnsi="Calibri Light" w:cs="Calibri Light"/>
        </w:rPr>
        <w:t>external sources (such as online mapping platforms, country GIS data, news articles, or other publicly-</w:t>
      </w:r>
      <w:r w:rsidRPr="005B073E">
        <w:rPr>
          <w:rFonts w:ascii="Calibri Light" w:eastAsia="Times New Roman" w:hAnsi="Calibri Light" w:cs="Calibri Light"/>
        </w:rPr>
        <w:lastRenderedPageBreak/>
        <w:t>available resources describing the evolution of subnational administrative divisions over time)</w:t>
      </w:r>
      <w:r>
        <w:rPr>
          <w:rFonts w:ascii="Calibri Light" w:eastAsia="Times New Roman" w:hAnsi="Calibri Light" w:cs="Calibri Light"/>
        </w:rPr>
        <w:t xml:space="preserve">. </w:t>
      </w:r>
      <w:r w:rsidR="0091300C">
        <w:rPr>
          <w:rFonts w:ascii="Calibri Light" w:eastAsia="Times New Roman" w:hAnsi="Calibri Light" w:cs="Calibri Light"/>
        </w:rPr>
        <w:t xml:space="preserve">All the matchings using </w:t>
      </w:r>
      <w:proofErr w:type="spellStart"/>
      <w:r w:rsidR="0091300C">
        <w:rPr>
          <w:rFonts w:ascii="Calibri Light" w:eastAsia="Times New Roman" w:hAnsi="Calibri Light" w:cs="Calibri Light"/>
        </w:rPr>
        <w:t>stringdist</w:t>
      </w:r>
      <w:proofErr w:type="spellEnd"/>
      <w:r w:rsidR="0091300C">
        <w:rPr>
          <w:rFonts w:ascii="Calibri Light" w:eastAsia="Times New Roman" w:hAnsi="Calibri Light" w:cs="Calibri Light"/>
        </w:rPr>
        <w:t xml:space="preserve"> package are documented and flag for WHO</w:t>
      </w:r>
    </w:p>
    <w:p w:rsidR="005B073E" w:rsidRPr="005B073E" w:rsidRDefault="005B073E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 w:rsidRPr="005B073E">
        <w:rPr>
          <w:rFonts w:ascii="Calibri Light" w:eastAsia="Times New Roman" w:hAnsi="Calibri Light" w:cs="Calibri Light"/>
        </w:rPr>
        <w:t>  </w:t>
      </w:r>
    </w:p>
    <w:p w:rsidR="005B073E" w:rsidRPr="005B073E" w:rsidRDefault="00925760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  <w:b/>
          <w:bCs/>
        </w:rPr>
        <w:t>Step 4</w:t>
      </w:r>
      <w:r w:rsidR="005B073E" w:rsidRPr="005B073E">
        <w:rPr>
          <w:rFonts w:ascii="Calibri Light" w:eastAsia="Times New Roman" w:hAnsi="Calibri Light" w:cs="Calibri Light"/>
          <w:b/>
          <w:bCs/>
        </w:rPr>
        <w:t>: Updating synonym library</w:t>
      </w:r>
      <w:r w:rsidR="005B073E" w:rsidRPr="005B073E">
        <w:rPr>
          <w:rFonts w:ascii="Calibri Light" w:eastAsia="Times New Roman" w:hAnsi="Calibri Light" w:cs="Calibri Light"/>
        </w:rPr>
        <w:t> </w:t>
      </w:r>
    </w:p>
    <w:p w:rsidR="003F04D7" w:rsidRDefault="00925760" w:rsidP="005B073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 Light" w:eastAsia="Times New Roman" w:hAnsi="Calibri Light" w:cs="Calibri Light"/>
        </w:rPr>
        <w:t xml:space="preserve">Any differences in </w:t>
      </w:r>
      <w:r w:rsidRPr="005B073E">
        <w:rPr>
          <w:rFonts w:ascii="Calibri Light" w:eastAsia="Times New Roman" w:hAnsi="Calibri Light" w:cs="Calibri Light"/>
        </w:rPr>
        <w:t>administrative unit names</w:t>
      </w:r>
      <w:r>
        <w:rPr>
          <w:rFonts w:ascii="Calibri Light" w:eastAsia="Times New Roman" w:hAnsi="Calibri Light" w:cs="Calibri Light"/>
        </w:rPr>
        <w:t xml:space="preserve"> are validated by WHO and added</w:t>
      </w:r>
      <w:r w:rsidRPr="005B073E">
        <w:rPr>
          <w:rFonts w:ascii="Calibri Light" w:eastAsia="Times New Roman" w:hAnsi="Calibri Light" w:cs="Calibri Light"/>
        </w:rPr>
        <w:t xml:space="preserve"> to</w:t>
      </w:r>
      <w:r w:rsidR="005B073E" w:rsidRPr="005B073E">
        <w:rPr>
          <w:rFonts w:ascii="Calibri Light" w:eastAsia="Times New Roman" w:hAnsi="Calibri Light" w:cs="Calibri Light"/>
        </w:rPr>
        <w:t xml:space="preserve"> a synonym library which was used to facilitate matching of subsequent years of data</w:t>
      </w:r>
      <w:r>
        <w:rPr>
          <w:rFonts w:ascii="Calibri Light" w:eastAsia="Times New Roman" w:hAnsi="Calibri Light" w:cs="Calibri Light"/>
        </w:rPr>
        <w:t>.</w:t>
      </w:r>
      <w:r w:rsidR="005B073E" w:rsidRPr="005B073E">
        <w:rPr>
          <w:rFonts w:ascii="Calibri" w:eastAsia="Times New Roman" w:hAnsi="Calibri" w:cs="Calibri"/>
        </w:rPr>
        <w:t> </w:t>
      </w:r>
    </w:p>
    <w:p w:rsidR="003F04D7" w:rsidRDefault="003F04D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:rsidR="005B073E" w:rsidRDefault="003F04D7" w:rsidP="005B073E">
      <w:pPr>
        <w:spacing w:after="0" w:line="240" w:lineRule="auto"/>
        <w:textAlignment w:val="baseline"/>
        <w:rPr>
          <w:rStyle w:val="eop"/>
          <w:rFonts w:ascii="Calibri Light" w:hAnsi="Calibri Light" w:cs="Calibri Light"/>
          <w:color w:val="000000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hd w:val="clear" w:color="auto" w:fill="FFFFFF"/>
        </w:rPr>
        <w:lastRenderedPageBreak/>
        <w:t xml:space="preserve">Subnational administrative data </w:t>
      </w:r>
      <w:proofErr w:type="spellStart"/>
      <w:r>
        <w:rPr>
          <w:rStyle w:val="normaltextrun"/>
          <w:rFonts w:ascii="Calibri Light" w:hAnsi="Calibri Light" w:cs="Calibri Light"/>
          <w:b/>
          <w:bCs/>
          <w:color w:val="000000"/>
          <w:shd w:val="clear" w:color="auto" w:fill="FFFFFF"/>
        </w:rPr>
        <w:t>shapefile</w:t>
      </w:r>
      <w:proofErr w:type="spellEnd"/>
      <w:r>
        <w:rPr>
          <w:rStyle w:val="normaltextrun"/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 matching: flowchart</w:t>
      </w:r>
      <w:r>
        <w:rPr>
          <w:rStyle w:val="eop"/>
          <w:rFonts w:ascii="Calibri Light" w:hAnsi="Calibri Light" w:cs="Calibri Light"/>
          <w:color w:val="000000"/>
          <w:shd w:val="clear" w:color="auto" w:fill="FFFFFF"/>
        </w:rPr>
        <w:t> </w:t>
      </w:r>
    </w:p>
    <w:p w:rsidR="003F04D7" w:rsidRPr="005B073E" w:rsidRDefault="003F04D7" w:rsidP="005B073E">
      <w:pPr>
        <w:spacing w:after="0" w:line="240" w:lineRule="auto"/>
        <w:textAlignment w:val="baseline"/>
        <w:rPr>
          <w:rFonts w:ascii="Calibri Light" w:eastAsia="Times New Roman" w:hAnsi="Calibri Light" w:cs="Calibri Light"/>
        </w:rPr>
      </w:pPr>
      <w:bookmarkStart w:id="0" w:name="_GoBack"/>
      <w:bookmarkEnd w:id="0"/>
    </w:p>
    <w:p w:rsidR="00584FCD" w:rsidRDefault="003F04D7">
      <w:r>
        <w:rPr>
          <w:noProof/>
        </w:rPr>
        <w:drawing>
          <wp:inline distT="0" distB="0" distL="0" distR="0">
            <wp:extent cx="5943600" cy="7427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dated_JRF_matching_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1004"/>
    <w:multiLevelType w:val="multilevel"/>
    <w:tmpl w:val="353A6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4144A42"/>
    <w:multiLevelType w:val="multilevel"/>
    <w:tmpl w:val="1E2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8317F1"/>
    <w:multiLevelType w:val="multilevel"/>
    <w:tmpl w:val="6A2C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C0D35"/>
    <w:multiLevelType w:val="multilevel"/>
    <w:tmpl w:val="B37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E6709"/>
    <w:multiLevelType w:val="multilevel"/>
    <w:tmpl w:val="252E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22679"/>
    <w:multiLevelType w:val="multilevel"/>
    <w:tmpl w:val="3F945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2A65CD"/>
    <w:multiLevelType w:val="multilevel"/>
    <w:tmpl w:val="6CA2E6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BE715DB"/>
    <w:multiLevelType w:val="multilevel"/>
    <w:tmpl w:val="474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AD28BF"/>
    <w:multiLevelType w:val="multilevel"/>
    <w:tmpl w:val="BF884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26D50"/>
    <w:multiLevelType w:val="multilevel"/>
    <w:tmpl w:val="C7F6A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A47872"/>
    <w:multiLevelType w:val="multilevel"/>
    <w:tmpl w:val="FDF8A0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1D55B24"/>
    <w:multiLevelType w:val="multilevel"/>
    <w:tmpl w:val="9030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2237B1"/>
    <w:multiLevelType w:val="multilevel"/>
    <w:tmpl w:val="84B8F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7512975"/>
    <w:multiLevelType w:val="multilevel"/>
    <w:tmpl w:val="65780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5D5BD6"/>
    <w:multiLevelType w:val="multilevel"/>
    <w:tmpl w:val="E62A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8"/>
  </w:num>
  <w:num w:numId="5">
    <w:abstractNumId w:val="9"/>
  </w:num>
  <w:num w:numId="6">
    <w:abstractNumId w:val="3"/>
  </w:num>
  <w:num w:numId="7">
    <w:abstractNumId w:val="12"/>
  </w:num>
  <w:num w:numId="8">
    <w:abstractNumId w:val="7"/>
  </w:num>
  <w:num w:numId="9">
    <w:abstractNumId w:val="0"/>
  </w:num>
  <w:num w:numId="10">
    <w:abstractNumId w:val="10"/>
  </w:num>
  <w:num w:numId="11">
    <w:abstractNumId w:val="14"/>
  </w:num>
  <w:num w:numId="12">
    <w:abstractNumId w:val="2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EE"/>
    <w:rsid w:val="003B7C56"/>
    <w:rsid w:val="003F04D7"/>
    <w:rsid w:val="004C6C45"/>
    <w:rsid w:val="00584FCD"/>
    <w:rsid w:val="005B073E"/>
    <w:rsid w:val="007B18EE"/>
    <w:rsid w:val="00821062"/>
    <w:rsid w:val="0091300C"/>
    <w:rsid w:val="00925760"/>
    <w:rsid w:val="00FD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758"/>
  <w15:chartTrackingRefBased/>
  <w15:docId w15:val="{52B0709C-53D6-47CF-B276-C5D3A68A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B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073E"/>
  </w:style>
  <w:style w:type="character" w:customStyle="1" w:styleId="eop">
    <w:name w:val="eop"/>
    <w:basedOn w:val="DefaultParagraphFont"/>
    <w:rsid w:val="005B073E"/>
  </w:style>
  <w:style w:type="character" w:customStyle="1" w:styleId="scxw166236012">
    <w:name w:val="scxw166236012"/>
    <w:basedOn w:val="DefaultParagraphFont"/>
    <w:rsid w:val="005B0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4632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Nguyen</dc:creator>
  <cp:keywords/>
  <dc:description/>
  <cp:lastModifiedBy>Jason Nguyen</cp:lastModifiedBy>
  <cp:revision>2</cp:revision>
  <dcterms:created xsi:type="dcterms:W3CDTF">2020-11-10T21:34:00Z</dcterms:created>
  <dcterms:modified xsi:type="dcterms:W3CDTF">2020-11-10T21:34:00Z</dcterms:modified>
</cp:coreProperties>
</file>