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AE2" w:rsidRDefault="00451AE2" w:rsidP="00AE7CCF">
      <w:pPr>
        <w:pStyle w:val="VP1"/>
        <w:spacing w:line="360" w:lineRule="auto"/>
      </w:pPr>
      <w:bookmarkStart w:id="0" w:name="_Toc422393066"/>
      <w:r w:rsidRPr="00AE7CCF">
        <w:t xml:space="preserve">Carriers of </w:t>
      </w:r>
      <w:bookmarkEnd w:id="0"/>
      <w:r w:rsidR="00571C8A" w:rsidRPr="00AE7CCF">
        <w:t>haemophilia</w:t>
      </w:r>
    </w:p>
    <w:p w:rsidR="003A4AC9" w:rsidRPr="003A4AC9" w:rsidRDefault="003A4AC9" w:rsidP="00AE7CCF">
      <w:pPr>
        <w:pStyle w:val="VP1"/>
        <w:spacing w:line="360" w:lineRule="auto"/>
        <w:rPr>
          <w:b w:val="0"/>
          <w:sz w:val="24"/>
          <w:szCs w:val="24"/>
        </w:rPr>
      </w:pPr>
      <w:r w:rsidRPr="003A4AC9">
        <w:rPr>
          <w:rFonts w:ascii="Times New Roman" w:hAnsi="Times New Roman" w:cs="Times New Roman"/>
          <w:b w:val="0"/>
          <w:color w:val="auto"/>
          <w:sz w:val="24"/>
          <w:szCs w:val="24"/>
        </w:rPr>
        <w:t>Revision by</w:t>
      </w:r>
      <w:r w:rsidRPr="003A4AC9">
        <w:rPr>
          <w:rFonts w:ascii="Times New Roman" w:hAnsi="Times New Roman" w:cs="Times New Roman"/>
          <w:b w:val="0"/>
          <w:color w:val="auto"/>
          <w:sz w:val="24"/>
          <w:szCs w:val="24"/>
        </w:rPr>
        <w:t>: Anna Olsson (Gothenburg)</w:t>
      </w:r>
      <w:bookmarkStart w:id="1" w:name="_GoBack"/>
      <w:bookmarkEnd w:id="1"/>
    </w:p>
    <w:p w:rsidR="00451AE2" w:rsidRPr="00AE7CCF" w:rsidRDefault="00451AE2" w:rsidP="00AE7CCF">
      <w:pPr>
        <w:pStyle w:val="VP2"/>
        <w:spacing w:after="240" w:line="360" w:lineRule="auto"/>
      </w:pPr>
      <w:r w:rsidRPr="00AE7CCF">
        <w:t>Background</w:t>
      </w:r>
    </w:p>
    <w:p w:rsidR="00451AE2" w:rsidRPr="00AE7CCF" w:rsidRDefault="00451AE2" w:rsidP="00AE7CCF">
      <w:pPr>
        <w:spacing w:after="240" w:line="360" w:lineRule="auto"/>
        <w:jc w:val="both"/>
        <w:rPr>
          <w:rFonts w:ascii="Arial" w:hAnsi="Arial" w:cs="Arial"/>
          <w:bCs/>
          <w:sz w:val="24"/>
          <w:szCs w:val="24"/>
          <w:lang w:val="sv-SE"/>
        </w:rPr>
      </w:pPr>
      <w:r w:rsidRPr="00AE7CCF">
        <w:rPr>
          <w:rFonts w:ascii="Arial" w:hAnsi="Arial" w:cs="Arial"/>
          <w:bCs/>
          <w:color w:val="231F20"/>
          <w:sz w:val="24"/>
          <w:szCs w:val="24"/>
        </w:rPr>
        <w:t>Due to X-chromosome inactivation the clotting factor levels in carriers are expected to be about 50% of the level</w:t>
      </w:r>
      <w:r w:rsidR="00571C8A" w:rsidRPr="00AE7CCF">
        <w:rPr>
          <w:rFonts w:ascii="Arial" w:hAnsi="Arial" w:cs="Arial"/>
          <w:bCs/>
          <w:color w:val="231F20"/>
          <w:sz w:val="24"/>
          <w:szCs w:val="24"/>
        </w:rPr>
        <w:t>s</w:t>
      </w:r>
      <w:r w:rsidRPr="00AE7CCF">
        <w:rPr>
          <w:rFonts w:ascii="Arial" w:hAnsi="Arial" w:cs="Arial"/>
          <w:bCs/>
          <w:color w:val="231F20"/>
          <w:sz w:val="24"/>
          <w:szCs w:val="24"/>
        </w:rPr>
        <w:t xml:space="preserve"> of non-carriers. However, the factor levels may vary from very low to the upper limit of normal values</w:t>
      </w:r>
      <w:r w:rsidR="00EB78AC" w:rsidRPr="00AE7CCF">
        <w:rPr>
          <w:rFonts w:ascii="Arial" w:hAnsi="Arial" w:cs="Arial"/>
          <w:bCs/>
          <w:color w:val="231F20"/>
          <w:sz w:val="24"/>
          <w:szCs w:val="24"/>
        </w:rPr>
        <w:t xml:space="preserve"> </w:t>
      </w:r>
      <w:r w:rsidR="005A3809" w:rsidRPr="00AE7CCF">
        <w:rPr>
          <w:rFonts w:ascii="Arial" w:hAnsi="Arial" w:cs="Arial"/>
          <w:bCs/>
          <w:color w:val="231F20"/>
          <w:sz w:val="24"/>
          <w:szCs w:val="24"/>
        </w:rPr>
        <w:t>[1]</w:t>
      </w:r>
      <w:r w:rsidR="00EB78AC" w:rsidRPr="00AE7CCF">
        <w:rPr>
          <w:rFonts w:ascii="Arial" w:hAnsi="Arial" w:cs="Arial"/>
          <w:bCs/>
          <w:color w:val="231F20"/>
          <w:sz w:val="24"/>
          <w:szCs w:val="24"/>
        </w:rPr>
        <w:t>.</w:t>
      </w:r>
      <w:r w:rsidRPr="00AE7CCF">
        <w:rPr>
          <w:rFonts w:ascii="Arial" w:hAnsi="Arial" w:cs="Arial"/>
          <w:bCs/>
          <w:color w:val="231F20"/>
          <w:sz w:val="24"/>
          <w:szCs w:val="24"/>
        </w:rPr>
        <w:t xml:space="preserve"> </w:t>
      </w:r>
      <w:r w:rsidRPr="00AE7CCF">
        <w:rPr>
          <w:rFonts w:ascii="Arial" w:hAnsi="Arial" w:cs="Arial"/>
          <w:bCs/>
          <w:sz w:val="24"/>
          <w:szCs w:val="24"/>
        </w:rPr>
        <w:t>Carriers with factor levels less th</w:t>
      </w:r>
      <w:r w:rsidR="00402C94" w:rsidRPr="00AE7CCF">
        <w:rPr>
          <w:rFonts w:ascii="Arial" w:hAnsi="Arial" w:cs="Arial"/>
          <w:bCs/>
          <w:sz w:val="24"/>
          <w:szCs w:val="24"/>
        </w:rPr>
        <w:t xml:space="preserve">an 0.40 </w:t>
      </w:r>
      <w:proofErr w:type="spellStart"/>
      <w:r w:rsidR="00402C94" w:rsidRPr="00AE7CCF">
        <w:rPr>
          <w:rFonts w:ascii="Arial" w:hAnsi="Arial" w:cs="Arial"/>
          <w:bCs/>
          <w:sz w:val="24"/>
          <w:szCs w:val="24"/>
        </w:rPr>
        <w:t>kI</w:t>
      </w:r>
      <w:r w:rsidR="00571C8A" w:rsidRPr="00AE7CCF">
        <w:rPr>
          <w:rFonts w:ascii="Arial" w:hAnsi="Arial" w:cs="Arial"/>
          <w:bCs/>
          <w:sz w:val="24"/>
          <w:szCs w:val="24"/>
        </w:rPr>
        <w:t>U</w:t>
      </w:r>
      <w:proofErr w:type="spellEnd"/>
      <w:r w:rsidR="00402C94" w:rsidRPr="00AE7CCF">
        <w:rPr>
          <w:rFonts w:ascii="Arial" w:hAnsi="Arial" w:cs="Arial"/>
          <w:bCs/>
          <w:sz w:val="24"/>
          <w:szCs w:val="24"/>
        </w:rPr>
        <w:t xml:space="preserve">/L </w:t>
      </w:r>
      <w:r w:rsidR="006D50CE" w:rsidRPr="00AE7CCF">
        <w:rPr>
          <w:rFonts w:ascii="Arial" w:hAnsi="Arial" w:cs="Arial"/>
          <w:bCs/>
          <w:sz w:val="24"/>
          <w:szCs w:val="24"/>
        </w:rPr>
        <w:t>are diagnosed with</w:t>
      </w:r>
      <w:r w:rsidR="00402C94" w:rsidRPr="00AE7CCF">
        <w:rPr>
          <w:rFonts w:ascii="Arial" w:hAnsi="Arial" w:cs="Arial"/>
          <w:bCs/>
          <w:sz w:val="24"/>
          <w:szCs w:val="24"/>
        </w:rPr>
        <w:t xml:space="preserve"> </w:t>
      </w:r>
      <w:r w:rsidR="00571C8A" w:rsidRPr="00AE7CCF">
        <w:rPr>
          <w:rFonts w:ascii="Arial" w:hAnsi="Arial" w:cs="Arial"/>
          <w:bCs/>
          <w:sz w:val="24"/>
          <w:szCs w:val="24"/>
        </w:rPr>
        <w:t>haemophilia</w:t>
      </w:r>
      <w:r w:rsidR="006D50CE" w:rsidRPr="00AE7CCF">
        <w:rPr>
          <w:rFonts w:ascii="Arial" w:hAnsi="Arial" w:cs="Arial"/>
          <w:bCs/>
          <w:sz w:val="24"/>
          <w:szCs w:val="24"/>
        </w:rPr>
        <w:t>. In addition, c</w:t>
      </w:r>
      <w:r w:rsidR="00F8200D" w:rsidRPr="00AE7CCF">
        <w:rPr>
          <w:rFonts w:ascii="Arial" w:hAnsi="Arial" w:cs="Arial"/>
          <w:bCs/>
          <w:sz w:val="24"/>
          <w:szCs w:val="24"/>
        </w:rPr>
        <w:t xml:space="preserve">arriers may have bleeding symptoms similar to mild </w:t>
      </w:r>
      <w:r w:rsidR="00571C8A" w:rsidRPr="00AE7CCF">
        <w:rPr>
          <w:rFonts w:ascii="Arial" w:hAnsi="Arial" w:cs="Arial"/>
          <w:bCs/>
          <w:sz w:val="24"/>
          <w:szCs w:val="24"/>
        </w:rPr>
        <w:t>haemophilia</w:t>
      </w:r>
      <w:r w:rsidR="00F8200D" w:rsidRPr="00AE7CCF">
        <w:rPr>
          <w:rFonts w:ascii="Arial" w:hAnsi="Arial" w:cs="Arial"/>
          <w:bCs/>
          <w:sz w:val="24"/>
          <w:szCs w:val="24"/>
        </w:rPr>
        <w:t xml:space="preserve"> even </w:t>
      </w:r>
      <w:r w:rsidR="00013B97" w:rsidRPr="00AE7CCF">
        <w:rPr>
          <w:rFonts w:ascii="Arial" w:hAnsi="Arial" w:cs="Arial"/>
          <w:bCs/>
          <w:sz w:val="24"/>
          <w:szCs w:val="24"/>
        </w:rPr>
        <w:t xml:space="preserve">with </w:t>
      </w:r>
      <w:r w:rsidR="008B5EE1" w:rsidRPr="00AE7CCF">
        <w:rPr>
          <w:rFonts w:ascii="Arial" w:hAnsi="Arial" w:cs="Arial"/>
          <w:bCs/>
          <w:sz w:val="24"/>
          <w:szCs w:val="24"/>
        </w:rPr>
        <w:t>factor levels</w:t>
      </w:r>
      <w:r w:rsidR="00F8200D" w:rsidRPr="00AE7CCF">
        <w:rPr>
          <w:rFonts w:ascii="Arial" w:hAnsi="Arial" w:cs="Arial"/>
          <w:bCs/>
          <w:sz w:val="24"/>
          <w:szCs w:val="24"/>
        </w:rPr>
        <w:t xml:space="preserve"> close to normal range.</w:t>
      </w:r>
      <w:r w:rsidR="00402C94" w:rsidRPr="00AE7CCF">
        <w:rPr>
          <w:rFonts w:ascii="Arial" w:hAnsi="Arial" w:cs="Arial"/>
          <w:bCs/>
          <w:sz w:val="24"/>
          <w:szCs w:val="24"/>
        </w:rPr>
        <w:t xml:space="preserve"> </w:t>
      </w:r>
      <w:r w:rsidRPr="00AE7CCF">
        <w:rPr>
          <w:rFonts w:ascii="Arial" w:hAnsi="Arial" w:cs="Arial"/>
          <w:bCs/>
          <w:sz w:val="24"/>
          <w:szCs w:val="24"/>
        </w:rPr>
        <w:t xml:space="preserve">It is estimated that approximately 20% of carriers are symptomatic to some degree and may require </w:t>
      </w:r>
      <w:r w:rsidR="00571C8A" w:rsidRPr="00AE7CCF">
        <w:rPr>
          <w:rFonts w:ascii="Arial" w:hAnsi="Arial" w:cs="Arial"/>
          <w:bCs/>
          <w:sz w:val="24"/>
          <w:szCs w:val="24"/>
        </w:rPr>
        <w:t>haemostatic</w:t>
      </w:r>
      <w:r w:rsidRPr="00AE7CCF">
        <w:rPr>
          <w:rFonts w:ascii="Arial" w:hAnsi="Arial" w:cs="Arial"/>
          <w:bCs/>
          <w:sz w:val="24"/>
          <w:szCs w:val="24"/>
        </w:rPr>
        <w:t xml:space="preserve"> support during surgery, trauma and delivery </w:t>
      </w:r>
      <w:r w:rsidR="005A3809" w:rsidRPr="00AE7CCF">
        <w:rPr>
          <w:rFonts w:ascii="Arial" w:hAnsi="Arial" w:cs="Arial"/>
          <w:bCs/>
          <w:sz w:val="24"/>
          <w:szCs w:val="24"/>
        </w:rPr>
        <w:t>[1]</w:t>
      </w:r>
      <w:r w:rsidRPr="00AE7CCF">
        <w:rPr>
          <w:rFonts w:ascii="Arial" w:hAnsi="Arial" w:cs="Arial"/>
          <w:bCs/>
          <w:sz w:val="24"/>
          <w:szCs w:val="24"/>
        </w:rPr>
        <w:t>.</w:t>
      </w:r>
      <w:r w:rsidRPr="00AE7CCF">
        <w:rPr>
          <w:rFonts w:ascii="Arial" w:hAnsi="Arial" w:cs="Arial"/>
          <w:bCs/>
          <w:color w:val="FF0000"/>
          <w:sz w:val="24"/>
          <w:szCs w:val="24"/>
        </w:rPr>
        <w:t xml:space="preserve"> </w:t>
      </w:r>
      <w:r w:rsidRPr="00AE7CCF">
        <w:rPr>
          <w:rFonts w:ascii="Arial" w:hAnsi="Arial" w:cs="Arial"/>
          <w:bCs/>
          <w:sz w:val="24"/>
          <w:szCs w:val="24"/>
        </w:rPr>
        <w:t xml:space="preserve">The factor level of an obligate or </w:t>
      </w:r>
      <w:r w:rsidR="00EB78AC" w:rsidRPr="00AE7CCF">
        <w:rPr>
          <w:rFonts w:ascii="Arial" w:hAnsi="Arial" w:cs="Arial"/>
          <w:bCs/>
          <w:sz w:val="24"/>
          <w:szCs w:val="24"/>
        </w:rPr>
        <w:t xml:space="preserve">possible </w:t>
      </w:r>
      <w:r w:rsidRPr="00AE7CCF">
        <w:rPr>
          <w:rFonts w:ascii="Arial" w:hAnsi="Arial" w:cs="Arial"/>
          <w:bCs/>
          <w:sz w:val="24"/>
          <w:szCs w:val="24"/>
        </w:rPr>
        <w:t xml:space="preserve">carrier should be checked at a young age and especially prior to an invasive procedure or in case of bleeding symptoms. The timing of genetic testing for </w:t>
      </w:r>
      <w:proofErr w:type="spellStart"/>
      <w:r w:rsidRPr="00AE7CCF">
        <w:rPr>
          <w:rFonts w:ascii="Arial" w:hAnsi="Arial" w:cs="Arial"/>
          <w:bCs/>
          <w:sz w:val="24"/>
          <w:szCs w:val="24"/>
        </w:rPr>
        <w:t>carriership</w:t>
      </w:r>
      <w:proofErr w:type="spellEnd"/>
      <w:r w:rsidRPr="00AE7CCF">
        <w:rPr>
          <w:rFonts w:ascii="Arial" w:hAnsi="Arial" w:cs="Arial"/>
          <w:bCs/>
          <w:sz w:val="24"/>
          <w:szCs w:val="24"/>
        </w:rPr>
        <w:t xml:space="preserve"> needs careful consideration taking into account</w:t>
      </w:r>
      <w:r w:rsidR="008B5EE1" w:rsidRPr="00AE7CCF">
        <w:rPr>
          <w:rFonts w:ascii="Arial" w:hAnsi="Arial" w:cs="Arial"/>
          <w:bCs/>
          <w:sz w:val="24"/>
          <w:szCs w:val="24"/>
        </w:rPr>
        <w:t xml:space="preserve"> age and psychosocial issues</w:t>
      </w:r>
      <w:r w:rsidR="000D27F7" w:rsidRPr="00AE7CCF">
        <w:rPr>
          <w:rFonts w:ascii="Arial" w:hAnsi="Arial" w:cs="Arial"/>
          <w:bCs/>
          <w:sz w:val="24"/>
          <w:szCs w:val="24"/>
        </w:rPr>
        <w:t xml:space="preserve"> [2]</w:t>
      </w:r>
      <w:r w:rsidR="008B5EE1" w:rsidRPr="00AE7CCF">
        <w:rPr>
          <w:rFonts w:ascii="Arial" w:hAnsi="Arial" w:cs="Arial"/>
          <w:bCs/>
          <w:sz w:val="24"/>
          <w:szCs w:val="24"/>
        </w:rPr>
        <w:t xml:space="preserve">. </w:t>
      </w:r>
      <w:r w:rsidRPr="00AE7CCF">
        <w:rPr>
          <w:rFonts w:ascii="Arial" w:hAnsi="Arial" w:cs="Arial"/>
          <w:bCs/>
          <w:sz w:val="24"/>
          <w:szCs w:val="24"/>
        </w:rPr>
        <w:t xml:space="preserve">It’s </w:t>
      </w:r>
      <w:r w:rsidR="008B5EE1" w:rsidRPr="00AE7CCF">
        <w:rPr>
          <w:rFonts w:ascii="Arial" w:hAnsi="Arial" w:cs="Arial"/>
          <w:bCs/>
          <w:sz w:val="24"/>
          <w:szCs w:val="24"/>
        </w:rPr>
        <w:t xml:space="preserve">also </w:t>
      </w:r>
      <w:r w:rsidRPr="00AE7CCF">
        <w:rPr>
          <w:rFonts w:ascii="Arial" w:hAnsi="Arial" w:cs="Arial"/>
          <w:bCs/>
          <w:sz w:val="24"/>
          <w:szCs w:val="24"/>
        </w:rPr>
        <w:t xml:space="preserve">important that the girl as well as her family understand that a normal factor level does not exclude </w:t>
      </w:r>
      <w:proofErr w:type="spellStart"/>
      <w:r w:rsidRPr="00AE7CCF">
        <w:rPr>
          <w:rFonts w:ascii="Arial" w:hAnsi="Arial" w:cs="Arial"/>
          <w:bCs/>
          <w:sz w:val="24"/>
          <w:szCs w:val="24"/>
        </w:rPr>
        <w:t>carriership</w:t>
      </w:r>
      <w:proofErr w:type="spellEnd"/>
      <w:r w:rsidRPr="00AE7CCF">
        <w:rPr>
          <w:rFonts w:ascii="Arial" w:hAnsi="Arial" w:cs="Arial"/>
          <w:bCs/>
          <w:sz w:val="24"/>
          <w:szCs w:val="24"/>
          <w:lang w:val="sv-SE"/>
        </w:rPr>
        <w:t>.</w:t>
      </w:r>
    </w:p>
    <w:p w:rsidR="00602B67" w:rsidRPr="00AE7CCF" w:rsidRDefault="00602B67" w:rsidP="00AE7CCF">
      <w:pPr>
        <w:spacing w:after="120" w:line="360" w:lineRule="auto"/>
        <w:jc w:val="both"/>
        <w:rPr>
          <w:rFonts w:ascii="Arial" w:hAnsi="Arial" w:cs="Arial"/>
          <w:bCs/>
          <w:sz w:val="24"/>
          <w:szCs w:val="24"/>
          <w:lang w:val="sv-SE"/>
        </w:rPr>
      </w:pPr>
    </w:p>
    <w:p w:rsidR="00602B67" w:rsidRPr="00AE7CCF" w:rsidRDefault="00451AE2" w:rsidP="00AE7CCF">
      <w:pPr>
        <w:pStyle w:val="VP2"/>
        <w:spacing w:after="240" w:line="360" w:lineRule="auto"/>
      </w:pPr>
      <w:bookmarkStart w:id="2" w:name="_Toc422393070"/>
      <w:r w:rsidRPr="00AE7CCF">
        <w:t>P</w:t>
      </w:r>
      <w:bookmarkEnd w:id="2"/>
      <w:r w:rsidR="00EB78AC" w:rsidRPr="00AE7CCF">
        <w:t>renatal diagnosis</w:t>
      </w:r>
    </w:p>
    <w:p w:rsidR="00451AE2" w:rsidRPr="00AE7CCF" w:rsidRDefault="00451AE2" w:rsidP="00AE7CCF">
      <w:pPr>
        <w:spacing w:after="0" w:line="360" w:lineRule="auto"/>
        <w:rPr>
          <w:rFonts w:ascii="Arial" w:hAnsi="Arial" w:cs="Arial"/>
          <w:bCs/>
          <w:color w:val="231F20"/>
          <w:sz w:val="24"/>
          <w:szCs w:val="24"/>
        </w:rPr>
      </w:pPr>
      <w:r w:rsidRPr="00AE7CCF">
        <w:rPr>
          <w:rFonts w:ascii="Arial" w:hAnsi="Arial" w:cs="Arial"/>
          <w:bCs/>
          <w:color w:val="231F20"/>
          <w:sz w:val="24"/>
          <w:szCs w:val="24"/>
        </w:rPr>
        <w:t>Before planning a family the carrier and her par</w:t>
      </w:r>
      <w:r w:rsidR="006A6D0E" w:rsidRPr="00AE7CCF">
        <w:rPr>
          <w:rFonts w:ascii="Arial" w:hAnsi="Arial" w:cs="Arial"/>
          <w:bCs/>
          <w:color w:val="231F20"/>
          <w:sz w:val="24"/>
          <w:szCs w:val="24"/>
        </w:rPr>
        <w:t xml:space="preserve">tner </w:t>
      </w:r>
      <w:r w:rsidRPr="00AE7CCF">
        <w:rPr>
          <w:rFonts w:ascii="Arial" w:hAnsi="Arial" w:cs="Arial"/>
          <w:bCs/>
          <w:color w:val="231F20"/>
          <w:sz w:val="24"/>
          <w:szCs w:val="24"/>
        </w:rPr>
        <w:t xml:space="preserve">should be offered contact with a genetic </w:t>
      </w:r>
      <w:r w:rsidR="00571C8A" w:rsidRPr="00AE7CCF">
        <w:rPr>
          <w:rFonts w:ascii="Arial" w:hAnsi="Arial" w:cs="Arial"/>
          <w:bCs/>
          <w:color w:val="231F20"/>
          <w:sz w:val="24"/>
          <w:szCs w:val="24"/>
        </w:rPr>
        <w:t>counsellor</w:t>
      </w:r>
      <w:r w:rsidRPr="00AE7CCF">
        <w:rPr>
          <w:rFonts w:ascii="Arial" w:hAnsi="Arial" w:cs="Arial"/>
          <w:bCs/>
          <w:color w:val="231F20"/>
          <w:sz w:val="24"/>
          <w:szCs w:val="24"/>
        </w:rPr>
        <w:t xml:space="preserve"> </w:t>
      </w:r>
      <w:r w:rsidR="006A6D0E" w:rsidRPr="00AE7CCF">
        <w:rPr>
          <w:rFonts w:ascii="Arial" w:hAnsi="Arial" w:cs="Arial"/>
          <w:bCs/>
          <w:color w:val="231F20"/>
          <w:sz w:val="24"/>
          <w:szCs w:val="24"/>
        </w:rPr>
        <w:t>and an educational visit at the HTC.</w:t>
      </w:r>
      <w:r w:rsidRPr="00AE7CCF">
        <w:rPr>
          <w:rFonts w:ascii="Arial" w:hAnsi="Arial" w:cs="Arial"/>
          <w:bCs/>
          <w:color w:val="231F20"/>
          <w:sz w:val="24"/>
          <w:szCs w:val="24"/>
        </w:rPr>
        <w:t xml:space="preserve"> Counselling should include discussion of the genetic risk and the options of prenatal testing that are available</w:t>
      </w:r>
      <w:r w:rsidR="000D27F7" w:rsidRPr="00AE7CCF">
        <w:rPr>
          <w:rFonts w:ascii="Arial" w:hAnsi="Arial" w:cs="Arial"/>
          <w:bCs/>
          <w:color w:val="231F20"/>
          <w:sz w:val="24"/>
          <w:szCs w:val="24"/>
        </w:rPr>
        <w:t xml:space="preserve"> [3]</w:t>
      </w:r>
      <w:r w:rsidRPr="00AE7CCF">
        <w:rPr>
          <w:rFonts w:ascii="Arial" w:hAnsi="Arial" w:cs="Arial"/>
          <w:bCs/>
          <w:color w:val="231F20"/>
          <w:sz w:val="24"/>
          <w:szCs w:val="24"/>
        </w:rPr>
        <w:t xml:space="preserve">. </w:t>
      </w:r>
    </w:p>
    <w:p w:rsidR="00451AE2" w:rsidRPr="00AE7CCF" w:rsidRDefault="00451AE2" w:rsidP="00AE7CCF">
      <w:pPr>
        <w:spacing w:after="0" w:line="360" w:lineRule="auto"/>
        <w:rPr>
          <w:rFonts w:ascii="Arial" w:hAnsi="Arial" w:cs="Arial"/>
          <w:bCs/>
          <w:color w:val="231F20"/>
          <w:sz w:val="24"/>
          <w:szCs w:val="24"/>
        </w:rPr>
      </w:pPr>
      <w:r w:rsidRPr="00AE7CCF">
        <w:rPr>
          <w:rFonts w:ascii="Arial" w:hAnsi="Arial" w:cs="Arial"/>
          <w:bCs/>
          <w:color w:val="231F20"/>
          <w:sz w:val="24"/>
          <w:szCs w:val="24"/>
        </w:rPr>
        <w:t xml:space="preserve">Chorionic villus sampling (CVS) is the principal method used for prenatal diagnosis of </w:t>
      </w:r>
      <w:r w:rsidR="00571C8A" w:rsidRPr="00AE7CCF">
        <w:rPr>
          <w:rFonts w:ascii="Arial" w:hAnsi="Arial" w:cs="Arial"/>
          <w:bCs/>
          <w:color w:val="231F20"/>
          <w:sz w:val="24"/>
          <w:szCs w:val="24"/>
        </w:rPr>
        <w:t>haemophilia</w:t>
      </w:r>
      <w:r w:rsidRPr="00AE7CCF">
        <w:rPr>
          <w:rFonts w:ascii="Arial" w:hAnsi="Arial" w:cs="Arial"/>
          <w:bCs/>
          <w:color w:val="231F20"/>
          <w:sz w:val="24"/>
          <w:szCs w:val="24"/>
        </w:rPr>
        <w:t>. T</w:t>
      </w:r>
      <w:r w:rsidR="00013B97" w:rsidRPr="00AE7CCF">
        <w:rPr>
          <w:rFonts w:ascii="Arial" w:hAnsi="Arial" w:cs="Arial"/>
          <w:bCs/>
          <w:color w:val="231F20"/>
          <w:sz w:val="24"/>
          <w:szCs w:val="24"/>
        </w:rPr>
        <w:t xml:space="preserve">he procedure is </w:t>
      </w:r>
      <w:r w:rsidR="00571C8A" w:rsidRPr="00AE7CCF">
        <w:rPr>
          <w:rFonts w:ascii="Arial" w:hAnsi="Arial" w:cs="Arial"/>
          <w:bCs/>
          <w:color w:val="231F20"/>
          <w:sz w:val="24"/>
          <w:szCs w:val="24"/>
        </w:rPr>
        <w:t>performed during</w:t>
      </w:r>
      <w:r w:rsidR="00013B97" w:rsidRPr="00AE7CCF">
        <w:rPr>
          <w:rFonts w:ascii="Arial" w:hAnsi="Arial" w:cs="Arial"/>
          <w:bCs/>
          <w:color w:val="231F20"/>
          <w:sz w:val="24"/>
          <w:szCs w:val="24"/>
        </w:rPr>
        <w:t xml:space="preserve"> the 11 to 13</w:t>
      </w:r>
      <w:r w:rsidR="00A41AE9" w:rsidRPr="00AE7CCF">
        <w:rPr>
          <w:rFonts w:ascii="Arial" w:hAnsi="Arial" w:cs="Arial"/>
          <w:bCs/>
          <w:color w:val="231F20"/>
          <w:sz w:val="24"/>
          <w:szCs w:val="24"/>
        </w:rPr>
        <w:t>th</w:t>
      </w:r>
      <w:r w:rsidR="00013B97" w:rsidRPr="00AE7CCF">
        <w:rPr>
          <w:rFonts w:ascii="Arial" w:hAnsi="Arial" w:cs="Arial"/>
          <w:bCs/>
          <w:color w:val="231F20"/>
          <w:sz w:val="24"/>
          <w:szCs w:val="24"/>
        </w:rPr>
        <w:t xml:space="preserve"> week</w:t>
      </w:r>
      <w:r w:rsidRPr="00AE7CCF">
        <w:rPr>
          <w:rFonts w:ascii="Arial" w:hAnsi="Arial" w:cs="Arial"/>
          <w:bCs/>
          <w:color w:val="231F20"/>
          <w:sz w:val="24"/>
          <w:szCs w:val="24"/>
        </w:rPr>
        <w:t xml:space="preserve"> of gestation. If later in pregnancy, an amniotic fluid sample may be used as DNA source for prenatal diagnosis. Both procedures are associated with a risk of miscarriage at approximately 1% </w:t>
      </w:r>
      <w:r w:rsidR="000D27F7" w:rsidRPr="00AE7CCF">
        <w:rPr>
          <w:rFonts w:ascii="Arial" w:hAnsi="Arial" w:cs="Arial"/>
          <w:bCs/>
          <w:color w:val="231F20"/>
          <w:sz w:val="24"/>
          <w:szCs w:val="24"/>
        </w:rPr>
        <w:t>[4]</w:t>
      </w:r>
      <w:r w:rsidRPr="00AE7CCF">
        <w:rPr>
          <w:rFonts w:ascii="Arial" w:hAnsi="Arial" w:cs="Arial"/>
          <w:bCs/>
          <w:color w:val="231F20"/>
          <w:sz w:val="24"/>
          <w:szCs w:val="24"/>
        </w:rPr>
        <w:t xml:space="preserve">. </w:t>
      </w:r>
      <w:r w:rsidR="00A41AE9" w:rsidRPr="00AE7CCF">
        <w:rPr>
          <w:rFonts w:ascii="Arial" w:hAnsi="Arial" w:cs="Arial"/>
          <w:bCs/>
          <w:color w:val="231F20"/>
          <w:sz w:val="24"/>
          <w:szCs w:val="24"/>
        </w:rPr>
        <w:t>H</w:t>
      </w:r>
      <w:r w:rsidR="00AB036D" w:rsidRPr="00AE7CCF">
        <w:rPr>
          <w:rFonts w:ascii="Arial" w:hAnsi="Arial" w:cs="Arial"/>
          <w:bCs/>
          <w:color w:val="231F20"/>
          <w:sz w:val="24"/>
          <w:szCs w:val="24"/>
        </w:rPr>
        <w:t xml:space="preserve">aemostatic </w:t>
      </w:r>
      <w:r w:rsidR="002E6BBA" w:rsidRPr="00AE7CCF">
        <w:rPr>
          <w:rFonts w:ascii="Arial" w:hAnsi="Arial" w:cs="Arial"/>
          <w:bCs/>
          <w:color w:val="231F20"/>
          <w:sz w:val="24"/>
          <w:szCs w:val="24"/>
        </w:rPr>
        <w:t>cover should</w:t>
      </w:r>
      <w:r w:rsidRPr="00AE7CCF">
        <w:rPr>
          <w:rFonts w:ascii="Arial" w:hAnsi="Arial" w:cs="Arial"/>
          <w:bCs/>
          <w:color w:val="231F20"/>
          <w:sz w:val="24"/>
          <w:szCs w:val="24"/>
        </w:rPr>
        <w:t xml:space="preserve"> be arranged </w:t>
      </w:r>
      <w:r w:rsidR="00AB036D" w:rsidRPr="00AE7CCF">
        <w:rPr>
          <w:rFonts w:ascii="Arial" w:hAnsi="Arial" w:cs="Arial"/>
          <w:bCs/>
          <w:color w:val="231F20"/>
          <w:sz w:val="24"/>
          <w:szCs w:val="24"/>
        </w:rPr>
        <w:t xml:space="preserve">prior to any invasive procedure </w:t>
      </w:r>
      <w:r w:rsidRPr="00AE7CCF">
        <w:rPr>
          <w:rFonts w:ascii="Arial" w:hAnsi="Arial" w:cs="Arial"/>
          <w:bCs/>
          <w:color w:val="231F20"/>
          <w:sz w:val="24"/>
          <w:szCs w:val="24"/>
        </w:rPr>
        <w:t xml:space="preserve">if the </w:t>
      </w:r>
      <w:r w:rsidR="006A6D0E" w:rsidRPr="00AE7CCF">
        <w:rPr>
          <w:rFonts w:ascii="Arial" w:hAnsi="Arial" w:cs="Arial"/>
          <w:bCs/>
          <w:color w:val="231F20"/>
          <w:sz w:val="24"/>
          <w:szCs w:val="24"/>
        </w:rPr>
        <w:t xml:space="preserve">factor </w:t>
      </w:r>
      <w:r w:rsidRPr="00AE7CCF">
        <w:rPr>
          <w:rFonts w:ascii="Arial" w:hAnsi="Arial" w:cs="Arial"/>
          <w:bCs/>
          <w:color w:val="231F20"/>
          <w:sz w:val="24"/>
          <w:szCs w:val="24"/>
        </w:rPr>
        <w:t>level is &lt;0.</w:t>
      </w:r>
      <w:r w:rsidR="00013B97" w:rsidRPr="00AE7CCF">
        <w:rPr>
          <w:rFonts w:ascii="Arial" w:hAnsi="Arial" w:cs="Arial"/>
          <w:bCs/>
          <w:color w:val="231F20"/>
          <w:sz w:val="24"/>
          <w:szCs w:val="24"/>
        </w:rPr>
        <w:t xml:space="preserve">50 </w:t>
      </w:r>
      <w:proofErr w:type="spellStart"/>
      <w:r w:rsidR="00013B97" w:rsidRPr="00AE7CCF">
        <w:rPr>
          <w:rFonts w:ascii="Arial" w:hAnsi="Arial" w:cs="Arial"/>
          <w:bCs/>
          <w:color w:val="231F20"/>
          <w:sz w:val="24"/>
          <w:szCs w:val="24"/>
        </w:rPr>
        <w:t>kIU</w:t>
      </w:r>
      <w:proofErr w:type="spellEnd"/>
      <w:r w:rsidR="00013B97" w:rsidRPr="00AE7CCF">
        <w:rPr>
          <w:rFonts w:ascii="Arial" w:hAnsi="Arial" w:cs="Arial"/>
          <w:bCs/>
          <w:color w:val="231F20"/>
          <w:sz w:val="24"/>
          <w:szCs w:val="24"/>
        </w:rPr>
        <w:t>/L</w:t>
      </w:r>
      <w:r w:rsidR="00AE7CCF" w:rsidRPr="00AE7CCF">
        <w:rPr>
          <w:rFonts w:ascii="Arial" w:hAnsi="Arial" w:cs="Arial"/>
          <w:bCs/>
          <w:color w:val="231F20"/>
          <w:sz w:val="24"/>
          <w:szCs w:val="24"/>
        </w:rPr>
        <w:t xml:space="preserve">.  </w:t>
      </w:r>
      <w:r w:rsidR="00C65D48" w:rsidRPr="00AE7CCF">
        <w:rPr>
          <w:rFonts w:ascii="Arial" w:hAnsi="Arial" w:cs="Arial"/>
          <w:bCs/>
          <w:color w:val="231F20"/>
          <w:sz w:val="24"/>
          <w:szCs w:val="24"/>
        </w:rPr>
        <w:t xml:space="preserve">Knowledge of </w:t>
      </w:r>
      <w:r w:rsidR="00571C8A" w:rsidRPr="00AE7CCF">
        <w:rPr>
          <w:rFonts w:ascii="Arial" w:hAnsi="Arial" w:cs="Arial"/>
          <w:bCs/>
          <w:color w:val="231F20"/>
          <w:sz w:val="24"/>
          <w:szCs w:val="24"/>
        </w:rPr>
        <w:t>foetal</w:t>
      </w:r>
      <w:r w:rsidR="00C65D48" w:rsidRPr="00AE7CCF">
        <w:rPr>
          <w:rFonts w:ascii="Arial" w:hAnsi="Arial" w:cs="Arial"/>
          <w:bCs/>
          <w:color w:val="231F20"/>
          <w:sz w:val="24"/>
          <w:szCs w:val="24"/>
        </w:rPr>
        <w:t xml:space="preserve"> gender allows appropriate </w:t>
      </w:r>
      <w:r w:rsidR="00C65D48" w:rsidRPr="00AE7CCF">
        <w:rPr>
          <w:rFonts w:ascii="Arial" w:hAnsi="Arial" w:cs="Arial"/>
          <w:bCs/>
          <w:color w:val="231F20"/>
          <w:sz w:val="24"/>
          <w:szCs w:val="24"/>
        </w:rPr>
        <w:lastRenderedPageBreak/>
        <w:t>management of labour and delivery. Ultrasound diagnosis can be used from late second trimester and is based on visualization of the external genitalia</w:t>
      </w:r>
      <w:r w:rsidR="00906AC5" w:rsidRPr="00AE7CCF">
        <w:rPr>
          <w:rFonts w:ascii="Arial" w:hAnsi="Arial" w:cs="Arial"/>
          <w:bCs/>
          <w:color w:val="231F20"/>
          <w:sz w:val="24"/>
          <w:szCs w:val="24"/>
        </w:rPr>
        <w:t xml:space="preserve"> [5]</w:t>
      </w:r>
      <w:r w:rsidR="00C65D48" w:rsidRPr="00AE7CCF">
        <w:rPr>
          <w:rFonts w:ascii="Arial" w:hAnsi="Arial" w:cs="Arial"/>
          <w:bCs/>
          <w:color w:val="231F20"/>
          <w:sz w:val="24"/>
          <w:szCs w:val="24"/>
        </w:rPr>
        <w:t>.</w:t>
      </w:r>
      <w:r w:rsidR="002E6BBA" w:rsidRPr="00AE7CCF">
        <w:rPr>
          <w:rFonts w:ascii="Arial" w:hAnsi="Arial" w:cs="Arial"/>
          <w:bCs/>
          <w:color w:val="231F20"/>
          <w:sz w:val="24"/>
          <w:szCs w:val="24"/>
        </w:rPr>
        <w:t xml:space="preserve"> </w:t>
      </w:r>
      <w:r w:rsidR="00C65D48" w:rsidRPr="00AE7CCF">
        <w:rPr>
          <w:rFonts w:ascii="Arial" w:hAnsi="Arial" w:cs="Arial"/>
          <w:bCs/>
          <w:color w:val="231F20"/>
          <w:sz w:val="24"/>
          <w:szCs w:val="24"/>
        </w:rPr>
        <w:t xml:space="preserve">Analysis of free </w:t>
      </w:r>
      <w:r w:rsidR="00571C8A" w:rsidRPr="00AE7CCF">
        <w:rPr>
          <w:rFonts w:ascii="Arial" w:hAnsi="Arial" w:cs="Arial"/>
          <w:bCs/>
          <w:color w:val="231F20"/>
          <w:sz w:val="24"/>
          <w:szCs w:val="24"/>
        </w:rPr>
        <w:t>foetal</w:t>
      </w:r>
      <w:r w:rsidR="00C65D48" w:rsidRPr="00AE7CCF">
        <w:rPr>
          <w:rFonts w:ascii="Arial" w:hAnsi="Arial" w:cs="Arial"/>
          <w:bCs/>
          <w:color w:val="231F20"/>
          <w:sz w:val="24"/>
          <w:szCs w:val="24"/>
        </w:rPr>
        <w:t xml:space="preserve"> DNA (</w:t>
      </w:r>
      <w:proofErr w:type="spellStart"/>
      <w:r w:rsidR="00C65D48" w:rsidRPr="00AE7CCF">
        <w:rPr>
          <w:rFonts w:ascii="Arial" w:hAnsi="Arial" w:cs="Arial"/>
          <w:bCs/>
          <w:color w:val="231F20"/>
          <w:sz w:val="24"/>
          <w:szCs w:val="24"/>
        </w:rPr>
        <w:t>ffDNA</w:t>
      </w:r>
      <w:proofErr w:type="spellEnd"/>
      <w:r w:rsidR="00C65D48" w:rsidRPr="00AE7CCF">
        <w:rPr>
          <w:rFonts w:ascii="Arial" w:hAnsi="Arial" w:cs="Arial"/>
          <w:bCs/>
          <w:color w:val="231F20"/>
          <w:sz w:val="24"/>
          <w:szCs w:val="24"/>
        </w:rPr>
        <w:t>) in the maternal circulation is an alternative non-</w:t>
      </w:r>
      <w:r w:rsidR="00800D49" w:rsidRPr="00AE7CCF">
        <w:rPr>
          <w:rFonts w:ascii="Arial" w:hAnsi="Arial" w:cs="Arial"/>
          <w:bCs/>
          <w:color w:val="231F20"/>
          <w:sz w:val="24"/>
          <w:szCs w:val="24"/>
        </w:rPr>
        <w:t>invasive means</w:t>
      </w:r>
      <w:r w:rsidR="00C65D48" w:rsidRPr="00AE7CCF">
        <w:rPr>
          <w:rFonts w:ascii="Arial" w:hAnsi="Arial" w:cs="Arial"/>
          <w:bCs/>
          <w:color w:val="231F20"/>
          <w:sz w:val="24"/>
          <w:szCs w:val="24"/>
        </w:rPr>
        <w:t xml:space="preserve"> of determining </w:t>
      </w:r>
      <w:r w:rsidR="00571C8A" w:rsidRPr="00AE7CCF">
        <w:rPr>
          <w:rFonts w:ascii="Arial" w:hAnsi="Arial" w:cs="Arial"/>
          <w:bCs/>
          <w:color w:val="231F20"/>
          <w:sz w:val="24"/>
          <w:szCs w:val="24"/>
        </w:rPr>
        <w:t>foetal</w:t>
      </w:r>
      <w:r w:rsidR="00C65D48" w:rsidRPr="00AE7CCF">
        <w:rPr>
          <w:rFonts w:ascii="Arial" w:hAnsi="Arial" w:cs="Arial"/>
          <w:bCs/>
          <w:color w:val="231F20"/>
          <w:sz w:val="24"/>
          <w:szCs w:val="24"/>
        </w:rPr>
        <w:t xml:space="preserve"> sex</w:t>
      </w:r>
      <w:r w:rsidR="000D27F7" w:rsidRPr="00AE7CCF">
        <w:rPr>
          <w:rFonts w:ascii="Arial" w:hAnsi="Arial" w:cs="Arial"/>
          <w:bCs/>
          <w:color w:val="231F20"/>
          <w:sz w:val="24"/>
          <w:szCs w:val="24"/>
        </w:rPr>
        <w:t xml:space="preserve"> [</w:t>
      </w:r>
      <w:r w:rsidR="00906AC5" w:rsidRPr="00AE7CCF">
        <w:rPr>
          <w:rFonts w:ascii="Arial" w:hAnsi="Arial" w:cs="Arial"/>
          <w:bCs/>
          <w:color w:val="231F20"/>
          <w:sz w:val="24"/>
          <w:szCs w:val="24"/>
        </w:rPr>
        <w:t>6</w:t>
      </w:r>
      <w:r w:rsidR="000D27F7" w:rsidRPr="00AE7CCF">
        <w:rPr>
          <w:rFonts w:ascii="Arial" w:hAnsi="Arial" w:cs="Arial"/>
          <w:bCs/>
          <w:color w:val="231F20"/>
          <w:sz w:val="24"/>
          <w:szCs w:val="24"/>
        </w:rPr>
        <w:t>]</w:t>
      </w:r>
      <w:r w:rsidR="002E6BBA" w:rsidRPr="00AE7CCF">
        <w:rPr>
          <w:rFonts w:ascii="Arial" w:hAnsi="Arial" w:cs="Arial"/>
          <w:bCs/>
          <w:color w:val="231F20"/>
          <w:sz w:val="24"/>
          <w:szCs w:val="24"/>
        </w:rPr>
        <w:t>.</w:t>
      </w:r>
      <w:r w:rsidR="00C65D48" w:rsidRPr="00AE7CCF">
        <w:rPr>
          <w:rFonts w:ascii="Arial" w:hAnsi="Arial" w:cs="Arial"/>
          <w:bCs/>
          <w:color w:val="231F20"/>
          <w:sz w:val="24"/>
          <w:szCs w:val="24"/>
        </w:rPr>
        <w:t xml:space="preserve"> </w:t>
      </w:r>
      <w:r w:rsidRPr="00AE7CCF">
        <w:rPr>
          <w:rFonts w:ascii="Arial" w:hAnsi="Arial" w:cs="Arial"/>
          <w:bCs/>
          <w:color w:val="231F20"/>
          <w:sz w:val="24"/>
          <w:szCs w:val="24"/>
        </w:rPr>
        <w:t>Pre-implantation genetic diagnosis (PGD)</w:t>
      </w:r>
      <w:r w:rsidR="00013B97" w:rsidRPr="00AE7CCF">
        <w:rPr>
          <w:rFonts w:ascii="Arial" w:hAnsi="Arial" w:cs="Arial"/>
          <w:bCs/>
          <w:color w:val="231F20"/>
          <w:sz w:val="24"/>
          <w:szCs w:val="24"/>
        </w:rPr>
        <w:t xml:space="preserve"> may be</w:t>
      </w:r>
      <w:r w:rsidR="00800D49" w:rsidRPr="00AE7CCF">
        <w:rPr>
          <w:rFonts w:ascii="Arial" w:hAnsi="Arial" w:cs="Arial"/>
          <w:bCs/>
          <w:color w:val="231F20"/>
          <w:sz w:val="24"/>
          <w:szCs w:val="24"/>
        </w:rPr>
        <w:t xml:space="preserve"> an option for couples who would not consider termination of a pregnancy and for those with concurrent infertility. Since i</w:t>
      </w:r>
      <w:r w:rsidRPr="00AE7CCF">
        <w:rPr>
          <w:rFonts w:ascii="Arial" w:hAnsi="Arial" w:cs="Arial"/>
          <w:bCs/>
          <w:color w:val="231F20"/>
          <w:sz w:val="24"/>
          <w:szCs w:val="24"/>
        </w:rPr>
        <w:t xml:space="preserve">n-vitro fertilization </w:t>
      </w:r>
      <w:r w:rsidR="00800D49" w:rsidRPr="00AE7CCF">
        <w:rPr>
          <w:rFonts w:ascii="Arial" w:hAnsi="Arial" w:cs="Arial"/>
          <w:bCs/>
          <w:color w:val="231F20"/>
          <w:sz w:val="24"/>
          <w:szCs w:val="24"/>
        </w:rPr>
        <w:t>is used</w:t>
      </w:r>
      <w:r w:rsidR="00013B97" w:rsidRPr="00AE7CCF">
        <w:rPr>
          <w:rFonts w:ascii="Arial" w:hAnsi="Arial" w:cs="Arial"/>
          <w:bCs/>
          <w:color w:val="231F20"/>
          <w:sz w:val="24"/>
          <w:szCs w:val="24"/>
        </w:rPr>
        <w:t>,</w:t>
      </w:r>
      <w:r w:rsidR="00800D49" w:rsidRPr="00AE7CCF">
        <w:rPr>
          <w:rFonts w:ascii="Arial" w:hAnsi="Arial" w:cs="Arial"/>
          <w:bCs/>
          <w:color w:val="231F20"/>
          <w:sz w:val="24"/>
          <w:szCs w:val="24"/>
        </w:rPr>
        <w:t xml:space="preserve"> the technique is labour intensive and technically challenging</w:t>
      </w:r>
      <w:r w:rsidR="006A49CA" w:rsidRPr="00AE7CCF">
        <w:rPr>
          <w:rFonts w:ascii="Arial" w:hAnsi="Arial" w:cs="Arial"/>
          <w:bCs/>
          <w:color w:val="231F20"/>
          <w:sz w:val="24"/>
          <w:szCs w:val="24"/>
        </w:rPr>
        <w:t xml:space="preserve"> [</w:t>
      </w:r>
      <w:r w:rsidR="00906AC5" w:rsidRPr="00AE7CCF">
        <w:rPr>
          <w:rFonts w:ascii="Arial" w:hAnsi="Arial" w:cs="Arial"/>
          <w:bCs/>
          <w:color w:val="231F20"/>
          <w:sz w:val="24"/>
          <w:szCs w:val="24"/>
        </w:rPr>
        <w:t>7</w:t>
      </w:r>
      <w:r w:rsidR="006A49CA" w:rsidRPr="00AE7CCF">
        <w:rPr>
          <w:rFonts w:ascii="Arial" w:hAnsi="Arial" w:cs="Arial"/>
          <w:bCs/>
          <w:color w:val="231F20"/>
          <w:sz w:val="24"/>
          <w:szCs w:val="24"/>
        </w:rPr>
        <w:t>]</w:t>
      </w:r>
      <w:r w:rsidR="00800D49" w:rsidRPr="00AE7CCF">
        <w:rPr>
          <w:rFonts w:ascii="Arial" w:hAnsi="Arial" w:cs="Arial"/>
          <w:bCs/>
          <w:color w:val="231F20"/>
          <w:sz w:val="24"/>
          <w:szCs w:val="24"/>
        </w:rPr>
        <w:t>.</w:t>
      </w:r>
      <w:r w:rsidRPr="00AE7CCF">
        <w:rPr>
          <w:rFonts w:ascii="Arial" w:hAnsi="Arial" w:cs="Arial"/>
          <w:bCs/>
          <w:color w:val="231F20"/>
          <w:sz w:val="24"/>
          <w:szCs w:val="24"/>
        </w:rPr>
        <w:t xml:space="preserve"> </w:t>
      </w:r>
    </w:p>
    <w:p w:rsidR="00602B67" w:rsidRPr="00AE7CCF" w:rsidRDefault="00602B67" w:rsidP="00AE7CCF">
      <w:pPr>
        <w:spacing w:after="120" w:line="360" w:lineRule="auto"/>
        <w:rPr>
          <w:rFonts w:ascii="Arial" w:hAnsi="Arial" w:cs="Arial"/>
          <w:bCs/>
          <w:color w:val="231F20"/>
          <w:sz w:val="24"/>
          <w:szCs w:val="24"/>
        </w:rPr>
      </w:pPr>
    </w:p>
    <w:p w:rsidR="00602B67" w:rsidRPr="00AE7CCF" w:rsidRDefault="00602B67" w:rsidP="00AE7CCF">
      <w:pPr>
        <w:pStyle w:val="VP2"/>
        <w:spacing w:line="360" w:lineRule="auto"/>
        <w:rPr>
          <w:lang w:val="sv-SE"/>
        </w:rPr>
      </w:pPr>
      <w:bookmarkStart w:id="3" w:name="_Toc422393072"/>
      <w:r w:rsidRPr="00AE7CCF">
        <w:rPr>
          <w:lang w:val="sv-SE"/>
        </w:rPr>
        <w:t xml:space="preserve">Management </w:t>
      </w:r>
      <w:proofErr w:type="spellStart"/>
      <w:r w:rsidRPr="00AE7CCF">
        <w:rPr>
          <w:lang w:val="sv-SE"/>
        </w:rPr>
        <w:t>of</w:t>
      </w:r>
      <w:proofErr w:type="spellEnd"/>
      <w:r w:rsidRPr="00AE7CCF">
        <w:rPr>
          <w:lang w:val="sv-SE"/>
        </w:rPr>
        <w:t xml:space="preserve"> </w:t>
      </w:r>
      <w:proofErr w:type="spellStart"/>
      <w:r w:rsidR="00571C8A" w:rsidRPr="00AE7CCF">
        <w:rPr>
          <w:lang w:val="sv-SE"/>
        </w:rPr>
        <w:t>gynaecological</w:t>
      </w:r>
      <w:proofErr w:type="spellEnd"/>
      <w:r w:rsidR="00451AE2" w:rsidRPr="00AE7CCF">
        <w:rPr>
          <w:lang w:val="sv-SE"/>
        </w:rPr>
        <w:t xml:space="preserve"> and </w:t>
      </w:r>
      <w:proofErr w:type="spellStart"/>
      <w:r w:rsidR="00451AE2" w:rsidRPr="00AE7CCF">
        <w:rPr>
          <w:lang w:val="sv-SE"/>
        </w:rPr>
        <w:t>obstetrical</w:t>
      </w:r>
      <w:proofErr w:type="spellEnd"/>
      <w:r w:rsidR="00451AE2" w:rsidRPr="00AE7CCF">
        <w:rPr>
          <w:lang w:val="sv-SE"/>
        </w:rPr>
        <w:t xml:space="preserve"> </w:t>
      </w:r>
      <w:bookmarkEnd w:id="3"/>
      <w:r w:rsidRPr="00AE7CCF">
        <w:rPr>
          <w:lang w:val="sv-SE"/>
        </w:rPr>
        <w:t>bleedings</w:t>
      </w:r>
    </w:p>
    <w:p w:rsidR="00A964C2" w:rsidRPr="00AE7CCF" w:rsidRDefault="00451AE2" w:rsidP="00AE7CCF">
      <w:pPr>
        <w:pStyle w:val="VP2"/>
        <w:spacing w:line="360" w:lineRule="auto"/>
        <w:rPr>
          <w:b w:val="0"/>
          <w:color w:val="auto"/>
          <w:sz w:val="24"/>
          <w:szCs w:val="24"/>
        </w:rPr>
      </w:pPr>
      <w:r w:rsidRPr="00AE7CCF">
        <w:rPr>
          <w:b w:val="0"/>
          <w:color w:val="auto"/>
          <w:sz w:val="24"/>
          <w:szCs w:val="24"/>
        </w:rPr>
        <w:t xml:space="preserve">One of the first </w:t>
      </w:r>
      <w:r w:rsidR="00571C8A" w:rsidRPr="00AE7CCF">
        <w:rPr>
          <w:b w:val="0"/>
          <w:color w:val="auto"/>
          <w:sz w:val="24"/>
          <w:szCs w:val="24"/>
        </w:rPr>
        <w:t>haemostatic</w:t>
      </w:r>
      <w:r w:rsidRPr="00AE7CCF">
        <w:rPr>
          <w:b w:val="0"/>
          <w:color w:val="auto"/>
          <w:sz w:val="24"/>
          <w:szCs w:val="24"/>
        </w:rPr>
        <w:t xml:space="preserve"> challenges a carrier may be facing is menstrual bleeding. Girls with </w:t>
      </w:r>
      <w:r w:rsidR="00F20931" w:rsidRPr="00AE7CCF">
        <w:rPr>
          <w:b w:val="0"/>
          <w:color w:val="auto"/>
          <w:sz w:val="24"/>
          <w:szCs w:val="24"/>
        </w:rPr>
        <w:t>haemophilia</w:t>
      </w:r>
      <w:r w:rsidRPr="00AE7CCF">
        <w:rPr>
          <w:b w:val="0"/>
          <w:color w:val="auto"/>
          <w:sz w:val="24"/>
          <w:szCs w:val="24"/>
        </w:rPr>
        <w:t xml:space="preserve"> should have a treatment plan prior to menarche for the possibility of excessive menstrual blood loss. Excessive bleedings may appear with the first or any following menstrual period during the adolescence. </w:t>
      </w:r>
      <w:r w:rsidR="00571C8A" w:rsidRPr="00AE7CCF">
        <w:rPr>
          <w:b w:val="0"/>
          <w:color w:val="auto"/>
          <w:sz w:val="24"/>
          <w:szCs w:val="24"/>
        </w:rPr>
        <w:t>Haemostatic</w:t>
      </w:r>
      <w:r w:rsidRPr="00AE7CCF">
        <w:rPr>
          <w:b w:val="0"/>
          <w:color w:val="auto"/>
          <w:sz w:val="24"/>
          <w:szCs w:val="24"/>
        </w:rPr>
        <w:t xml:space="preserve"> therapeutic options for the management of menorrhagia include </w:t>
      </w:r>
      <w:r w:rsidR="00F20931" w:rsidRPr="00AE7CCF">
        <w:rPr>
          <w:b w:val="0"/>
          <w:color w:val="auto"/>
          <w:sz w:val="24"/>
          <w:szCs w:val="24"/>
        </w:rPr>
        <w:t>tranexamic acid</w:t>
      </w:r>
      <w:r w:rsidRPr="00AE7CCF">
        <w:rPr>
          <w:b w:val="0"/>
          <w:color w:val="auto"/>
          <w:sz w:val="24"/>
          <w:szCs w:val="24"/>
        </w:rPr>
        <w:t xml:space="preserve">, DDAVP and clotting factor replacements. Hormonal therapy should be </w:t>
      </w:r>
      <w:r w:rsidR="00F20931" w:rsidRPr="00AE7CCF">
        <w:rPr>
          <w:b w:val="0"/>
          <w:color w:val="auto"/>
          <w:sz w:val="24"/>
          <w:szCs w:val="24"/>
        </w:rPr>
        <w:t xml:space="preserve">considered and, if appropriate, </w:t>
      </w:r>
      <w:r w:rsidRPr="00AE7CCF">
        <w:rPr>
          <w:b w:val="0"/>
          <w:color w:val="auto"/>
          <w:sz w:val="24"/>
          <w:szCs w:val="24"/>
        </w:rPr>
        <w:t xml:space="preserve">introduced by a </w:t>
      </w:r>
      <w:r w:rsidR="00571C8A" w:rsidRPr="00AE7CCF">
        <w:rPr>
          <w:b w:val="0"/>
          <w:color w:val="auto"/>
          <w:sz w:val="24"/>
          <w:szCs w:val="24"/>
        </w:rPr>
        <w:t>gynaecologist</w:t>
      </w:r>
      <w:r w:rsidRPr="00AE7CCF">
        <w:rPr>
          <w:b w:val="0"/>
          <w:color w:val="auto"/>
          <w:sz w:val="24"/>
          <w:szCs w:val="24"/>
        </w:rPr>
        <w:t xml:space="preserve"> with knowledge of bleeding disorders in collaboration with </w:t>
      </w:r>
      <w:r w:rsidR="00F20931" w:rsidRPr="00AE7CCF">
        <w:rPr>
          <w:b w:val="0"/>
          <w:color w:val="auto"/>
          <w:sz w:val="24"/>
          <w:szCs w:val="24"/>
        </w:rPr>
        <w:t>HTC</w:t>
      </w:r>
      <w:r w:rsidR="00A964C2" w:rsidRPr="00AE7CCF">
        <w:rPr>
          <w:b w:val="0"/>
          <w:color w:val="auto"/>
          <w:sz w:val="24"/>
          <w:szCs w:val="24"/>
        </w:rPr>
        <w:t xml:space="preserve"> [</w:t>
      </w:r>
      <w:r w:rsidR="00906AC5" w:rsidRPr="00AE7CCF">
        <w:rPr>
          <w:b w:val="0"/>
          <w:color w:val="auto"/>
          <w:sz w:val="24"/>
          <w:szCs w:val="24"/>
        </w:rPr>
        <w:t>8</w:t>
      </w:r>
      <w:r w:rsidR="00A964C2" w:rsidRPr="00AE7CCF">
        <w:rPr>
          <w:b w:val="0"/>
          <w:color w:val="auto"/>
          <w:sz w:val="24"/>
          <w:szCs w:val="24"/>
        </w:rPr>
        <w:t>]</w:t>
      </w:r>
      <w:r w:rsidRPr="00AE7CCF">
        <w:rPr>
          <w:b w:val="0"/>
          <w:color w:val="auto"/>
          <w:sz w:val="24"/>
          <w:szCs w:val="24"/>
        </w:rPr>
        <w:t>.</w:t>
      </w:r>
      <w:r w:rsidR="00F20931" w:rsidRPr="00AE7CCF">
        <w:rPr>
          <w:b w:val="0"/>
          <w:color w:val="auto"/>
          <w:sz w:val="24"/>
          <w:szCs w:val="24"/>
        </w:rPr>
        <w:t xml:space="preserve"> </w:t>
      </w:r>
    </w:p>
    <w:p w:rsidR="00F20931" w:rsidRPr="00AE7CCF" w:rsidRDefault="00F20931" w:rsidP="00AE7CCF">
      <w:pPr>
        <w:pStyle w:val="VP2"/>
        <w:spacing w:line="360" w:lineRule="auto"/>
      </w:pPr>
    </w:p>
    <w:p w:rsidR="00451AE2" w:rsidRPr="00F466FB" w:rsidRDefault="00451AE2" w:rsidP="00AE7CCF">
      <w:pPr>
        <w:spacing w:after="120" w:line="360" w:lineRule="auto"/>
        <w:rPr>
          <w:rFonts w:ascii="Arial" w:hAnsi="Arial" w:cs="Arial"/>
          <w:bCs/>
          <w:color w:val="231F20"/>
          <w:sz w:val="24"/>
          <w:szCs w:val="24"/>
        </w:rPr>
      </w:pP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During pregnancy the FVIII levels in carriers of </w:t>
      </w:r>
      <w:r w:rsidR="00571C8A" w:rsidRPr="00F466FB">
        <w:rPr>
          <w:rFonts w:ascii="Arial" w:hAnsi="Arial" w:cs="Arial"/>
          <w:bCs/>
          <w:color w:val="231F20"/>
          <w:sz w:val="24"/>
          <w:szCs w:val="24"/>
        </w:rPr>
        <w:t>haemophilia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 A may increase sufficiently to permit safe </w:t>
      </w:r>
      <w:r w:rsidR="00571C8A" w:rsidRPr="00F466FB">
        <w:rPr>
          <w:rFonts w:ascii="Arial" w:hAnsi="Arial" w:cs="Arial"/>
          <w:bCs/>
          <w:color w:val="231F20"/>
          <w:sz w:val="24"/>
          <w:szCs w:val="24"/>
        </w:rPr>
        <w:t>haemostasis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 during delivery. In carriers of </w:t>
      </w:r>
      <w:r w:rsidR="00571C8A" w:rsidRPr="00F466FB">
        <w:rPr>
          <w:rFonts w:ascii="Arial" w:hAnsi="Arial" w:cs="Arial"/>
          <w:bCs/>
          <w:color w:val="231F20"/>
          <w:sz w:val="24"/>
          <w:szCs w:val="24"/>
        </w:rPr>
        <w:t>haemophilia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 B the FIX level </w:t>
      </w:r>
      <w:r w:rsidR="00D14390" w:rsidRPr="00F466FB">
        <w:rPr>
          <w:rFonts w:ascii="Arial" w:hAnsi="Arial" w:cs="Arial"/>
          <w:bCs/>
          <w:color w:val="231F20"/>
          <w:sz w:val="24"/>
          <w:szCs w:val="24"/>
        </w:rPr>
        <w:t>cannot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 be expected to increase to the same extent </w:t>
      </w:r>
      <w:r w:rsidR="00A964C2" w:rsidRPr="00F466FB">
        <w:rPr>
          <w:rFonts w:ascii="Arial" w:hAnsi="Arial" w:cs="Arial"/>
          <w:bCs/>
          <w:color w:val="231F20"/>
          <w:sz w:val="24"/>
          <w:szCs w:val="24"/>
        </w:rPr>
        <w:t>[</w:t>
      </w:r>
      <w:r w:rsidR="00906AC5" w:rsidRPr="00F466FB">
        <w:rPr>
          <w:rFonts w:ascii="Arial" w:hAnsi="Arial" w:cs="Arial"/>
          <w:bCs/>
          <w:color w:val="231F20"/>
          <w:sz w:val="24"/>
          <w:szCs w:val="24"/>
        </w:rPr>
        <w:t>9</w:t>
      </w:r>
      <w:r w:rsidR="00A964C2" w:rsidRPr="00F466FB">
        <w:rPr>
          <w:rFonts w:ascii="Arial" w:hAnsi="Arial" w:cs="Arial"/>
          <w:bCs/>
          <w:color w:val="231F20"/>
          <w:sz w:val="24"/>
          <w:szCs w:val="24"/>
        </w:rPr>
        <w:t>]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>. Factor level should be checked at gestation week 32-34 to allow appropriate management of delivery and to assess the need for prophylactic treatment. A written delivery plan should be drawn up in advance and the delivery should take place in a unit with suitable expertise.</w:t>
      </w:r>
      <w:r w:rsidR="00F20931" w:rsidRPr="00F466FB">
        <w:rPr>
          <w:rFonts w:ascii="Arial" w:hAnsi="Arial" w:cs="Arial"/>
          <w:bCs/>
          <w:color w:val="231F20"/>
          <w:sz w:val="24"/>
          <w:szCs w:val="24"/>
        </w:rPr>
        <w:t xml:space="preserve"> 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As a general rule, prophylactic treatment to prevent from bleeding during delivery and </w:t>
      </w:r>
      <w:r w:rsidR="00D14390" w:rsidRPr="00F466FB">
        <w:rPr>
          <w:rFonts w:ascii="Arial" w:hAnsi="Arial" w:cs="Arial"/>
          <w:bCs/>
          <w:color w:val="231F20"/>
          <w:sz w:val="24"/>
          <w:szCs w:val="24"/>
        </w:rPr>
        <w:t>postpartum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 is given to carrier</w:t>
      </w:r>
      <w:r w:rsidR="00D008B9" w:rsidRPr="00F466FB">
        <w:rPr>
          <w:rFonts w:ascii="Arial" w:hAnsi="Arial" w:cs="Arial"/>
          <w:bCs/>
          <w:color w:val="231F20"/>
          <w:sz w:val="24"/>
          <w:szCs w:val="24"/>
        </w:rPr>
        <w:t>s with subnormal factor levels.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 </w:t>
      </w:r>
      <w:r w:rsidR="00F81F60" w:rsidRPr="00F466FB">
        <w:rPr>
          <w:rFonts w:ascii="Arial" w:hAnsi="Arial" w:cs="Arial"/>
          <w:bCs/>
          <w:color w:val="231F20"/>
          <w:sz w:val="24"/>
          <w:szCs w:val="24"/>
        </w:rPr>
        <w:t xml:space="preserve">If treatment is required, factor levels of 1.0 </w:t>
      </w:r>
      <w:proofErr w:type="spellStart"/>
      <w:r w:rsidR="00F81F60" w:rsidRPr="00F466FB">
        <w:rPr>
          <w:rFonts w:ascii="Arial" w:hAnsi="Arial" w:cs="Arial"/>
          <w:bCs/>
          <w:color w:val="231F20"/>
          <w:sz w:val="24"/>
          <w:szCs w:val="24"/>
        </w:rPr>
        <w:t>kIU</w:t>
      </w:r>
      <w:proofErr w:type="spellEnd"/>
      <w:r w:rsidR="00F81F60" w:rsidRPr="00F466FB">
        <w:rPr>
          <w:rFonts w:ascii="Arial" w:hAnsi="Arial" w:cs="Arial"/>
          <w:bCs/>
          <w:color w:val="231F20"/>
          <w:sz w:val="24"/>
          <w:szCs w:val="24"/>
        </w:rPr>
        <w:t xml:space="preserve">/L should be aimed for to cover labour, 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delivery and the immediate postpartum period. The treatment should be continued to maintain factor levels above 0.50 </w:t>
      </w:r>
      <w:proofErr w:type="spellStart"/>
      <w:r w:rsidRPr="00F466FB">
        <w:rPr>
          <w:rFonts w:ascii="Arial" w:hAnsi="Arial" w:cs="Arial"/>
          <w:bCs/>
          <w:color w:val="231F20"/>
          <w:sz w:val="24"/>
          <w:szCs w:val="24"/>
        </w:rPr>
        <w:t>kIU</w:t>
      </w:r>
      <w:proofErr w:type="spellEnd"/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/L for at least three to four days </w:t>
      </w:r>
      <w:r w:rsidR="00F81F60" w:rsidRPr="00F466FB">
        <w:rPr>
          <w:rFonts w:ascii="Arial" w:hAnsi="Arial" w:cs="Arial"/>
          <w:bCs/>
          <w:color w:val="231F20"/>
          <w:sz w:val="24"/>
          <w:szCs w:val="24"/>
        </w:rPr>
        <w:t>after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 vaginal </w:t>
      </w:r>
      <w:r w:rsidRPr="00F466FB">
        <w:rPr>
          <w:rFonts w:ascii="Arial" w:hAnsi="Arial" w:cs="Arial"/>
          <w:bCs/>
          <w:color w:val="231F20"/>
          <w:sz w:val="24"/>
          <w:szCs w:val="24"/>
        </w:rPr>
        <w:lastRenderedPageBreak/>
        <w:t xml:space="preserve">delivery and five to seven days </w:t>
      </w:r>
      <w:r w:rsidR="00F81F60" w:rsidRPr="00F466FB">
        <w:rPr>
          <w:rFonts w:ascii="Arial" w:hAnsi="Arial" w:cs="Arial"/>
          <w:bCs/>
          <w:color w:val="231F20"/>
          <w:sz w:val="24"/>
          <w:szCs w:val="24"/>
        </w:rPr>
        <w:t xml:space="preserve">after </w:t>
      </w:r>
      <w:r w:rsidR="00571C8A" w:rsidRPr="00F466FB">
        <w:rPr>
          <w:rFonts w:ascii="Arial" w:hAnsi="Arial" w:cs="Arial"/>
          <w:bCs/>
          <w:color w:val="231F20"/>
          <w:sz w:val="24"/>
          <w:szCs w:val="24"/>
        </w:rPr>
        <w:t>caesarean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 section </w:t>
      </w:r>
      <w:r w:rsidR="00A964C2" w:rsidRPr="00F466FB">
        <w:rPr>
          <w:rFonts w:ascii="Arial" w:hAnsi="Arial" w:cs="Arial"/>
          <w:bCs/>
          <w:color w:val="231F20"/>
          <w:sz w:val="24"/>
          <w:szCs w:val="24"/>
        </w:rPr>
        <w:t>[</w:t>
      </w:r>
      <w:r w:rsidR="00906AC5" w:rsidRPr="00F466FB">
        <w:rPr>
          <w:rFonts w:ascii="Arial" w:hAnsi="Arial" w:cs="Arial"/>
          <w:bCs/>
          <w:color w:val="231F20"/>
          <w:sz w:val="24"/>
          <w:szCs w:val="24"/>
        </w:rPr>
        <w:t>8</w:t>
      </w:r>
      <w:r w:rsidR="00A964C2" w:rsidRPr="00F466FB">
        <w:rPr>
          <w:rFonts w:ascii="Arial" w:hAnsi="Arial" w:cs="Arial"/>
          <w:bCs/>
          <w:color w:val="231F20"/>
          <w:sz w:val="24"/>
          <w:szCs w:val="24"/>
        </w:rPr>
        <w:t>].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 Tranexamic acid may be used in combination with replacement therapy and as a sole therapy for carriers with</w:t>
      </w:r>
      <w:r w:rsidRPr="00AE7CCF">
        <w:rPr>
          <w:rFonts w:ascii="Arial" w:hAnsi="Arial" w:cs="Arial"/>
          <w:bCs/>
          <w:color w:val="231F20"/>
          <w:sz w:val="24"/>
          <w:szCs w:val="24"/>
          <w:lang w:val="sv-SE"/>
        </w:rPr>
        <w:t xml:space="preserve"> 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factor levels within normal range when clinically required. The risk for secondary </w:t>
      </w:r>
      <w:r w:rsidR="00D14390" w:rsidRPr="00F466FB">
        <w:rPr>
          <w:rFonts w:ascii="Arial" w:hAnsi="Arial" w:cs="Arial"/>
          <w:bCs/>
          <w:color w:val="231F20"/>
          <w:sz w:val="24"/>
          <w:szCs w:val="24"/>
        </w:rPr>
        <w:t>postpartum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 </w:t>
      </w:r>
      <w:r w:rsidR="00571C8A" w:rsidRPr="00F466FB">
        <w:rPr>
          <w:rFonts w:ascii="Arial" w:hAnsi="Arial" w:cs="Arial"/>
          <w:bCs/>
          <w:color w:val="231F20"/>
          <w:sz w:val="24"/>
          <w:szCs w:val="24"/>
        </w:rPr>
        <w:t>haemorrhage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 is increased </w:t>
      </w:r>
      <w:r w:rsidR="00F81F60" w:rsidRPr="00F466FB">
        <w:rPr>
          <w:rFonts w:ascii="Arial" w:hAnsi="Arial" w:cs="Arial"/>
          <w:bCs/>
          <w:color w:val="231F20"/>
          <w:sz w:val="24"/>
          <w:szCs w:val="24"/>
        </w:rPr>
        <w:t>when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 clotting factors return to pre-pregnancy levels after delivery and tranexamic acid should be continued </w:t>
      </w:r>
      <w:r w:rsidR="00D14390" w:rsidRPr="00F466FB">
        <w:rPr>
          <w:rFonts w:ascii="Arial" w:hAnsi="Arial" w:cs="Arial"/>
          <w:bCs/>
          <w:color w:val="231F20"/>
          <w:sz w:val="24"/>
          <w:szCs w:val="24"/>
        </w:rPr>
        <w:t>postpartum</w:t>
      </w:r>
      <w:r w:rsidR="00A964C2" w:rsidRPr="00F466FB">
        <w:rPr>
          <w:rFonts w:ascii="Arial" w:hAnsi="Arial" w:cs="Arial"/>
          <w:bCs/>
          <w:color w:val="231F20"/>
          <w:sz w:val="24"/>
          <w:szCs w:val="24"/>
        </w:rPr>
        <w:t xml:space="preserve"> as needed</w:t>
      </w:r>
      <w:r w:rsidR="0083011B" w:rsidRPr="00F466FB">
        <w:rPr>
          <w:rFonts w:ascii="Arial" w:hAnsi="Arial" w:cs="Arial"/>
          <w:bCs/>
          <w:color w:val="231F20"/>
          <w:sz w:val="24"/>
          <w:szCs w:val="24"/>
        </w:rPr>
        <w:t xml:space="preserve"> </w:t>
      </w:r>
      <w:r w:rsidR="00AE7CCF" w:rsidRPr="00F466FB">
        <w:rPr>
          <w:rFonts w:ascii="Arial" w:hAnsi="Arial" w:cs="Arial"/>
          <w:bCs/>
          <w:color w:val="231F20"/>
          <w:sz w:val="24"/>
          <w:szCs w:val="24"/>
        </w:rPr>
        <w:t>[10]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. DDAVP may be used in carriers of </w:t>
      </w:r>
      <w:r w:rsidR="00571C8A" w:rsidRPr="00F466FB">
        <w:rPr>
          <w:rFonts w:ascii="Arial" w:hAnsi="Arial" w:cs="Arial"/>
          <w:bCs/>
          <w:color w:val="231F20"/>
          <w:sz w:val="24"/>
          <w:szCs w:val="24"/>
        </w:rPr>
        <w:t>haemophilia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 A to improve </w:t>
      </w:r>
      <w:r w:rsidR="00571C8A" w:rsidRPr="00F466FB">
        <w:rPr>
          <w:rFonts w:ascii="Arial" w:hAnsi="Arial" w:cs="Arial"/>
          <w:bCs/>
          <w:color w:val="231F20"/>
          <w:sz w:val="24"/>
          <w:szCs w:val="24"/>
        </w:rPr>
        <w:t>haemostasis</w:t>
      </w:r>
      <w:r w:rsidR="00013B97" w:rsidRPr="00F466FB">
        <w:rPr>
          <w:rFonts w:ascii="Arial" w:hAnsi="Arial" w:cs="Arial"/>
          <w:bCs/>
          <w:color w:val="231F20"/>
          <w:sz w:val="24"/>
          <w:szCs w:val="24"/>
        </w:rPr>
        <w:t xml:space="preserve"> after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 the child is born. Factor levels &gt; 0.50 </w:t>
      </w:r>
      <w:proofErr w:type="spellStart"/>
      <w:r w:rsidRPr="00F466FB">
        <w:rPr>
          <w:rFonts w:ascii="Arial" w:hAnsi="Arial" w:cs="Arial"/>
          <w:bCs/>
          <w:color w:val="231F20"/>
          <w:sz w:val="24"/>
          <w:szCs w:val="24"/>
        </w:rPr>
        <w:t>kIU</w:t>
      </w:r>
      <w:proofErr w:type="spellEnd"/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/L are required for insertion and removal of an epidural catheter and for spinal </w:t>
      </w:r>
      <w:r w:rsidR="00571C8A" w:rsidRPr="00F466FB">
        <w:rPr>
          <w:rFonts w:ascii="Arial" w:hAnsi="Arial" w:cs="Arial"/>
          <w:bCs/>
          <w:color w:val="231F20"/>
          <w:sz w:val="24"/>
          <w:szCs w:val="24"/>
        </w:rPr>
        <w:t>anaesthesia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 </w:t>
      </w:r>
      <w:r w:rsidR="00A964C2" w:rsidRPr="00F466FB">
        <w:rPr>
          <w:rFonts w:ascii="Arial" w:hAnsi="Arial" w:cs="Arial"/>
          <w:bCs/>
          <w:color w:val="231F20"/>
          <w:sz w:val="24"/>
          <w:szCs w:val="24"/>
        </w:rPr>
        <w:t>[</w:t>
      </w:r>
      <w:r w:rsidR="00AE7CCF" w:rsidRPr="00F466FB">
        <w:rPr>
          <w:rFonts w:ascii="Arial" w:hAnsi="Arial" w:cs="Arial"/>
          <w:bCs/>
          <w:color w:val="231F20"/>
          <w:sz w:val="24"/>
          <w:szCs w:val="24"/>
        </w:rPr>
        <w:t>11</w:t>
      </w:r>
      <w:r w:rsidR="00311CB4" w:rsidRPr="00F466FB">
        <w:rPr>
          <w:rFonts w:ascii="Arial" w:hAnsi="Arial" w:cs="Arial"/>
          <w:bCs/>
          <w:color w:val="231F20"/>
          <w:sz w:val="24"/>
          <w:szCs w:val="24"/>
        </w:rPr>
        <w:t xml:space="preserve">, </w:t>
      </w:r>
      <w:r w:rsidR="00AE7CCF" w:rsidRPr="00F466FB">
        <w:rPr>
          <w:rFonts w:ascii="Arial" w:hAnsi="Arial" w:cs="Arial"/>
          <w:bCs/>
          <w:color w:val="231F20"/>
          <w:sz w:val="24"/>
          <w:szCs w:val="24"/>
        </w:rPr>
        <w:t>12</w:t>
      </w:r>
      <w:r w:rsidR="00A964C2" w:rsidRPr="00F466FB">
        <w:rPr>
          <w:rFonts w:ascii="Arial" w:hAnsi="Arial" w:cs="Arial"/>
          <w:bCs/>
          <w:color w:val="231F20"/>
          <w:sz w:val="24"/>
          <w:szCs w:val="24"/>
        </w:rPr>
        <w:t>]</w:t>
      </w:r>
      <w:r w:rsidRPr="00F466FB">
        <w:rPr>
          <w:rFonts w:ascii="Arial" w:hAnsi="Arial" w:cs="Arial"/>
          <w:bCs/>
          <w:color w:val="231F20"/>
          <w:sz w:val="24"/>
          <w:szCs w:val="24"/>
        </w:rPr>
        <w:t xml:space="preserve">. </w:t>
      </w:r>
      <w:r w:rsidR="00873D86" w:rsidRPr="00F466FB">
        <w:rPr>
          <w:rFonts w:ascii="Arial" w:hAnsi="Arial" w:cs="Arial"/>
          <w:bCs/>
          <w:color w:val="231F20"/>
          <w:sz w:val="24"/>
          <w:szCs w:val="24"/>
        </w:rPr>
        <w:t>Vaginal delivery is recommended if no other obstetric concerns, however caesarean section should be considered early when needed to avoid emergency caesarean</w:t>
      </w:r>
      <w:r w:rsidR="00952E50" w:rsidRPr="00F466FB">
        <w:rPr>
          <w:rFonts w:ascii="Arial" w:hAnsi="Arial" w:cs="Arial"/>
          <w:bCs/>
          <w:color w:val="231F20"/>
          <w:sz w:val="24"/>
          <w:szCs w:val="24"/>
        </w:rPr>
        <w:t>. Assisted vaginal delivery, vacuum extraction and use of forceps, as well as foetal blood sampling and foetal scalp electrode should be avoided for male babies at risk of haemophilia [</w:t>
      </w:r>
      <w:r w:rsidR="00AE7CCF" w:rsidRPr="00F466FB">
        <w:rPr>
          <w:rFonts w:ascii="Arial" w:hAnsi="Arial" w:cs="Arial"/>
          <w:bCs/>
          <w:color w:val="231F20"/>
          <w:sz w:val="24"/>
          <w:szCs w:val="24"/>
        </w:rPr>
        <w:t>13</w:t>
      </w:r>
      <w:r w:rsidR="00952E50" w:rsidRPr="00F466FB">
        <w:rPr>
          <w:rFonts w:ascii="Arial" w:hAnsi="Arial" w:cs="Arial"/>
          <w:bCs/>
          <w:color w:val="231F20"/>
          <w:sz w:val="24"/>
          <w:szCs w:val="24"/>
        </w:rPr>
        <w:t>-</w:t>
      </w:r>
      <w:r w:rsidR="00AE7CCF" w:rsidRPr="00F466FB">
        <w:rPr>
          <w:rFonts w:ascii="Arial" w:hAnsi="Arial" w:cs="Arial"/>
          <w:bCs/>
          <w:color w:val="231F20"/>
          <w:sz w:val="24"/>
          <w:szCs w:val="24"/>
        </w:rPr>
        <w:t>15</w:t>
      </w:r>
      <w:r w:rsidR="00952E50" w:rsidRPr="00F466FB">
        <w:rPr>
          <w:rFonts w:ascii="Arial" w:hAnsi="Arial" w:cs="Arial"/>
          <w:bCs/>
          <w:color w:val="231F20"/>
          <w:sz w:val="24"/>
          <w:szCs w:val="24"/>
        </w:rPr>
        <w:t xml:space="preserve">]. </w:t>
      </w:r>
      <w:r w:rsidR="00FA6295" w:rsidRPr="00F466FB">
        <w:rPr>
          <w:rFonts w:ascii="Arial" w:hAnsi="Arial" w:cs="Arial"/>
          <w:bCs/>
          <w:color w:val="231F20"/>
          <w:sz w:val="24"/>
          <w:szCs w:val="24"/>
        </w:rPr>
        <w:t xml:space="preserve">Cord blood sampling and diagnostic testing is recommended </w:t>
      </w:r>
      <w:r w:rsidR="00A26228" w:rsidRPr="00F466FB">
        <w:rPr>
          <w:rFonts w:ascii="Arial" w:hAnsi="Arial" w:cs="Arial"/>
          <w:bCs/>
          <w:color w:val="231F20"/>
          <w:sz w:val="24"/>
          <w:szCs w:val="24"/>
        </w:rPr>
        <w:t>for all male babies.  Vitamin K should be administered by an oral regimen to neonates with low factor levels</w:t>
      </w:r>
      <w:r w:rsidR="00464C7B" w:rsidRPr="00F466FB">
        <w:rPr>
          <w:rFonts w:ascii="Arial" w:hAnsi="Arial" w:cs="Arial"/>
          <w:bCs/>
          <w:color w:val="231F20"/>
          <w:sz w:val="24"/>
          <w:szCs w:val="24"/>
        </w:rPr>
        <w:t xml:space="preserve"> </w:t>
      </w:r>
      <w:r w:rsidR="00AE7CCF" w:rsidRPr="00F466FB">
        <w:rPr>
          <w:rFonts w:ascii="Arial" w:hAnsi="Arial" w:cs="Arial"/>
          <w:bCs/>
          <w:color w:val="231F20"/>
          <w:sz w:val="24"/>
          <w:szCs w:val="24"/>
        </w:rPr>
        <w:t>[16]</w:t>
      </w:r>
      <w:r w:rsidR="00A26228" w:rsidRPr="00F466FB">
        <w:rPr>
          <w:rFonts w:ascii="Arial" w:hAnsi="Arial" w:cs="Arial"/>
          <w:bCs/>
          <w:color w:val="231F20"/>
          <w:sz w:val="24"/>
          <w:szCs w:val="24"/>
        </w:rPr>
        <w:t>.</w:t>
      </w:r>
    </w:p>
    <w:p w:rsidR="00451AE2" w:rsidRPr="00AE7CCF" w:rsidRDefault="00451AE2" w:rsidP="00AE7CCF">
      <w:pPr>
        <w:spacing w:after="120" w:line="360" w:lineRule="auto"/>
        <w:rPr>
          <w:rFonts w:ascii="Arial" w:hAnsi="Arial" w:cs="Arial"/>
          <w:bCs/>
          <w:color w:val="231F20"/>
          <w:sz w:val="24"/>
          <w:szCs w:val="24"/>
          <w:lang w:val="sv-SE"/>
        </w:rPr>
      </w:pPr>
    </w:p>
    <w:p w:rsidR="009F7D28" w:rsidRPr="00AE7CCF" w:rsidRDefault="009F7D28" w:rsidP="00AE7CCF">
      <w:pPr>
        <w:spacing w:after="120" w:line="360" w:lineRule="auto"/>
        <w:rPr>
          <w:rFonts w:ascii="Arial" w:hAnsi="Arial" w:cs="Arial"/>
          <w:bCs/>
          <w:color w:val="FF0000"/>
          <w:sz w:val="24"/>
          <w:szCs w:val="24"/>
          <w:lang w:val="sv-SE"/>
        </w:rPr>
      </w:pPr>
    </w:p>
    <w:p w:rsidR="009F7D28" w:rsidRPr="00AE7CCF" w:rsidRDefault="009F7D28" w:rsidP="00AE7CCF">
      <w:pPr>
        <w:spacing w:after="120" w:line="360" w:lineRule="auto"/>
        <w:rPr>
          <w:rFonts w:ascii="Arial" w:hAnsi="Arial" w:cs="Arial"/>
          <w:bCs/>
          <w:color w:val="FF0000"/>
          <w:sz w:val="24"/>
          <w:szCs w:val="24"/>
          <w:lang w:val="sv-SE"/>
        </w:rPr>
      </w:pPr>
    </w:p>
    <w:p w:rsidR="009F7D28" w:rsidRPr="00AE7CCF" w:rsidRDefault="009F7D28" w:rsidP="00AE7CCF">
      <w:pPr>
        <w:spacing w:after="120" w:line="360" w:lineRule="auto"/>
        <w:rPr>
          <w:rFonts w:ascii="Arial" w:hAnsi="Arial" w:cs="Arial"/>
          <w:bCs/>
          <w:color w:val="FF0000"/>
          <w:sz w:val="24"/>
          <w:szCs w:val="24"/>
          <w:lang w:val="sv-SE"/>
        </w:rPr>
      </w:pPr>
    </w:p>
    <w:p w:rsidR="009F7D28" w:rsidRPr="00AE7CCF" w:rsidRDefault="009F7D28" w:rsidP="00AE7CCF">
      <w:pPr>
        <w:spacing w:after="120" w:line="360" w:lineRule="auto"/>
        <w:rPr>
          <w:rFonts w:ascii="Arial" w:hAnsi="Arial" w:cs="Arial"/>
          <w:bCs/>
          <w:color w:val="FF0000"/>
          <w:sz w:val="24"/>
          <w:szCs w:val="24"/>
          <w:lang w:val="sv-SE"/>
        </w:rPr>
      </w:pPr>
    </w:p>
    <w:p w:rsidR="009F7D28" w:rsidRPr="00AE7CCF" w:rsidRDefault="009F7D28" w:rsidP="00AE7CCF">
      <w:pPr>
        <w:spacing w:after="120" w:line="360" w:lineRule="auto"/>
        <w:rPr>
          <w:rFonts w:ascii="Arial" w:hAnsi="Arial" w:cs="Arial"/>
          <w:bCs/>
          <w:color w:val="FF0000"/>
          <w:sz w:val="24"/>
          <w:szCs w:val="24"/>
          <w:lang w:val="sv-SE"/>
        </w:rPr>
      </w:pPr>
    </w:p>
    <w:p w:rsidR="009F7D28" w:rsidRPr="00AE7CCF" w:rsidRDefault="009F7D28" w:rsidP="00AE7CCF">
      <w:pPr>
        <w:spacing w:after="120" w:line="360" w:lineRule="auto"/>
        <w:rPr>
          <w:rFonts w:ascii="Arial" w:hAnsi="Arial" w:cs="Arial"/>
          <w:bCs/>
          <w:color w:val="FF0000"/>
          <w:sz w:val="24"/>
          <w:szCs w:val="24"/>
          <w:lang w:val="sv-SE"/>
        </w:rPr>
      </w:pPr>
    </w:p>
    <w:p w:rsidR="009F7D28" w:rsidRPr="00AE7CCF" w:rsidRDefault="009F7D28" w:rsidP="00AE7CCF">
      <w:pPr>
        <w:spacing w:after="120" w:line="360" w:lineRule="auto"/>
        <w:rPr>
          <w:rFonts w:ascii="Arial" w:hAnsi="Arial" w:cs="Arial"/>
          <w:bCs/>
          <w:color w:val="FF0000"/>
          <w:sz w:val="24"/>
          <w:szCs w:val="24"/>
          <w:lang w:val="sv-SE"/>
        </w:rPr>
      </w:pPr>
    </w:p>
    <w:p w:rsidR="009F7D28" w:rsidRPr="00AE7CCF" w:rsidRDefault="009F7D28" w:rsidP="00AE7CCF">
      <w:pPr>
        <w:spacing w:after="120" w:line="360" w:lineRule="auto"/>
        <w:rPr>
          <w:rFonts w:ascii="Arial" w:hAnsi="Arial" w:cs="Arial"/>
          <w:bCs/>
          <w:color w:val="FF0000"/>
          <w:sz w:val="24"/>
          <w:szCs w:val="24"/>
          <w:lang w:val="sv-SE"/>
        </w:rPr>
      </w:pPr>
    </w:p>
    <w:p w:rsidR="009F7D28" w:rsidRPr="00AE7CCF" w:rsidRDefault="009F7D28" w:rsidP="00AE7CCF">
      <w:pPr>
        <w:spacing w:after="120" w:line="480" w:lineRule="auto"/>
        <w:rPr>
          <w:rFonts w:ascii="Arial" w:hAnsi="Arial" w:cs="Arial"/>
          <w:bCs/>
          <w:color w:val="FF0000"/>
          <w:sz w:val="24"/>
          <w:szCs w:val="24"/>
          <w:lang w:val="sv-SE"/>
        </w:rPr>
      </w:pPr>
    </w:p>
    <w:p w:rsidR="009F7D28" w:rsidRPr="00AE7CCF" w:rsidRDefault="009F7D28" w:rsidP="00AE7CCF">
      <w:pPr>
        <w:spacing w:after="120" w:line="480" w:lineRule="auto"/>
        <w:rPr>
          <w:rFonts w:ascii="Arial" w:hAnsi="Arial" w:cs="Arial"/>
          <w:bCs/>
          <w:color w:val="FF0000"/>
          <w:sz w:val="24"/>
          <w:szCs w:val="24"/>
          <w:lang w:val="sv-SE"/>
        </w:rPr>
      </w:pPr>
    </w:p>
    <w:p w:rsidR="009F7D28" w:rsidRPr="00AE7CCF" w:rsidRDefault="009F7D28" w:rsidP="00AE7CCF">
      <w:pPr>
        <w:spacing w:after="120" w:line="480" w:lineRule="auto"/>
        <w:rPr>
          <w:rFonts w:ascii="Arial" w:hAnsi="Arial" w:cs="Arial"/>
          <w:bCs/>
          <w:color w:val="FF0000"/>
          <w:sz w:val="24"/>
          <w:szCs w:val="24"/>
          <w:lang w:val="sv-SE"/>
        </w:rPr>
      </w:pPr>
    </w:p>
    <w:p w:rsidR="009F7D28" w:rsidRPr="00AE7CCF" w:rsidRDefault="009F7D28" w:rsidP="00AE7CCF">
      <w:pPr>
        <w:spacing w:after="120" w:line="480" w:lineRule="auto"/>
        <w:rPr>
          <w:rFonts w:ascii="Arial" w:hAnsi="Arial" w:cs="Arial"/>
          <w:bCs/>
          <w:color w:val="FF0000"/>
          <w:sz w:val="24"/>
          <w:szCs w:val="24"/>
          <w:lang w:val="sv-SE"/>
        </w:rPr>
      </w:pPr>
    </w:p>
    <w:p w:rsidR="009F7D28" w:rsidRPr="00AE7CCF" w:rsidRDefault="009F7D28" w:rsidP="00AE7CCF">
      <w:pPr>
        <w:spacing w:after="120" w:line="480" w:lineRule="auto"/>
        <w:rPr>
          <w:rFonts w:ascii="Arial" w:hAnsi="Arial" w:cs="Arial"/>
          <w:bCs/>
          <w:color w:val="FF0000"/>
          <w:sz w:val="24"/>
          <w:szCs w:val="24"/>
          <w:lang w:val="sv-SE"/>
        </w:rPr>
      </w:pPr>
    </w:p>
    <w:p w:rsidR="009F7D28" w:rsidRPr="00AE7CCF" w:rsidRDefault="009F7D28" w:rsidP="00AE7CCF">
      <w:pPr>
        <w:spacing w:after="120" w:line="480" w:lineRule="auto"/>
        <w:rPr>
          <w:rFonts w:ascii="Arial" w:hAnsi="Arial" w:cs="Arial"/>
          <w:bCs/>
          <w:color w:val="FF0000"/>
          <w:sz w:val="24"/>
          <w:szCs w:val="24"/>
          <w:lang w:val="sv-SE"/>
        </w:rPr>
      </w:pPr>
    </w:p>
    <w:p w:rsidR="009F7D28" w:rsidRPr="00AE7CCF" w:rsidRDefault="009F7D28" w:rsidP="00AE7CCF">
      <w:pPr>
        <w:spacing w:after="120" w:line="480" w:lineRule="auto"/>
        <w:rPr>
          <w:rFonts w:ascii="Arial" w:hAnsi="Arial" w:cs="Arial"/>
          <w:bCs/>
          <w:color w:val="FF0000"/>
          <w:sz w:val="24"/>
          <w:szCs w:val="24"/>
          <w:lang w:val="sv-SE"/>
        </w:rPr>
      </w:pPr>
    </w:p>
    <w:p w:rsidR="00A26228" w:rsidRPr="00AE7CCF" w:rsidRDefault="00A26228" w:rsidP="00AE7CCF">
      <w:pPr>
        <w:spacing w:after="120" w:line="480" w:lineRule="auto"/>
        <w:rPr>
          <w:rFonts w:ascii="Arial" w:hAnsi="Arial" w:cs="Arial"/>
          <w:bCs/>
          <w:color w:val="FF0000"/>
          <w:sz w:val="24"/>
          <w:szCs w:val="24"/>
          <w:lang w:val="sv-SE"/>
        </w:rPr>
      </w:pPr>
    </w:p>
    <w:p w:rsidR="00451AE2" w:rsidRPr="00F466FB" w:rsidRDefault="00451AE2" w:rsidP="00F466FB">
      <w:pPr>
        <w:spacing w:after="12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References</w:t>
      </w:r>
    </w:p>
    <w:p w:rsidR="00451AE2" w:rsidRPr="00F466FB" w:rsidRDefault="005A3809" w:rsidP="00F466FB">
      <w:pPr>
        <w:spacing w:before="240" w:after="12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1 </w:t>
      </w:r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>Plug I, Mauser-</w:t>
      </w:r>
      <w:proofErr w:type="spellStart"/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>Bunschoten</w:t>
      </w:r>
      <w:proofErr w:type="spellEnd"/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EP, </w:t>
      </w:r>
      <w:proofErr w:type="spellStart"/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>Bröcker-Vriendes</w:t>
      </w:r>
      <w:proofErr w:type="spellEnd"/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A, </w:t>
      </w:r>
      <w:proofErr w:type="spellStart"/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>Ploos</w:t>
      </w:r>
      <w:proofErr w:type="spellEnd"/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van Amstel AHJ et al. </w:t>
      </w:r>
      <w:proofErr w:type="gramStart"/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>Bleeding</w:t>
      </w:r>
      <w:proofErr w:type="gramEnd"/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in carriers of </w:t>
      </w:r>
      <w:proofErr w:type="spellStart"/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>hemophilia</w:t>
      </w:r>
      <w:proofErr w:type="spellEnd"/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>. Blood 2006; 108: 52–</w:t>
      </w:r>
      <w:r w:rsidR="009F7D28" w:rsidRPr="00F466FB">
        <w:rPr>
          <w:rFonts w:ascii="Arial" w:hAnsi="Arial" w:cs="Arial"/>
          <w:bCs/>
          <w:color w:val="000000" w:themeColor="text1"/>
          <w:sz w:val="24"/>
          <w:szCs w:val="24"/>
        </w:rPr>
        <w:t>5</w:t>
      </w:r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>6.</w:t>
      </w:r>
    </w:p>
    <w:p w:rsidR="00451AE2" w:rsidRPr="00F466FB" w:rsidRDefault="000D27F7" w:rsidP="00F466FB">
      <w:pPr>
        <w:spacing w:before="240" w:after="12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2 </w:t>
      </w:r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Dunn NF, Miller R, </w:t>
      </w:r>
      <w:proofErr w:type="spellStart"/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>Griffioen</w:t>
      </w:r>
      <w:proofErr w:type="spellEnd"/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A, Lee CA. </w:t>
      </w:r>
      <w:r w:rsidR="00F466FB" w:rsidRPr="00F466FB">
        <w:rPr>
          <w:rFonts w:ascii="Arial" w:hAnsi="Arial" w:cs="Arial"/>
          <w:bCs/>
          <w:color w:val="000000" w:themeColor="text1"/>
          <w:sz w:val="24"/>
          <w:szCs w:val="24"/>
        </w:rPr>
        <w:t>Carrier testing</w:t>
      </w:r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in haemophilia A and B: adult carriers’ and their partners’ experiences and their views on the testing the testing of young females. Haemophilia 2008; 14: 584-</w:t>
      </w:r>
      <w:r w:rsidR="009F7D28" w:rsidRPr="00F466FB">
        <w:rPr>
          <w:rFonts w:ascii="Arial" w:hAnsi="Arial" w:cs="Arial"/>
          <w:bCs/>
          <w:color w:val="000000" w:themeColor="text1"/>
          <w:sz w:val="24"/>
          <w:szCs w:val="24"/>
        </w:rPr>
        <w:t>5</w:t>
      </w:r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>92</w:t>
      </w:r>
    </w:p>
    <w:p w:rsidR="000D27F7" w:rsidRPr="00F466FB" w:rsidRDefault="000D27F7" w:rsidP="00F466FB">
      <w:pPr>
        <w:spacing w:before="240" w:after="12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3 </w:t>
      </w:r>
      <w:proofErr w:type="spellStart"/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>Myrin-Westesson</w:t>
      </w:r>
      <w:proofErr w:type="spellEnd"/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L, Baghaei F, </w:t>
      </w:r>
      <w:proofErr w:type="spellStart"/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>Friberg</w:t>
      </w:r>
      <w:proofErr w:type="spellEnd"/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F. The experience of being a female carrier of haemophilia and the mother of a haemophilic child. Haemophilia 2013;</w:t>
      </w:r>
      <w:r w:rsidR="009F7D28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>19: 219-</w:t>
      </w:r>
      <w:r w:rsidR="009F7D28" w:rsidRPr="00F466FB">
        <w:rPr>
          <w:rFonts w:ascii="Arial" w:hAnsi="Arial" w:cs="Arial"/>
          <w:bCs/>
          <w:color w:val="000000" w:themeColor="text1"/>
          <w:sz w:val="24"/>
          <w:szCs w:val="24"/>
        </w:rPr>
        <w:t>2</w:t>
      </w:r>
      <w:r w:rsidR="00451AE2" w:rsidRPr="00F466FB">
        <w:rPr>
          <w:rFonts w:ascii="Arial" w:hAnsi="Arial" w:cs="Arial"/>
          <w:bCs/>
          <w:color w:val="000000" w:themeColor="text1"/>
          <w:sz w:val="24"/>
          <w:szCs w:val="24"/>
        </w:rPr>
        <w:t>24.</w:t>
      </w:r>
    </w:p>
    <w:p w:rsidR="000D27F7" w:rsidRPr="00F466FB" w:rsidRDefault="000D27F7" w:rsidP="00F466FB">
      <w:pPr>
        <w:spacing w:before="240" w:after="12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4 </w:t>
      </w:r>
      <w:proofErr w:type="spellStart"/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Mujezinovic</w:t>
      </w:r>
      <w:proofErr w:type="spellEnd"/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F, </w:t>
      </w:r>
      <w:proofErr w:type="spellStart"/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Alfirevic</w:t>
      </w:r>
      <w:proofErr w:type="spellEnd"/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Z. Procedure-related complications of amniocentesis and chorionic villous sampling: a systematic review. </w:t>
      </w:r>
      <w:proofErr w:type="spellStart"/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Obstet</w:t>
      </w:r>
      <w:proofErr w:type="spellEnd"/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Gynecol</w:t>
      </w:r>
      <w:proofErr w:type="spellEnd"/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2007; 110: 687-</w:t>
      </w:r>
      <w:r w:rsidR="009F7D28" w:rsidRPr="00F466FB">
        <w:rPr>
          <w:rFonts w:ascii="Arial" w:hAnsi="Arial" w:cs="Arial"/>
          <w:bCs/>
          <w:color w:val="000000" w:themeColor="text1"/>
          <w:sz w:val="24"/>
          <w:szCs w:val="24"/>
        </w:rPr>
        <w:t>6</w:t>
      </w: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94.</w:t>
      </w:r>
    </w:p>
    <w:p w:rsidR="00906AC5" w:rsidRPr="00F466FB" w:rsidRDefault="00906AC5" w:rsidP="00F466FB">
      <w:pPr>
        <w:spacing w:before="240" w:after="12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5 </w:t>
      </w:r>
      <w:proofErr w:type="spellStart"/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Elejalde</w:t>
      </w:r>
      <w:proofErr w:type="spellEnd"/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BR, de </w:t>
      </w:r>
      <w:proofErr w:type="spellStart"/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Elejalde</w:t>
      </w:r>
      <w:proofErr w:type="spellEnd"/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MM, </w:t>
      </w:r>
      <w:proofErr w:type="spellStart"/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Heitman</w:t>
      </w:r>
      <w:proofErr w:type="spellEnd"/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T. Visualization of the </w:t>
      </w:r>
      <w:proofErr w:type="spellStart"/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fetal</w:t>
      </w:r>
      <w:proofErr w:type="spellEnd"/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genitalia by ultrasonography: a review of the literature and analysis of its accuracy and ethical implications. J Ultrasound Med 1985; 4: 633-639. </w:t>
      </w:r>
    </w:p>
    <w:p w:rsidR="000D27F7" w:rsidRPr="00F466FB" w:rsidRDefault="00906AC5" w:rsidP="00F466FB">
      <w:pPr>
        <w:spacing w:before="240" w:after="12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6</w:t>
      </w:r>
      <w:r w:rsidR="000D27F7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Devaney SA, </w:t>
      </w:r>
      <w:proofErr w:type="spellStart"/>
      <w:r w:rsidR="000D27F7" w:rsidRPr="00F466FB">
        <w:rPr>
          <w:rFonts w:ascii="Arial" w:hAnsi="Arial" w:cs="Arial"/>
          <w:bCs/>
          <w:color w:val="000000" w:themeColor="text1"/>
          <w:sz w:val="24"/>
          <w:szCs w:val="24"/>
        </w:rPr>
        <w:t>Palomaki</w:t>
      </w:r>
      <w:proofErr w:type="spellEnd"/>
      <w:r w:rsidR="000D27F7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GE, Scott JA, Bianchi DW. </w:t>
      </w:r>
      <w:proofErr w:type="spellStart"/>
      <w:r w:rsidR="000D27F7" w:rsidRPr="00F466FB">
        <w:rPr>
          <w:rFonts w:ascii="Arial" w:hAnsi="Arial" w:cs="Arial"/>
          <w:bCs/>
          <w:color w:val="000000" w:themeColor="text1"/>
          <w:sz w:val="24"/>
          <w:szCs w:val="24"/>
        </w:rPr>
        <w:t>Noninvasive</w:t>
      </w:r>
      <w:proofErr w:type="spellEnd"/>
      <w:r w:rsidR="000D27F7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0D27F7" w:rsidRPr="00F466FB">
        <w:rPr>
          <w:rFonts w:ascii="Arial" w:hAnsi="Arial" w:cs="Arial"/>
          <w:bCs/>
          <w:color w:val="000000" w:themeColor="text1"/>
          <w:sz w:val="24"/>
          <w:szCs w:val="24"/>
        </w:rPr>
        <w:t>fetal</w:t>
      </w:r>
      <w:proofErr w:type="spellEnd"/>
      <w:r w:rsidR="000D27F7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sex determination using cell-free </w:t>
      </w:r>
      <w:proofErr w:type="spellStart"/>
      <w:r w:rsidR="000D27F7" w:rsidRPr="00F466FB">
        <w:rPr>
          <w:rFonts w:ascii="Arial" w:hAnsi="Arial" w:cs="Arial"/>
          <w:bCs/>
          <w:color w:val="000000" w:themeColor="text1"/>
          <w:sz w:val="24"/>
          <w:szCs w:val="24"/>
        </w:rPr>
        <w:t>fetal</w:t>
      </w:r>
      <w:proofErr w:type="spellEnd"/>
      <w:r w:rsidR="000D27F7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DNA: a systematic review and meta-analysis. JAMA 2011; 306: 627-636.</w:t>
      </w:r>
    </w:p>
    <w:p w:rsidR="006A49CA" w:rsidRPr="00F466FB" w:rsidRDefault="00906AC5" w:rsidP="00F466FB">
      <w:pPr>
        <w:spacing w:before="240" w:after="12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7</w:t>
      </w:r>
      <w:r w:rsidR="006A49CA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6A49CA" w:rsidRPr="00F466FB">
        <w:rPr>
          <w:rFonts w:ascii="Arial" w:hAnsi="Arial" w:cs="Arial"/>
          <w:bCs/>
          <w:color w:val="000000" w:themeColor="text1"/>
          <w:sz w:val="24"/>
          <w:szCs w:val="24"/>
        </w:rPr>
        <w:t>Lavery</w:t>
      </w:r>
      <w:proofErr w:type="spellEnd"/>
      <w:r w:rsidR="006A49CA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S. preimplantation genetic diagnosis of </w:t>
      </w:r>
      <w:proofErr w:type="spellStart"/>
      <w:r w:rsidR="006A49CA" w:rsidRPr="00F466FB">
        <w:rPr>
          <w:rFonts w:ascii="Arial" w:hAnsi="Arial" w:cs="Arial"/>
          <w:bCs/>
          <w:color w:val="000000" w:themeColor="text1"/>
          <w:sz w:val="24"/>
          <w:szCs w:val="24"/>
        </w:rPr>
        <w:t>hemophilia</w:t>
      </w:r>
      <w:proofErr w:type="spellEnd"/>
      <w:r w:rsidR="006A49CA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. Br J </w:t>
      </w:r>
      <w:proofErr w:type="spellStart"/>
      <w:r w:rsidR="006A49CA" w:rsidRPr="00F466FB">
        <w:rPr>
          <w:rFonts w:ascii="Arial" w:hAnsi="Arial" w:cs="Arial"/>
          <w:bCs/>
          <w:color w:val="000000" w:themeColor="text1"/>
          <w:sz w:val="24"/>
          <w:szCs w:val="24"/>
        </w:rPr>
        <w:t>Haematol</w:t>
      </w:r>
      <w:proofErr w:type="spellEnd"/>
      <w:r w:rsidR="006A49CA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2009; 144: 303-307.</w:t>
      </w:r>
    </w:p>
    <w:p w:rsidR="00A964C2" w:rsidRPr="00F466FB" w:rsidRDefault="00906AC5" w:rsidP="00F466FB">
      <w:pPr>
        <w:spacing w:before="240" w:after="12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8</w:t>
      </w:r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Lee CA, Chi C, </w:t>
      </w:r>
      <w:proofErr w:type="spellStart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Pavord</w:t>
      </w:r>
      <w:proofErr w:type="spellEnd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SR, Bolton-</w:t>
      </w:r>
      <w:proofErr w:type="spellStart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Maggs</w:t>
      </w:r>
      <w:proofErr w:type="spellEnd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PHB, Pollard D et al. The obstetric and </w:t>
      </w:r>
      <w:proofErr w:type="spellStart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gynecological</w:t>
      </w:r>
      <w:proofErr w:type="spellEnd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management of women with inherited bleeding disorders – review with guidelines produced by a taskforce of UK Haemophilia </w:t>
      </w:r>
      <w:r w:rsidR="00F466FB" w:rsidRPr="00F466FB">
        <w:rPr>
          <w:rFonts w:ascii="Arial" w:hAnsi="Arial" w:cs="Arial"/>
          <w:bCs/>
          <w:color w:val="000000" w:themeColor="text1"/>
          <w:sz w:val="24"/>
          <w:szCs w:val="24"/>
        </w:rPr>
        <w:t>Centre</w:t>
      </w:r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doctors’ organization.  Haemophilia 2006; 12: 301-336.</w:t>
      </w:r>
    </w:p>
    <w:p w:rsidR="00A964C2" w:rsidRPr="00F466FB" w:rsidRDefault="00906AC5" w:rsidP="00F466FB">
      <w:pPr>
        <w:spacing w:before="240" w:after="12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>9</w:t>
      </w:r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Chi C, Lee CA, </w:t>
      </w:r>
      <w:proofErr w:type="spellStart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Shiltagh</w:t>
      </w:r>
      <w:proofErr w:type="spellEnd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N, Khan A, Pollard D, </w:t>
      </w:r>
      <w:proofErr w:type="spellStart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Kadir</w:t>
      </w:r>
      <w:proofErr w:type="spellEnd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RA. Pregnancy in carriers of haemophilia. Haemophilia 2008; 14: 56-64.</w:t>
      </w:r>
    </w:p>
    <w:p w:rsidR="0083011B" w:rsidRPr="00F466FB" w:rsidRDefault="00AE7CCF" w:rsidP="00F466FB">
      <w:pPr>
        <w:spacing w:before="240" w:after="12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10</w:t>
      </w:r>
      <w:r w:rsidR="00B23704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B23704" w:rsidRPr="00F466FB">
        <w:rPr>
          <w:rFonts w:ascii="Arial" w:hAnsi="Arial" w:cs="Arial"/>
          <w:bCs/>
          <w:color w:val="000000" w:themeColor="text1"/>
          <w:sz w:val="24"/>
          <w:szCs w:val="24"/>
        </w:rPr>
        <w:t>Sentilhes</w:t>
      </w:r>
      <w:proofErr w:type="spellEnd"/>
      <w:r w:rsidR="00B23704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L, </w:t>
      </w:r>
      <w:proofErr w:type="spellStart"/>
      <w:r w:rsidR="00B23704" w:rsidRPr="00F466FB">
        <w:rPr>
          <w:rFonts w:ascii="Arial" w:hAnsi="Arial" w:cs="Arial"/>
          <w:bCs/>
          <w:color w:val="000000" w:themeColor="text1"/>
          <w:sz w:val="24"/>
          <w:szCs w:val="24"/>
        </w:rPr>
        <w:t>Lasocki</w:t>
      </w:r>
      <w:proofErr w:type="spellEnd"/>
      <w:r w:rsidR="00B23704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S, </w:t>
      </w:r>
      <w:proofErr w:type="spellStart"/>
      <w:r w:rsidR="00B23704" w:rsidRPr="00F466FB">
        <w:rPr>
          <w:rFonts w:ascii="Arial" w:hAnsi="Arial" w:cs="Arial"/>
          <w:bCs/>
          <w:color w:val="000000" w:themeColor="text1"/>
          <w:sz w:val="24"/>
          <w:szCs w:val="24"/>
        </w:rPr>
        <w:t>Ducloy-Bouthors</w:t>
      </w:r>
      <w:proofErr w:type="spellEnd"/>
      <w:r w:rsidR="00B23704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AS, </w:t>
      </w:r>
      <w:proofErr w:type="spellStart"/>
      <w:r w:rsidR="00B23704" w:rsidRPr="00F466FB">
        <w:rPr>
          <w:rFonts w:ascii="Arial" w:hAnsi="Arial" w:cs="Arial"/>
          <w:bCs/>
          <w:color w:val="000000" w:themeColor="text1"/>
          <w:sz w:val="24"/>
          <w:szCs w:val="24"/>
        </w:rPr>
        <w:t>Deruelle</w:t>
      </w:r>
      <w:proofErr w:type="spellEnd"/>
      <w:r w:rsidR="00B23704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P, Dreyfus M, </w:t>
      </w:r>
      <w:proofErr w:type="spellStart"/>
      <w:r w:rsidR="00B23704" w:rsidRPr="00F466FB">
        <w:rPr>
          <w:rFonts w:ascii="Arial" w:hAnsi="Arial" w:cs="Arial"/>
          <w:bCs/>
          <w:color w:val="000000" w:themeColor="text1"/>
          <w:sz w:val="24"/>
          <w:szCs w:val="24"/>
        </w:rPr>
        <w:t>Perrotin</w:t>
      </w:r>
      <w:proofErr w:type="spellEnd"/>
      <w:r w:rsidR="00B23704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F, et al. Tranexamic acid for the prevention and treatment of postpartum haemorrhage. Br J </w:t>
      </w:r>
      <w:proofErr w:type="spellStart"/>
      <w:r w:rsidR="00B23704" w:rsidRPr="00F466FB">
        <w:rPr>
          <w:rFonts w:ascii="Arial" w:hAnsi="Arial" w:cs="Arial"/>
          <w:bCs/>
          <w:color w:val="000000" w:themeColor="text1"/>
          <w:sz w:val="24"/>
          <w:szCs w:val="24"/>
        </w:rPr>
        <w:t>Anaesth</w:t>
      </w:r>
      <w:proofErr w:type="spellEnd"/>
      <w:r w:rsidR="00B23704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2015; 114: 576-587.</w:t>
      </w:r>
    </w:p>
    <w:p w:rsidR="00A964C2" w:rsidRPr="00F466FB" w:rsidRDefault="00AE7CCF" w:rsidP="00F466FB">
      <w:pPr>
        <w:spacing w:before="240" w:after="12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11</w:t>
      </w:r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Chi C, Lee CA, England A, </w:t>
      </w:r>
      <w:proofErr w:type="spellStart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Hingorani</w:t>
      </w:r>
      <w:proofErr w:type="spellEnd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J, </w:t>
      </w:r>
      <w:proofErr w:type="spellStart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Paintsil</w:t>
      </w:r>
      <w:proofErr w:type="spellEnd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J, </w:t>
      </w:r>
      <w:proofErr w:type="spellStart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Kadir</w:t>
      </w:r>
      <w:proofErr w:type="spellEnd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RA. Obstetric analgesia and </w:t>
      </w:r>
      <w:proofErr w:type="spellStart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anesthesia</w:t>
      </w:r>
      <w:proofErr w:type="spellEnd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in women with inherited bleeding disorders. </w:t>
      </w:r>
      <w:proofErr w:type="spellStart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Thromb</w:t>
      </w:r>
      <w:proofErr w:type="spellEnd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Haemost</w:t>
      </w:r>
      <w:proofErr w:type="spellEnd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. 2009; 101:1104-</w:t>
      </w:r>
      <w:r w:rsidR="006A49CA" w:rsidRPr="00F466FB">
        <w:rPr>
          <w:rFonts w:ascii="Arial" w:hAnsi="Arial" w:cs="Arial"/>
          <w:bCs/>
          <w:color w:val="000000" w:themeColor="text1"/>
          <w:sz w:val="24"/>
          <w:szCs w:val="24"/>
        </w:rPr>
        <w:t>11</w:t>
      </w:r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11.</w:t>
      </w:r>
    </w:p>
    <w:p w:rsidR="00311CB4" w:rsidRPr="00F466FB" w:rsidRDefault="00AE7CCF" w:rsidP="00F466FB">
      <w:pPr>
        <w:spacing w:before="240" w:after="12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12</w:t>
      </w:r>
      <w:r w:rsidR="00311CB4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Choi S, </w:t>
      </w:r>
      <w:proofErr w:type="spellStart"/>
      <w:r w:rsidR="00311CB4" w:rsidRPr="00F466FB">
        <w:rPr>
          <w:rFonts w:ascii="Arial" w:hAnsi="Arial" w:cs="Arial"/>
          <w:bCs/>
          <w:color w:val="000000" w:themeColor="text1"/>
          <w:sz w:val="24"/>
          <w:szCs w:val="24"/>
        </w:rPr>
        <w:t>Brull</w:t>
      </w:r>
      <w:proofErr w:type="spellEnd"/>
      <w:r w:rsidR="00311CB4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R. </w:t>
      </w:r>
      <w:proofErr w:type="spellStart"/>
      <w:r w:rsidR="00311CB4" w:rsidRPr="00F466FB">
        <w:rPr>
          <w:rFonts w:ascii="Arial" w:hAnsi="Arial" w:cs="Arial"/>
          <w:bCs/>
          <w:color w:val="000000" w:themeColor="text1"/>
          <w:sz w:val="24"/>
          <w:szCs w:val="24"/>
        </w:rPr>
        <w:t>Neuraxial</w:t>
      </w:r>
      <w:proofErr w:type="spellEnd"/>
      <w:r w:rsidR="00311CB4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techniques in obstetric and non-obstetric patients with common bleeding diathesis. </w:t>
      </w:r>
      <w:proofErr w:type="spellStart"/>
      <w:r w:rsidR="00311CB4" w:rsidRPr="00F466FB">
        <w:rPr>
          <w:rFonts w:ascii="Arial" w:hAnsi="Arial" w:cs="Arial"/>
          <w:bCs/>
          <w:color w:val="000000" w:themeColor="text1"/>
          <w:sz w:val="24"/>
          <w:szCs w:val="24"/>
        </w:rPr>
        <w:t>Anesth</w:t>
      </w:r>
      <w:proofErr w:type="spellEnd"/>
      <w:r w:rsidR="00311CB4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311CB4" w:rsidRPr="00F466FB">
        <w:rPr>
          <w:rFonts w:ascii="Arial" w:hAnsi="Arial" w:cs="Arial"/>
          <w:bCs/>
          <w:color w:val="000000" w:themeColor="text1"/>
          <w:sz w:val="24"/>
          <w:szCs w:val="24"/>
        </w:rPr>
        <w:t>Analag</w:t>
      </w:r>
      <w:proofErr w:type="spellEnd"/>
      <w:r w:rsidR="00311CB4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2009; 109:648-660.</w:t>
      </w:r>
    </w:p>
    <w:p w:rsidR="00A964C2" w:rsidRPr="00F466FB" w:rsidRDefault="00AE7CCF" w:rsidP="00F466FB">
      <w:pPr>
        <w:spacing w:before="240" w:after="12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13</w:t>
      </w:r>
      <w:r w:rsidR="006A49CA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Davies</w:t>
      </w:r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J, </w:t>
      </w:r>
      <w:proofErr w:type="spellStart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Kadir</w:t>
      </w:r>
      <w:proofErr w:type="spellEnd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RA. Mode of delivery and cranial bleeding in newborns with haemophilia: a systemic review and meta-analysis of the literature. Haemophilia 2016; 22: 32-</w:t>
      </w:r>
      <w:r w:rsidR="006A49CA" w:rsidRPr="00F466FB">
        <w:rPr>
          <w:rFonts w:ascii="Arial" w:hAnsi="Arial" w:cs="Arial"/>
          <w:bCs/>
          <w:color w:val="000000" w:themeColor="text1"/>
          <w:sz w:val="24"/>
          <w:szCs w:val="24"/>
        </w:rPr>
        <w:t>3</w:t>
      </w:r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8.</w:t>
      </w:r>
    </w:p>
    <w:p w:rsidR="00A964C2" w:rsidRPr="00F466FB" w:rsidRDefault="00AE7CCF" w:rsidP="00F466FB">
      <w:pPr>
        <w:spacing w:before="240" w:after="12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14 </w:t>
      </w:r>
      <w:proofErr w:type="spellStart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Ljung</w:t>
      </w:r>
      <w:proofErr w:type="spellEnd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R. The optimal mode of delivery for the haemophilia carrier expecting an affected infant is vaginal delivery Haemophilia 2010; 16: 420-</w:t>
      </w:r>
      <w:r w:rsidR="006A49CA" w:rsidRPr="00F466FB">
        <w:rPr>
          <w:rFonts w:ascii="Arial" w:hAnsi="Arial" w:cs="Arial"/>
          <w:bCs/>
          <w:color w:val="000000" w:themeColor="text1"/>
          <w:sz w:val="24"/>
          <w:szCs w:val="24"/>
        </w:rPr>
        <w:t>424</w:t>
      </w:r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:rsidR="00A964C2" w:rsidRPr="00F466FB" w:rsidRDefault="00AE7CCF" w:rsidP="00F466FB">
      <w:pPr>
        <w:spacing w:before="240" w:after="12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15</w:t>
      </w:r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James AH, Hoots K. The optimal mode of delivery for the haemophilia carrier expecting an affected infant is </w:t>
      </w:r>
      <w:proofErr w:type="spellStart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caesarian</w:t>
      </w:r>
      <w:proofErr w:type="spellEnd"/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delivery. Haemophilia 2010; 16: 420-</w:t>
      </w:r>
      <w:r w:rsidR="009F7D28" w:rsidRPr="00F466FB">
        <w:rPr>
          <w:rFonts w:ascii="Arial" w:hAnsi="Arial" w:cs="Arial"/>
          <w:bCs/>
          <w:color w:val="000000" w:themeColor="text1"/>
          <w:sz w:val="24"/>
          <w:szCs w:val="24"/>
        </w:rPr>
        <w:t>42</w:t>
      </w:r>
      <w:r w:rsidR="00A964C2" w:rsidRPr="00F466FB">
        <w:rPr>
          <w:rFonts w:ascii="Arial" w:hAnsi="Arial" w:cs="Arial"/>
          <w:bCs/>
          <w:color w:val="000000" w:themeColor="text1"/>
          <w:sz w:val="24"/>
          <w:szCs w:val="24"/>
        </w:rPr>
        <w:t>4.</w:t>
      </w:r>
    </w:p>
    <w:p w:rsidR="00464C7B" w:rsidRPr="00F466FB" w:rsidRDefault="00AE7CCF" w:rsidP="00F466FB">
      <w:pPr>
        <w:spacing w:before="240" w:after="12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466FB">
        <w:rPr>
          <w:rFonts w:ascii="Arial" w:hAnsi="Arial" w:cs="Arial"/>
          <w:bCs/>
          <w:color w:val="000000" w:themeColor="text1"/>
          <w:sz w:val="24"/>
          <w:szCs w:val="24"/>
        </w:rPr>
        <w:t>16</w:t>
      </w:r>
      <w:r w:rsidR="00464C7B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Chal</w:t>
      </w:r>
      <w:r w:rsidR="00B23704" w:rsidRPr="00F466FB">
        <w:rPr>
          <w:rFonts w:ascii="Arial" w:hAnsi="Arial" w:cs="Arial"/>
          <w:bCs/>
          <w:color w:val="000000" w:themeColor="text1"/>
          <w:sz w:val="24"/>
          <w:szCs w:val="24"/>
        </w:rPr>
        <w:t>me</w:t>
      </w:r>
      <w:r w:rsidR="00464C7B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rs E, Williams M, </w:t>
      </w:r>
      <w:proofErr w:type="spellStart"/>
      <w:r w:rsidR="00464C7B" w:rsidRPr="00F466FB">
        <w:rPr>
          <w:rFonts w:ascii="Arial" w:hAnsi="Arial" w:cs="Arial"/>
          <w:bCs/>
          <w:color w:val="000000" w:themeColor="text1"/>
          <w:sz w:val="24"/>
          <w:szCs w:val="24"/>
        </w:rPr>
        <w:t>Brennand</w:t>
      </w:r>
      <w:proofErr w:type="spellEnd"/>
      <w:r w:rsidR="00464C7B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J, </w:t>
      </w:r>
      <w:proofErr w:type="spellStart"/>
      <w:r w:rsidR="00464C7B" w:rsidRPr="00F466FB">
        <w:rPr>
          <w:rFonts w:ascii="Arial" w:hAnsi="Arial" w:cs="Arial"/>
          <w:bCs/>
          <w:color w:val="000000" w:themeColor="text1"/>
          <w:sz w:val="24"/>
          <w:szCs w:val="24"/>
        </w:rPr>
        <w:t>Leisner</w:t>
      </w:r>
      <w:proofErr w:type="spellEnd"/>
      <w:r w:rsidR="00464C7B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R, Collins P, Richards M; Paediatric Working party  of United Kingdom Haemophilia Doctors’ Organization. Guidelines on the management of haemophilia in </w:t>
      </w:r>
      <w:proofErr w:type="spellStart"/>
      <w:r w:rsidR="00464C7B" w:rsidRPr="00F466FB">
        <w:rPr>
          <w:rFonts w:ascii="Arial" w:hAnsi="Arial" w:cs="Arial"/>
          <w:bCs/>
          <w:color w:val="000000" w:themeColor="text1"/>
          <w:sz w:val="24"/>
          <w:szCs w:val="24"/>
        </w:rPr>
        <w:t>fetus</w:t>
      </w:r>
      <w:proofErr w:type="spellEnd"/>
      <w:r w:rsidR="00464C7B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and neonate. B J </w:t>
      </w:r>
      <w:proofErr w:type="spellStart"/>
      <w:r w:rsidR="00464C7B" w:rsidRPr="00F466FB">
        <w:rPr>
          <w:rFonts w:ascii="Arial" w:hAnsi="Arial" w:cs="Arial"/>
          <w:bCs/>
          <w:color w:val="000000" w:themeColor="text1"/>
          <w:sz w:val="24"/>
          <w:szCs w:val="24"/>
        </w:rPr>
        <w:t>Haematol</w:t>
      </w:r>
      <w:proofErr w:type="spellEnd"/>
      <w:r w:rsidR="00464C7B" w:rsidRPr="00F466FB">
        <w:rPr>
          <w:rFonts w:ascii="Arial" w:hAnsi="Arial" w:cs="Arial"/>
          <w:bCs/>
          <w:color w:val="000000" w:themeColor="text1"/>
          <w:sz w:val="24"/>
          <w:szCs w:val="24"/>
        </w:rPr>
        <w:t xml:space="preserve"> 2011; 154: 208-215.</w:t>
      </w:r>
    </w:p>
    <w:p w:rsidR="00451AE2" w:rsidRPr="00F466FB" w:rsidRDefault="00451AE2" w:rsidP="00F466FB">
      <w:pPr>
        <w:spacing w:line="360" w:lineRule="auto"/>
        <w:rPr>
          <w:rFonts w:ascii="Arial" w:hAnsi="Arial" w:cs="Arial"/>
          <w:b/>
          <w:color w:val="000000" w:themeColor="text1"/>
          <w:sz w:val="32"/>
        </w:rPr>
      </w:pPr>
    </w:p>
    <w:p w:rsidR="00CE4FEF" w:rsidRPr="00F466FB" w:rsidRDefault="00CE4FEF" w:rsidP="00F466FB">
      <w:pPr>
        <w:spacing w:line="360" w:lineRule="auto"/>
        <w:rPr>
          <w:color w:val="000000" w:themeColor="text1"/>
        </w:rPr>
      </w:pPr>
    </w:p>
    <w:sectPr w:rsidR="00CE4FEF" w:rsidRPr="00F466FB" w:rsidSect="00CE4F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</w:compat>
  <w:rsids>
    <w:rsidRoot w:val="00451AE2"/>
    <w:rsid w:val="00013B97"/>
    <w:rsid w:val="000D27F7"/>
    <w:rsid w:val="001150D9"/>
    <w:rsid w:val="0017762D"/>
    <w:rsid w:val="00220068"/>
    <w:rsid w:val="0029720E"/>
    <w:rsid w:val="002E6BBA"/>
    <w:rsid w:val="00311CB4"/>
    <w:rsid w:val="003A4AC9"/>
    <w:rsid w:val="00402C94"/>
    <w:rsid w:val="00451AE2"/>
    <w:rsid w:val="00464C7B"/>
    <w:rsid w:val="004940B1"/>
    <w:rsid w:val="00571C8A"/>
    <w:rsid w:val="005A3809"/>
    <w:rsid w:val="00602B67"/>
    <w:rsid w:val="006A49CA"/>
    <w:rsid w:val="006A6D0E"/>
    <w:rsid w:val="006D50CE"/>
    <w:rsid w:val="00800D49"/>
    <w:rsid w:val="0083011B"/>
    <w:rsid w:val="00873D86"/>
    <w:rsid w:val="008B5EE1"/>
    <w:rsid w:val="00906AC5"/>
    <w:rsid w:val="00952E50"/>
    <w:rsid w:val="009B0091"/>
    <w:rsid w:val="009C3D70"/>
    <w:rsid w:val="009F7D28"/>
    <w:rsid w:val="00A26228"/>
    <w:rsid w:val="00A41AE9"/>
    <w:rsid w:val="00A964C2"/>
    <w:rsid w:val="00AB036D"/>
    <w:rsid w:val="00AE7CCF"/>
    <w:rsid w:val="00B23704"/>
    <w:rsid w:val="00C65D48"/>
    <w:rsid w:val="00CA7219"/>
    <w:rsid w:val="00CE4FEF"/>
    <w:rsid w:val="00D008B9"/>
    <w:rsid w:val="00D14390"/>
    <w:rsid w:val="00E97121"/>
    <w:rsid w:val="00EB78AC"/>
    <w:rsid w:val="00F20931"/>
    <w:rsid w:val="00F466FB"/>
    <w:rsid w:val="00F81F60"/>
    <w:rsid w:val="00F8200D"/>
    <w:rsid w:val="00FA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F981E4-368A-4CF8-8A21-D4BB0ACA8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1AE2"/>
    <w:rPr>
      <w:lang w:val="en-GB"/>
    </w:rPr>
  </w:style>
  <w:style w:type="paragraph" w:styleId="Rubrik1">
    <w:name w:val="heading 1"/>
    <w:basedOn w:val="Normal"/>
    <w:next w:val="Normal"/>
    <w:link w:val="Rubrik1Char"/>
    <w:uiPriority w:val="9"/>
    <w:qFormat/>
    <w:rsid w:val="00451A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51A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VP1">
    <w:name w:val="VP_1"/>
    <w:basedOn w:val="Rubrik1"/>
    <w:link w:val="VP1Char"/>
    <w:qFormat/>
    <w:rsid w:val="00451AE2"/>
    <w:pPr>
      <w:spacing w:after="120"/>
    </w:pPr>
    <w:rPr>
      <w:rFonts w:ascii="Arial" w:hAnsi="Arial" w:cs="Arial"/>
      <w:color w:val="1F497D" w:themeColor="text2"/>
      <w:sz w:val="48"/>
      <w:szCs w:val="48"/>
    </w:rPr>
  </w:style>
  <w:style w:type="character" w:customStyle="1" w:styleId="VP1Char">
    <w:name w:val="VP_1 Char"/>
    <w:basedOn w:val="Rubrik1Char"/>
    <w:link w:val="VP1"/>
    <w:rsid w:val="00451AE2"/>
    <w:rPr>
      <w:rFonts w:ascii="Arial" w:eastAsiaTheme="majorEastAsia" w:hAnsi="Arial" w:cs="Arial"/>
      <w:b/>
      <w:bCs/>
      <w:color w:val="1F497D" w:themeColor="text2"/>
      <w:sz w:val="48"/>
      <w:szCs w:val="48"/>
    </w:rPr>
  </w:style>
  <w:style w:type="paragraph" w:customStyle="1" w:styleId="VP2">
    <w:name w:val="VP_2"/>
    <w:basedOn w:val="Rubrik2"/>
    <w:link w:val="VP2Char"/>
    <w:qFormat/>
    <w:rsid w:val="00451AE2"/>
    <w:rPr>
      <w:rFonts w:ascii="Arial" w:hAnsi="Arial" w:cs="Arial"/>
      <w:sz w:val="40"/>
      <w:szCs w:val="40"/>
    </w:rPr>
  </w:style>
  <w:style w:type="character" w:customStyle="1" w:styleId="VP2Char">
    <w:name w:val="VP_2 Char"/>
    <w:basedOn w:val="Rubrik2Char"/>
    <w:link w:val="VP2"/>
    <w:rsid w:val="00451AE2"/>
    <w:rPr>
      <w:rFonts w:ascii="Arial" w:eastAsiaTheme="majorEastAsia" w:hAnsi="Arial" w:cs="Arial"/>
      <w:b/>
      <w:bCs/>
      <w:color w:val="4F81BD" w:themeColor="accent1"/>
      <w:sz w:val="40"/>
      <w:szCs w:val="4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451AE2"/>
    <w:rPr>
      <w:sz w:val="18"/>
      <w:szCs w:val="18"/>
    </w:rPr>
  </w:style>
  <w:style w:type="paragraph" w:styleId="Kommentarer">
    <w:name w:val="annotation text"/>
    <w:basedOn w:val="Normal"/>
    <w:link w:val="KommentarerChar"/>
    <w:uiPriority w:val="99"/>
    <w:unhideWhenUsed/>
    <w:rsid w:val="00451AE2"/>
    <w:pPr>
      <w:spacing w:line="240" w:lineRule="auto"/>
    </w:pPr>
    <w:rPr>
      <w:sz w:val="24"/>
      <w:szCs w:val="24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451AE2"/>
    <w:rPr>
      <w:sz w:val="24"/>
      <w:szCs w:val="24"/>
    </w:rPr>
  </w:style>
  <w:style w:type="character" w:customStyle="1" w:styleId="Rubrik1Char">
    <w:name w:val="Rubrik 1 Char"/>
    <w:basedOn w:val="Standardstycketeckensnitt"/>
    <w:link w:val="Rubrik1"/>
    <w:uiPriority w:val="9"/>
    <w:rsid w:val="00451A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51A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451A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451AE2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451AE2"/>
    <w:rPr>
      <w:b/>
      <w:bCs/>
      <w:sz w:val="20"/>
      <w:szCs w:val="20"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451A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C3144-882F-4177-9B45-38835E15F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695355A7</Template>
  <TotalTime>10</TotalTime>
  <Pages>5</Pages>
  <Words>1275</Words>
  <Characters>6761</Characters>
  <Application>Microsoft Office Word</Application>
  <DocSecurity>0</DocSecurity>
  <Lines>56</Lines>
  <Paragraphs>16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VGR</Company>
  <LinksUpToDate>false</LinksUpToDate>
  <CharactersWithSpaces>8020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farba3</dc:creator>
  <cp:lastModifiedBy>Fariba Baghaei Borzabadi</cp:lastModifiedBy>
  <cp:revision>3</cp:revision>
  <cp:lastPrinted>2019-09-11T13:06:00Z</cp:lastPrinted>
  <dcterms:created xsi:type="dcterms:W3CDTF">2019-09-12T14:44:00Z</dcterms:created>
  <dcterms:modified xsi:type="dcterms:W3CDTF">2019-09-30T08:26:00Z</dcterms:modified>
</cp:coreProperties>
</file>