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pPr>
      <w:r>
        <w:rPr>
          <w:rFonts w:ascii="Times New Roman" w:hAnsi="Times New Roman" w:eastAsia="黑体"/>
          <w:b/>
          <w:sz w:val="24"/>
        </w:rPr>
        <w:t>补充材料 1  STROBE-MR 检查表（Strengthening the Reporting of Observational Studies in Epidemiology Using Mendelian Randomization）</w:t>
      </w:r>
    </w:p>
    <w:p>
      <w:pPr>
        <w:spacing w:after="80"/>
      </w:pPr>
      <w:r>
        <w:rPr>
          <w:rFonts w:ascii="Times New Roman" w:hAnsi="Times New Roman" w:eastAsia="宋体"/>
          <w:b w:val="0"/>
          <w:sz w:val="19"/>
        </w:rPr>
        <w:t>稿件：遗传预测的血清促甲状腺激素水平与甲状腺癌风险的孟德尔随机化重复验证与扩展研究：附候选基因评分与肿瘤微环境的探索性评估（王沛，新疆医科大学第一附属医院）。</w:t>
      </w:r>
    </w:p>
    <w:tbl>
      <w:tblPr>
        <w:tblStyle w:val="TableGrid"/>
        <w:tblW w:type="auto" w:w="0"/>
        <w:tblLook w:firstColumn="1" w:firstRow="1" w:lastColumn="0" w:lastRow="0" w:noHBand="0" w:noVBand="1" w:val="04A0"/>
      </w:tblPr>
      <w:tblGrid>
        <w:gridCol w:w="2769"/>
        <w:gridCol w:w="2769"/>
        <w:gridCol w:w="2769"/>
      </w:tblGrid>
      <w:tr>
        <w:tc>
          <w:tcPr>
            <w:tcW w:type="dxa" w:w="1701"/>
          </w:tcPr>
          <w:p>
            <w:pPr>
              <w:spacing w:after="40"/>
            </w:pPr>
            <w:r/>
            <w:r>
              <w:rPr>
                <w:rFonts w:ascii="Times New Roman" w:hAnsi="Times New Roman" w:eastAsia="宋体"/>
                <w:b w:val="0"/>
                <w:sz w:val="18"/>
              </w:rPr>
              <w:t>条目</w:t>
            </w:r>
          </w:p>
        </w:tc>
        <w:tc>
          <w:tcPr>
            <w:tcW w:type="dxa" w:w="4649"/>
          </w:tcPr>
          <w:p>
            <w:pPr>
              <w:spacing w:after="40"/>
            </w:pPr>
            <w:r/>
            <w:r>
              <w:rPr>
                <w:rFonts w:ascii="Times New Roman" w:hAnsi="Times New Roman" w:eastAsia="宋体"/>
                <w:b w:val="0"/>
                <w:sz w:val="18"/>
              </w:rPr>
              <w:t>检查项</w:t>
            </w:r>
          </w:p>
        </w:tc>
        <w:tc>
          <w:tcPr>
            <w:tcW w:type="dxa" w:w="1984"/>
          </w:tcPr>
          <w:p>
            <w:pPr>
              <w:spacing w:after="40"/>
            </w:pPr>
            <w:r/>
            <w:r>
              <w:rPr>
                <w:rFonts w:ascii="Times New Roman" w:hAnsi="Times New Roman" w:eastAsia="宋体"/>
                <w:b w:val="0"/>
                <w:sz w:val="18"/>
              </w:rPr>
              <w:t>本文情况</w:t>
            </w:r>
          </w:p>
        </w:tc>
      </w:tr>
      <w:tr>
        <w:tc>
          <w:tcPr>
            <w:tcW w:type="dxa" w:w="1701"/>
          </w:tcPr>
          <w:p>
            <w:pPr>
              <w:spacing w:after="40"/>
            </w:pPr>
            <w:r/>
            <w:r>
              <w:rPr>
                <w:rFonts w:ascii="Times New Roman" w:hAnsi="Times New Roman" w:eastAsia="宋体"/>
                <w:b w:val="0"/>
                <w:sz w:val="18"/>
              </w:rPr>
              <w:t>标题 1</w:t>
            </w:r>
          </w:p>
        </w:tc>
        <w:tc>
          <w:tcPr>
            <w:tcW w:type="dxa" w:w="4649"/>
          </w:tcPr>
          <w:p>
            <w:pPr>
              <w:spacing w:after="40"/>
            </w:pPr>
            <w:r/>
            <w:r>
              <w:rPr>
                <w:rFonts w:ascii="Times New Roman" w:hAnsi="Times New Roman" w:eastAsia="宋体"/>
                <w:b w:val="0"/>
                <w:sz w:val="18"/>
              </w:rPr>
              <w:t>标题应明确说明使用了 MR 设计</w:t>
            </w:r>
          </w:p>
        </w:tc>
        <w:tc>
          <w:tcPr>
            <w:tcW w:type="dxa" w:w="1984"/>
          </w:tcPr>
          <w:p>
            <w:pPr>
              <w:spacing w:after="40"/>
            </w:pPr>
            <w:r/>
            <w:r>
              <w:rPr>
                <w:rFonts w:ascii="Times New Roman" w:hAnsi="Times New Roman" w:eastAsia="宋体"/>
                <w:b w:val="0"/>
                <w:sz w:val="18"/>
              </w:rPr>
              <w:t>已报告：标题含“孟德尔随机化”</w:t>
            </w:r>
          </w:p>
        </w:tc>
      </w:tr>
      <w:tr>
        <w:tc>
          <w:tcPr>
            <w:tcW w:type="dxa" w:w="1701"/>
          </w:tcPr>
          <w:p>
            <w:pPr>
              <w:spacing w:after="40"/>
            </w:pPr>
            <w:r/>
            <w:r>
              <w:rPr>
                <w:rFonts w:ascii="Times New Roman" w:hAnsi="Times New Roman" w:eastAsia="宋体"/>
                <w:b w:val="0"/>
                <w:sz w:val="18"/>
              </w:rPr>
              <w:t>摘要 2</w:t>
            </w:r>
          </w:p>
        </w:tc>
        <w:tc>
          <w:tcPr>
            <w:tcW w:type="dxa" w:w="4649"/>
          </w:tcPr>
          <w:p>
            <w:pPr>
              <w:spacing w:after="40"/>
            </w:pPr>
            <w:r/>
            <w:r>
              <w:rPr>
                <w:rFonts w:ascii="Times New Roman" w:hAnsi="Times New Roman" w:eastAsia="宋体"/>
                <w:b w:val="0"/>
                <w:sz w:val="18"/>
              </w:rPr>
              <w:t>结构化摘要：背景、方法、结果、结论</w:t>
            </w:r>
          </w:p>
        </w:tc>
        <w:tc>
          <w:tcPr>
            <w:tcW w:type="dxa" w:w="1984"/>
          </w:tcPr>
          <w:p>
            <w:pPr>
              <w:spacing w:after="40"/>
            </w:pPr>
            <w:r/>
            <w:r>
              <w:rPr>
                <w:rFonts w:ascii="Times New Roman" w:hAnsi="Times New Roman" w:eastAsia="宋体"/>
                <w:b w:val="0"/>
                <w:sz w:val="18"/>
              </w:rPr>
              <w:t>已报告：结构式摘要含背景/方法/结果/结论</w:t>
            </w:r>
          </w:p>
        </w:tc>
      </w:tr>
      <w:tr>
        <w:tc>
          <w:tcPr>
            <w:tcW w:type="dxa" w:w="1701"/>
          </w:tcPr>
          <w:p>
            <w:pPr>
              <w:spacing w:after="40"/>
            </w:pPr>
            <w:r/>
            <w:r>
              <w:rPr>
                <w:rFonts w:ascii="Times New Roman" w:hAnsi="Times New Roman" w:eastAsia="宋体"/>
                <w:b w:val="0"/>
                <w:sz w:val="18"/>
              </w:rPr>
              <w:t>引言-背景 3</w:t>
            </w:r>
          </w:p>
        </w:tc>
        <w:tc>
          <w:tcPr>
            <w:tcW w:type="dxa" w:w="4649"/>
          </w:tcPr>
          <w:p>
            <w:pPr>
              <w:spacing w:after="40"/>
            </w:pPr>
            <w:r/>
            <w:r>
              <w:rPr>
                <w:rFonts w:ascii="Times New Roman" w:hAnsi="Times New Roman" w:eastAsia="宋体"/>
                <w:b w:val="0"/>
                <w:sz w:val="18"/>
              </w:rPr>
              <w:t>解释科学背景与依据</w:t>
            </w:r>
          </w:p>
        </w:tc>
        <w:tc>
          <w:tcPr>
            <w:tcW w:type="dxa" w:w="1984"/>
          </w:tcPr>
          <w:p>
            <w:pPr>
              <w:spacing w:after="40"/>
            </w:pPr>
            <w:r/>
            <w:r>
              <w:rPr>
                <w:rFonts w:ascii="Times New Roman" w:hAnsi="Times New Roman" w:eastAsia="宋体"/>
                <w:b w:val="0"/>
                <w:sz w:val="18"/>
              </w:rPr>
              <w:t>已报告：1 引言 TSH 与甲状腺癌争议、既往 MR 相反报告</w:t>
            </w:r>
          </w:p>
        </w:tc>
      </w:tr>
      <w:tr>
        <w:tc>
          <w:tcPr>
            <w:tcW w:type="dxa" w:w="1701"/>
          </w:tcPr>
          <w:p>
            <w:pPr>
              <w:spacing w:after="40"/>
            </w:pPr>
            <w:r/>
            <w:r>
              <w:rPr>
                <w:rFonts w:ascii="Times New Roman" w:hAnsi="Times New Roman" w:eastAsia="宋体"/>
                <w:b w:val="0"/>
                <w:sz w:val="18"/>
              </w:rPr>
              <w:t>引言-目标 4</w:t>
            </w:r>
          </w:p>
        </w:tc>
        <w:tc>
          <w:tcPr>
            <w:tcW w:type="dxa" w:w="4649"/>
          </w:tcPr>
          <w:p>
            <w:pPr>
              <w:spacing w:after="40"/>
            </w:pPr>
            <w:r/>
            <w:r>
              <w:rPr>
                <w:rFonts w:ascii="Times New Roman" w:hAnsi="Times New Roman" w:eastAsia="宋体"/>
                <w:b w:val="0"/>
                <w:sz w:val="18"/>
              </w:rPr>
              <w:t>明确研究目标（含先验假设）</w:t>
            </w:r>
          </w:p>
        </w:tc>
        <w:tc>
          <w:tcPr>
            <w:tcW w:type="dxa" w:w="1984"/>
          </w:tcPr>
          <w:p>
            <w:pPr>
              <w:spacing w:after="40"/>
            </w:pPr>
            <w:r/>
            <w:r>
              <w:rPr>
                <w:rFonts w:ascii="Times New Roman" w:hAnsi="Times New Roman" w:eastAsia="宋体"/>
                <w:b w:val="0"/>
                <w:sz w:val="18"/>
              </w:rPr>
              <w:t>已报告：探索 TSH-甲状腺癌因果关联及其转化证据</w:t>
            </w:r>
          </w:p>
        </w:tc>
      </w:tr>
      <w:tr>
        <w:tc>
          <w:tcPr>
            <w:tcW w:type="dxa" w:w="1701"/>
          </w:tcPr>
          <w:p>
            <w:pPr>
              <w:spacing w:after="40"/>
            </w:pPr>
            <w:r/>
            <w:r>
              <w:rPr>
                <w:rFonts w:ascii="Times New Roman" w:hAnsi="Times New Roman" w:eastAsia="宋体"/>
                <w:b w:val="0"/>
                <w:sz w:val="18"/>
              </w:rPr>
              <w:t>方法-研究设计 5</w:t>
            </w:r>
          </w:p>
        </w:tc>
        <w:tc>
          <w:tcPr>
            <w:tcW w:type="dxa" w:w="4649"/>
          </w:tcPr>
          <w:p>
            <w:pPr>
              <w:spacing w:after="40"/>
            </w:pPr>
            <w:r/>
            <w:r>
              <w:rPr>
                <w:rFonts w:ascii="Times New Roman" w:hAnsi="Times New Roman" w:eastAsia="宋体"/>
                <w:b w:val="0"/>
                <w:sz w:val="18"/>
              </w:rPr>
              <w:t>说明 MR 设计类型（单/两样本等）</w:t>
            </w:r>
          </w:p>
        </w:tc>
        <w:tc>
          <w:tcPr>
            <w:tcW w:type="dxa" w:w="1984"/>
          </w:tcPr>
          <w:p>
            <w:pPr>
              <w:spacing w:after="40"/>
            </w:pPr>
            <w:r/>
            <w:r>
              <w:rPr>
                <w:rFonts w:ascii="Times New Roman" w:hAnsi="Times New Roman" w:eastAsia="宋体"/>
                <w:b w:val="0"/>
                <w:sz w:val="18"/>
              </w:rPr>
              <w:t>已报告：2.2 两样本 MR；2.3 MVMR</w:t>
            </w:r>
          </w:p>
        </w:tc>
      </w:tr>
      <w:tr>
        <w:tc>
          <w:tcPr>
            <w:tcW w:type="dxa" w:w="1701"/>
          </w:tcPr>
          <w:p>
            <w:pPr>
              <w:spacing w:after="40"/>
            </w:pPr>
            <w:r/>
            <w:r>
              <w:rPr>
                <w:rFonts w:ascii="Times New Roman" w:hAnsi="Times New Roman" w:eastAsia="宋体"/>
                <w:b w:val="0"/>
                <w:sz w:val="18"/>
              </w:rPr>
              <w:t>方法-数据来源 6</w:t>
            </w:r>
          </w:p>
        </w:tc>
        <w:tc>
          <w:tcPr>
            <w:tcW w:type="dxa" w:w="4649"/>
          </w:tcPr>
          <w:p>
            <w:pPr>
              <w:spacing w:after="40"/>
            </w:pPr>
            <w:r/>
            <w:r>
              <w:rPr>
                <w:rFonts w:ascii="Times New Roman" w:hAnsi="Times New Roman" w:eastAsia="宋体"/>
                <w:b w:val="0"/>
                <w:sz w:val="18"/>
              </w:rPr>
              <w:t>各暴露/结局/协变量 GWAS 的来源、人群、样本量、协变量校正</w:t>
            </w:r>
          </w:p>
        </w:tc>
        <w:tc>
          <w:tcPr>
            <w:tcW w:type="dxa" w:w="1984"/>
          </w:tcPr>
          <w:p>
            <w:pPr>
              <w:spacing w:after="40"/>
            </w:pPr>
            <w:r/>
            <w:r>
              <w:rPr>
                <w:rFonts w:ascii="Times New Roman" w:hAnsi="Times New Roman" w:eastAsia="宋体"/>
                <w:b w:val="0"/>
                <w:sz w:val="18"/>
              </w:rPr>
              <w:t>已报告：2.1 数据来源（含 ID、人群、样本量）</w:t>
            </w:r>
          </w:p>
        </w:tc>
      </w:tr>
      <w:tr>
        <w:tc>
          <w:tcPr>
            <w:tcW w:type="dxa" w:w="1701"/>
          </w:tcPr>
          <w:p>
            <w:pPr>
              <w:spacing w:after="40"/>
            </w:pPr>
            <w:r/>
            <w:r>
              <w:rPr>
                <w:rFonts w:ascii="Times New Roman" w:hAnsi="Times New Roman" w:eastAsia="宋体"/>
                <w:b w:val="0"/>
                <w:sz w:val="18"/>
              </w:rPr>
              <w:t>方法-遗传变异选择 7</w:t>
            </w:r>
          </w:p>
        </w:tc>
        <w:tc>
          <w:tcPr>
            <w:tcW w:type="dxa" w:w="4649"/>
          </w:tcPr>
          <w:p>
            <w:pPr>
              <w:spacing w:after="40"/>
            </w:pPr>
            <w:r/>
            <w:r>
              <w:rPr>
                <w:rFonts w:ascii="Times New Roman" w:hAnsi="Times New Roman" w:eastAsia="宋体"/>
                <w:b w:val="0"/>
                <w:sz w:val="18"/>
              </w:rPr>
              <w:t>工具 SNP 选择流程（显著性阈值、LD 筛选）、数量、工具强度</w:t>
            </w:r>
          </w:p>
        </w:tc>
        <w:tc>
          <w:tcPr>
            <w:tcW w:type="dxa" w:w="1984"/>
          </w:tcPr>
          <w:p>
            <w:pPr>
              <w:spacing w:after="40"/>
            </w:pPr>
            <w:r/>
            <w:r>
              <w:rPr>
                <w:rFonts w:ascii="Times New Roman" w:hAnsi="Times New Roman" w:eastAsia="宋体"/>
                <w:b w:val="0"/>
                <w:sz w:val="18"/>
              </w:rPr>
              <w:t>已报告：2.2（P&lt;5×10⁻⁸、r²&lt;0.001、10000 kb、F 统计量；99→70→69 SNP）</w:t>
            </w:r>
          </w:p>
        </w:tc>
      </w:tr>
      <w:tr>
        <w:tc>
          <w:tcPr>
            <w:tcW w:type="dxa" w:w="1701"/>
          </w:tcPr>
          <w:p>
            <w:pPr>
              <w:spacing w:after="40"/>
            </w:pPr>
            <w:r/>
            <w:r>
              <w:rPr>
                <w:rFonts w:ascii="Times New Roman" w:hAnsi="Times New Roman" w:eastAsia="宋体"/>
                <w:b w:val="0"/>
                <w:sz w:val="18"/>
              </w:rPr>
              <w:t>方法-假设 8</w:t>
            </w:r>
          </w:p>
        </w:tc>
        <w:tc>
          <w:tcPr>
            <w:tcW w:type="dxa" w:w="4649"/>
          </w:tcPr>
          <w:p>
            <w:pPr>
              <w:spacing w:after="40"/>
            </w:pPr>
            <w:r/>
            <w:r>
              <w:rPr>
                <w:rFonts w:ascii="Times New Roman" w:hAnsi="Times New Roman" w:eastAsia="宋体"/>
                <w:b w:val="0"/>
                <w:sz w:val="18"/>
              </w:rPr>
              <w:t>MR 三大假设的论证</w:t>
            </w:r>
          </w:p>
        </w:tc>
        <w:tc>
          <w:tcPr>
            <w:tcW w:type="dxa" w:w="1984"/>
          </w:tcPr>
          <w:p>
            <w:r>
              <w:t>已报告：以 F 统计量（相关性假设）与多效性/异质性检验（排他性假设，注意：排他性假设无法直接检验，Egger 截距与 MR-PRESSO 仅能部分检测水平多效性）评估；Steiger 方向性检验仅评估因果方向、不检验排他性（正文 2.2/3.2）</w:t>
            </w:r>
          </w:p>
        </w:tc>
      </w:tr>
      <w:tr>
        <w:tc>
          <w:tcPr>
            <w:tcW w:type="dxa" w:w="1701"/>
          </w:tcPr>
          <w:p>
            <w:pPr>
              <w:spacing w:after="40"/>
            </w:pPr>
            <w:r/>
            <w:r>
              <w:rPr>
                <w:rFonts w:ascii="Times New Roman" w:hAnsi="Times New Roman" w:eastAsia="宋体"/>
                <w:b w:val="0"/>
                <w:sz w:val="18"/>
              </w:rPr>
              <w:t>方法-统计方法 9</w:t>
            </w:r>
          </w:p>
        </w:tc>
        <w:tc>
          <w:tcPr>
            <w:tcW w:type="dxa" w:w="4649"/>
          </w:tcPr>
          <w:p>
            <w:pPr>
              <w:spacing w:after="40"/>
            </w:pPr>
            <w:r/>
            <w:r>
              <w:rPr>
                <w:rFonts w:ascii="Times New Roman" w:hAnsi="Times New Roman" w:eastAsia="宋体"/>
                <w:b w:val="0"/>
                <w:sz w:val="18"/>
              </w:rPr>
              <w:t>主分析与敏感性分析方法细节</w:t>
            </w:r>
          </w:p>
        </w:tc>
        <w:tc>
          <w:tcPr>
            <w:tcW w:type="dxa" w:w="1984"/>
          </w:tcPr>
          <w:p>
            <w:pPr>
              <w:spacing w:after="40"/>
            </w:pPr>
            <w:r/>
            <w:r>
              <w:rPr>
                <w:rFonts w:ascii="Times New Roman" w:hAnsi="Times New Roman" w:eastAsia="宋体"/>
                <w:b w:val="0"/>
                <w:sz w:val="18"/>
              </w:rPr>
              <w:t>已报告：2.2（IVW 随机效应主分析；Egger/加权中位数/众数；Q/I²/tau²；PRESSO 校正；MR-RAPS；留一法；复制结局）</w:t>
            </w:r>
          </w:p>
        </w:tc>
      </w:tr>
      <w:tr>
        <w:tc>
          <w:tcPr>
            <w:tcW w:type="dxa" w:w="1701"/>
          </w:tcPr>
          <w:p>
            <w:pPr>
              <w:spacing w:after="40"/>
            </w:pPr>
            <w:r/>
            <w:r>
              <w:rPr>
                <w:rFonts w:ascii="Times New Roman" w:hAnsi="Times New Roman" w:eastAsia="宋体"/>
                <w:b w:val="0"/>
                <w:sz w:val="18"/>
              </w:rPr>
              <w:t>方法-异质性/多效性 10</w:t>
            </w:r>
          </w:p>
        </w:tc>
        <w:tc>
          <w:tcPr>
            <w:tcW w:type="dxa" w:w="4649"/>
          </w:tcPr>
          <w:p>
            <w:pPr>
              <w:spacing w:after="40"/>
            </w:pPr>
            <w:r/>
            <w:r>
              <w:rPr>
                <w:rFonts w:ascii="Times New Roman" w:hAnsi="Times New Roman" w:eastAsia="宋体"/>
                <w:b w:val="0"/>
                <w:sz w:val="18"/>
              </w:rPr>
              <w:t>异质性（Q、I²）与水平多效性（Egger 截距、PRESSO）检验</w:t>
            </w:r>
          </w:p>
        </w:tc>
        <w:tc>
          <w:tcPr>
            <w:tcW w:type="dxa" w:w="1984"/>
          </w:tcPr>
          <w:p>
            <w:pPr>
              <w:spacing w:after="40"/>
            </w:pPr>
            <w:r/>
            <w:r>
              <w:rPr>
                <w:rFonts w:ascii="Times New Roman" w:hAnsi="Times New Roman" w:eastAsia="宋体"/>
                <w:b w:val="0"/>
                <w:sz w:val="18"/>
              </w:rPr>
              <w:t>已报告：3.1/3.2 含 Q、I²、Egger 截距、PRESSO 全局/失真检验</w:t>
            </w:r>
          </w:p>
        </w:tc>
      </w:tr>
      <w:tr>
        <w:tc>
          <w:tcPr>
            <w:tcW w:type="dxa" w:w="1701"/>
          </w:tcPr>
          <w:p>
            <w:pPr>
              <w:spacing w:after="40"/>
            </w:pPr>
            <w:r/>
            <w:r>
              <w:rPr>
                <w:rFonts w:ascii="Times New Roman" w:hAnsi="Times New Roman" w:eastAsia="宋体"/>
                <w:b w:val="0"/>
                <w:sz w:val="18"/>
              </w:rPr>
              <w:t>方法-软件 11</w:t>
            </w:r>
          </w:p>
        </w:tc>
        <w:tc>
          <w:tcPr>
            <w:tcW w:type="dxa" w:w="4649"/>
          </w:tcPr>
          <w:p>
            <w:pPr>
              <w:spacing w:after="40"/>
            </w:pPr>
            <w:r/>
            <w:r>
              <w:rPr>
                <w:rFonts w:ascii="Times New Roman" w:hAnsi="Times New Roman" w:eastAsia="宋体"/>
                <w:b w:val="0"/>
                <w:sz w:val="18"/>
              </w:rPr>
              <w:t>统计软件与包版本</w:t>
            </w:r>
          </w:p>
        </w:tc>
        <w:tc>
          <w:tcPr>
            <w:tcW w:type="dxa" w:w="1984"/>
          </w:tcPr>
          <w:p>
            <w:pPr>
              <w:spacing w:after="40"/>
            </w:pPr>
            <w:r/>
            <w:r>
              <w:rPr>
                <w:rFonts w:ascii="Times New Roman" w:hAnsi="Times New Roman" w:eastAsia="宋体"/>
                <w:b w:val="0"/>
                <w:sz w:val="18"/>
              </w:rPr>
              <w:t>已报告：2.8 与声明（R 4.6.1 及包版本）</w:t>
            </w:r>
          </w:p>
        </w:tc>
      </w:tr>
      <w:tr>
        <w:tc>
          <w:tcPr>
            <w:tcW w:type="dxa" w:w="1701"/>
          </w:tcPr>
          <w:p>
            <w:pPr>
              <w:spacing w:after="40"/>
            </w:pPr>
            <w:r/>
            <w:r>
              <w:rPr>
                <w:rFonts w:ascii="Times New Roman" w:hAnsi="Times New Roman" w:eastAsia="宋体"/>
                <w:b w:val="0"/>
                <w:sz w:val="18"/>
              </w:rPr>
              <w:t>结果-描述性数据 12</w:t>
            </w:r>
          </w:p>
        </w:tc>
        <w:tc>
          <w:tcPr>
            <w:tcW w:type="dxa" w:w="4649"/>
          </w:tcPr>
          <w:p>
            <w:pPr>
              <w:spacing w:after="40"/>
            </w:pPr>
            <w:r/>
            <w:r>
              <w:rPr>
                <w:rFonts w:ascii="Times New Roman" w:hAnsi="Times New Roman" w:eastAsia="宋体"/>
                <w:b w:val="0"/>
                <w:sz w:val="18"/>
              </w:rPr>
              <w:t>工具 SNP 数量、F 统计量、表型方差解释率</w:t>
            </w:r>
          </w:p>
        </w:tc>
        <w:tc>
          <w:tcPr>
            <w:tcW w:type="dxa" w:w="1984"/>
          </w:tcPr>
          <w:p>
            <w:pPr>
              <w:spacing w:after="40"/>
            </w:pPr>
            <w:r/>
            <w:r>
              <w:rPr>
                <w:rFonts w:ascii="Times New Roman" w:hAnsi="Times New Roman" w:eastAsia="宋体"/>
                <w:b w:val="0"/>
                <w:sz w:val="18"/>
              </w:rPr>
              <w:t>已报告：3.1（F 最小 30.01、中位 70.41；方差解释 9.3%）</w:t>
            </w:r>
          </w:p>
        </w:tc>
      </w:tr>
      <w:tr>
        <w:tc>
          <w:tcPr>
            <w:tcW w:type="dxa" w:w="1701"/>
          </w:tcPr>
          <w:p>
            <w:pPr>
              <w:spacing w:after="40"/>
            </w:pPr>
            <w:r/>
            <w:r>
              <w:rPr>
                <w:rFonts w:ascii="Times New Roman" w:hAnsi="Times New Roman" w:eastAsia="宋体"/>
                <w:b w:val="0"/>
                <w:sz w:val="18"/>
              </w:rPr>
              <w:t>结果-主结果 13</w:t>
            </w:r>
          </w:p>
        </w:tc>
        <w:tc>
          <w:tcPr>
            <w:tcW w:type="dxa" w:w="4649"/>
          </w:tcPr>
          <w:p>
            <w:pPr>
              <w:spacing w:after="40"/>
            </w:pPr>
            <w:r/>
            <w:r>
              <w:rPr>
                <w:rFonts w:ascii="Times New Roman" w:hAnsi="Times New Roman" w:eastAsia="宋体"/>
                <w:b w:val="0"/>
                <w:sz w:val="18"/>
              </w:rPr>
              <w:t>主分析因果估计（效应量、CI、P）</w:t>
            </w:r>
          </w:p>
        </w:tc>
        <w:tc>
          <w:tcPr>
            <w:tcW w:type="dxa" w:w="1984"/>
          </w:tcPr>
          <w:p>
            <w:pPr>
              <w:spacing w:after="40"/>
            </w:pPr>
            <w:r/>
            <w:r>
              <w:rPr>
                <w:rFonts w:ascii="Times New Roman" w:hAnsi="Times New Roman" w:eastAsia="宋体"/>
                <w:b w:val="0"/>
                <w:sz w:val="18"/>
              </w:rPr>
              <w:t>已报告：3.2（IVW OR=0.487，95% CI 0.335–0.709）</w:t>
            </w:r>
          </w:p>
        </w:tc>
      </w:tr>
      <w:tr>
        <w:tc>
          <w:tcPr>
            <w:tcW w:type="dxa" w:w="1701"/>
          </w:tcPr>
          <w:p>
            <w:pPr>
              <w:spacing w:after="40"/>
            </w:pPr>
            <w:r/>
            <w:r>
              <w:rPr>
                <w:rFonts w:ascii="Times New Roman" w:hAnsi="Times New Roman" w:eastAsia="宋体"/>
                <w:b w:val="0"/>
                <w:sz w:val="18"/>
              </w:rPr>
              <w:t>结果-其他分析 14</w:t>
            </w:r>
          </w:p>
        </w:tc>
        <w:tc>
          <w:tcPr>
            <w:tcW w:type="dxa" w:w="4649"/>
          </w:tcPr>
          <w:p>
            <w:pPr>
              <w:spacing w:after="40"/>
            </w:pPr>
            <w:r/>
            <w:r>
              <w:rPr>
                <w:rFonts w:ascii="Times New Roman" w:hAnsi="Times New Roman" w:eastAsia="宋体"/>
                <w:b w:val="0"/>
                <w:sz w:val="18"/>
              </w:rPr>
              <w:t>复制结局、MVMR、敏感性分析结果</w:t>
            </w:r>
          </w:p>
        </w:tc>
        <w:tc>
          <w:tcPr>
            <w:tcW w:type="dxa" w:w="1984"/>
          </w:tcPr>
          <w:p>
            <w:pPr>
              <w:spacing w:after="40"/>
            </w:pPr>
            <w:r/>
            <w:r>
              <w:rPr>
                <w:rFonts w:ascii="Times New Roman" w:hAnsi="Times New Roman" w:eastAsia="宋体"/>
                <w:b w:val="0"/>
                <w:sz w:val="18"/>
              </w:rPr>
              <w:t>已报告：3.2/3.3（双复制结局、PRESSO 校正、RAPS、Steiger、MVMR）</w:t>
            </w:r>
          </w:p>
        </w:tc>
      </w:tr>
      <w:tr>
        <w:tc>
          <w:tcPr>
            <w:tcW w:type="dxa" w:w="1701"/>
          </w:tcPr>
          <w:p>
            <w:pPr>
              <w:spacing w:after="40"/>
            </w:pPr>
            <w:r/>
            <w:r>
              <w:rPr>
                <w:rFonts w:ascii="Times New Roman" w:hAnsi="Times New Roman" w:eastAsia="宋体"/>
                <w:b w:val="0"/>
                <w:sz w:val="18"/>
              </w:rPr>
              <w:t>讨论-关键结果 15</w:t>
            </w:r>
          </w:p>
        </w:tc>
        <w:tc>
          <w:tcPr>
            <w:tcW w:type="dxa" w:w="4649"/>
          </w:tcPr>
          <w:p>
            <w:pPr>
              <w:spacing w:after="40"/>
            </w:pPr>
            <w:r/>
            <w:r>
              <w:rPr>
                <w:rFonts w:ascii="Times New Roman" w:hAnsi="Times New Roman" w:eastAsia="宋体"/>
                <w:b w:val="0"/>
                <w:sz w:val="18"/>
              </w:rPr>
              <w:t>结合研究问题解读关键结果</w:t>
            </w:r>
          </w:p>
        </w:tc>
        <w:tc>
          <w:tcPr>
            <w:tcW w:type="dxa" w:w="1984"/>
          </w:tcPr>
          <w:p>
            <w:pPr>
              <w:spacing w:after="40"/>
            </w:pPr>
            <w:r/>
            <w:r>
              <w:rPr>
                <w:rFonts w:ascii="Times New Roman" w:hAnsi="Times New Roman" w:eastAsia="宋体"/>
                <w:b w:val="0"/>
                <w:sz w:val="18"/>
              </w:rPr>
              <w:t>已报告：4.1</w:t>
            </w:r>
          </w:p>
        </w:tc>
      </w:tr>
      <w:tr>
        <w:tc>
          <w:tcPr>
            <w:tcW w:type="dxa" w:w="1701"/>
          </w:tcPr>
          <w:p>
            <w:pPr>
              <w:spacing w:after="40"/>
            </w:pPr>
            <w:r/>
            <w:r>
              <w:rPr>
                <w:rFonts w:ascii="Times New Roman" w:hAnsi="Times New Roman" w:eastAsia="宋体"/>
                <w:b w:val="0"/>
                <w:sz w:val="18"/>
              </w:rPr>
              <w:t>讨论-局限 16</w:t>
            </w:r>
          </w:p>
        </w:tc>
        <w:tc>
          <w:tcPr>
            <w:tcW w:type="dxa" w:w="4649"/>
          </w:tcPr>
          <w:p>
            <w:pPr>
              <w:spacing w:after="40"/>
            </w:pPr>
            <w:r/>
            <w:r>
              <w:rPr>
                <w:rFonts w:ascii="Times New Roman" w:hAnsi="Times New Roman" w:eastAsia="宋体"/>
                <w:b w:val="0"/>
                <w:sz w:val="18"/>
              </w:rPr>
              <w:t>异质性、多效性、弱工具、样本重叠、外推性等局限</w:t>
            </w:r>
          </w:p>
        </w:tc>
        <w:tc>
          <w:tcPr>
            <w:tcW w:type="dxa" w:w="1984"/>
          </w:tcPr>
          <w:p>
            <w:pPr>
              <w:spacing w:after="40"/>
            </w:pPr>
            <w:r/>
            <w:r>
              <w:rPr>
                <w:rFonts w:ascii="Times New Roman" w:hAnsi="Times New Roman" w:eastAsia="宋体"/>
                <w:b w:val="0"/>
                <w:sz w:val="18"/>
              </w:rPr>
              <w:t>已报告：4.7（14 条局限，含反向 MR/共定位未执行）</w:t>
            </w:r>
          </w:p>
        </w:tc>
      </w:tr>
      <w:tr>
        <w:tc>
          <w:tcPr>
            <w:tcW w:type="dxa" w:w="1701"/>
          </w:tcPr>
          <w:p>
            <w:pPr>
              <w:spacing w:after="40"/>
            </w:pPr>
            <w:r/>
            <w:r>
              <w:rPr>
                <w:rFonts w:ascii="Times New Roman" w:hAnsi="Times New Roman" w:eastAsia="宋体"/>
                <w:b w:val="0"/>
                <w:sz w:val="18"/>
              </w:rPr>
              <w:t>讨论-解释 17</w:t>
            </w:r>
          </w:p>
        </w:tc>
        <w:tc>
          <w:tcPr>
            <w:tcW w:type="dxa" w:w="4649"/>
          </w:tcPr>
          <w:p>
            <w:pPr>
              <w:spacing w:after="40"/>
            </w:pPr>
            <w:r/>
            <w:r>
              <w:rPr>
                <w:rFonts w:ascii="Times New Roman" w:hAnsi="Times New Roman" w:eastAsia="宋体"/>
                <w:b w:val="0"/>
                <w:sz w:val="18"/>
              </w:rPr>
              <w:t>谨慎解读，避免过度因果断言</w:t>
            </w:r>
          </w:p>
        </w:tc>
        <w:tc>
          <w:tcPr>
            <w:tcW w:type="dxa" w:w="1984"/>
          </w:tcPr>
          <w:p>
            <w:pPr>
              <w:spacing w:after="40"/>
            </w:pPr>
            <w:r/>
            <w:r>
              <w:rPr>
                <w:rFonts w:ascii="Times New Roman" w:hAnsi="Times New Roman" w:eastAsia="宋体"/>
                <w:b w:val="0"/>
                <w:sz w:val="18"/>
              </w:rPr>
              <w:t>已报告：结论与 4.2 明确探索性、假设生成定位</w:t>
            </w:r>
          </w:p>
        </w:tc>
      </w:tr>
      <w:tr>
        <w:tc>
          <w:tcPr>
            <w:tcW w:type="dxa" w:w="1701"/>
          </w:tcPr>
          <w:p>
            <w:pPr>
              <w:spacing w:after="40"/>
            </w:pPr>
            <w:r/>
            <w:r>
              <w:rPr>
                <w:rFonts w:ascii="Times New Roman" w:hAnsi="Times New Roman" w:eastAsia="宋体"/>
                <w:b w:val="0"/>
                <w:sz w:val="18"/>
              </w:rPr>
              <w:t>讨论-普适性 18</w:t>
            </w:r>
          </w:p>
        </w:tc>
        <w:tc>
          <w:tcPr>
            <w:tcW w:type="dxa" w:w="4649"/>
          </w:tcPr>
          <w:p>
            <w:pPr>
              <w:spacing w:after="40"/>
            </w:pPr>
            <w:r/>
            <w:r>
              <w:rPr>
                <w:rFonts w:ascii="Times New Roman" w:hAnsi="Times New Roman" w:eastAsia="宋体"/>
                <w:b w:val="0"/>
                <w:sz w:val="18"/>
              </w:rPr>
              <w:t>结果可推广性</w:t>
            </w:r>
          </w:p>
        </w:tc>
        <w:tc>
          <w:tcPr>
            <w:tcW w:type="dxa" w:w="1984"/>
          </w:tcPr>
          <w:p>
            <w:pPr>
              <w:spacing w:after="40"/>
            </w:pPr>
            <w:r/>
            <w:r>
              <w:rPr>
                <w:rFonts w:ascii="Times New Roman" w:hAnsi="Times New Roman" w:eastAsia="宋体"/>
                <w:b w:val="0"/>
                <w:sz w:val="18"/>
              </w:rPr>
              <w:t>已报告：4.7(3) 欧洲人群限制</w:t>
            </w:r>
          </w:p>
        </w:tc>
      </w:tr>
      <w:tr>
        <w:tc>
          <w:tcPr>
            <w:tcW w:type="dxa" w:w="1701"/>
          </w:tcPr>
          <w:p>
            <w:pPr>
              <w:spacing w:after="40"/>
            </w:pPr>
            <w:r/>
            <w:r>
              <w:rPr>
                <w:rFonts w:ascii="Times New Roman" w:hAnsi="Times New Roman" w:eastAsia="宋体"/>
                <w:b w:val="0"/>
                <w:sz w:val="18"/>
              </w:rPr>
              <w:t>其他-资金/利益冲突 19</w:t>
            </w:r>
          </w:p>
        </w:tc>
        <w:tc>
          <w:tcPr>
            <w:tcW w:type="dxa" w:w="4649"/>
          </w:tcPr>
          <w:p>
            <w:pPr>
              <w:spacing w:after="40"/>
            </w:pPr>
            <w:r/>
            <w:r>
              <w:rPr>
                <w:rFonts w:ascii="Times New Roman" w:hAnsi="Times New Roman" w:eastAsia="宋体"/>
                <w:b w:val="0"/>
                <w:sz w:val="18"/>
              </w:rPr>
              <w:t>资金来源与利益冲突声明</w:t>
            </w:r>
          </w:p>
        </w:tc>
        <w:tc>
          <w:tcPr>
            <w:tcW w:type="dxa" w:w="1984"/>
          </w:tcPr>
          <w:p>
            <w:pPr>
              <w:spacing w:after="40"/>
            </w:pPr>
            <w:r/>
            <w:r>
              <w:rPr>
                <w:rFonts w:ascii="Times New Roman" w:hAnsi="Times New Roman" w:eastAsia="宋体"/>
                <w:b w:val="0"/>
                <w:sz w:val="18"/>
              </w:rPr>
              <w:t>已报告：声明部分</w:t>
            </w:r>
          </w:p>
        </w:tc>
      </w:tr>
      <w:tr>
        <w:tc>
          <w:tcPr>
            <w:tcW w:type="dxa" w:w="1701"/>
          </w:tcPr>
          <w:p>
            <w:pPr>
              <w:spacing w:after="40"/>
            </w:pPr>
            <w:r/>
            <w:r>
              <w:rPr>
                <w:rFonts w:ascii="Times New Roman" w:hAnsi="Times New Roman" w:eastAsia="宋体"/>
                <w:b w:val="0"/>
                <w:sz w:val="18"/>
              </w:rPr>
              <w:t>其他-数据与代码可用性 20</w:t>
            </w:r>
          </w:p>
        </w:tc>
        <w:tc>
          <w:tcPr>
            <w:tcW w:type="dxa" w:w="4649"/>
          </w:tcPr>
          <w:p>
            <w:pPr>
              <w:spacing w:after="40"/>
            </w:pPr>
            <w:r/>
            <w:r>
              <w:rPr>
                <w:rFonts w:ascii="Times New Roman" w:hAnsi="Times New Roman" w:eastAsia="宋体"/>
                <w:b w:val="0"/>
                <w:sz w:val="18"/>
              </w:rPr>
              <w:t>数据来源与代码可获取性</w:t>
            </w:r>
          </w:p>
        </w:tc>
        <w:tc>
          <w:tcPr>
            <w:tcW w:type="dxa" w:w="1984"/>
          </w:tcPr>
          <w:p>
            <w:pPr>
              <w:spacing w:after="40"/>
            </w:pPr>
            <w:r/>
            <w:r>
              <w:rPr>
                <w:rFonts w:ascii="Times New Roman" w:hAnsi="Times New Roman" w:eastAsia="宋体"/>
                <w:b w:val="0"/>
                <w:sz w:val="18"/>
              </w:rPr>
              <w:t>已报告：声明（OpenGWAS/GitHub 链接）</w:t>
            </w:r>
          </w:p>
        </w:tc>
      </w:tr>
    </w:tbl>
    <w:p>
      <w:pPr>
        <w:spacing w:after="80"/>
      </w:pPr>
      <w:r>
        <w:rPr>
          <w:rFonts w:ascii="Times New Roman" w:hAnsi="Times New Roman" w:eastAsia="宋体"/>
          <w:b w:val="0"/>
          <w:sz w:val="18"/>
        </w:rPr>
        <w:t>说明：反向 MR、共定位/eQTL-MR 因数据不可得未执行（已在 4.7 如实说明）；样本重叠未量化评估（已在 4.7 说明）；条目 8 中 Steiger 为方向性检验、并非排他性检验。本表对应第五轮审稿后论文版本（2026-09-15）。</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