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黑体"/>
          <w:b/>
          <w:sz w:val="24"/>
        </w:rPr>
        <w:t>补充材料 2  TRIPOD+AI 检查表（Transparent Reporting of a multivariable prediction model for Individual Prognosis Or Diagnosis + AI）</w:t>
      </w:r>
    </w:p>
    <w:p>
      <w:pPr>
        <w:spacing w:after="80"/>
      </w:pPr>
      <w:r>
        <w:rPr>
          <w:rFonts w:ascii="Times New Roman" w:hAnsi="Times New Roman" w:eastAsia="宋体"/>
          <w:b w:val="0"/>
          <w:sz w:val="19"/>
        </w:rPr>
        <w:t>稿件：遗传预测的血清促甲状腺激素水平与甲状腺癌风险的孟德尔随机化重复验证与扩展研究：附候选基因评分与肿瘤微环境的探索性评估（王沛，新疆医科大学第一附属医院）。</w:t>
      </w:r>
    </w:p>
    <w:tbl>
      <w:tblPr>
        <w:tblStyle w:val="TableGrid"/>
        <w:tblW w:type="auto" w:w="0"/>
        <w:tblLook w:firstColumn="1" w:firstRow="1" w:lastColumn="0" w:lastRow="0" w:noHBand="0" w:noVBand="1" w:val="04A0"/>
      </w:tblPr>
      <w:tblGrid>
        <w:gridCol w:w="2769"/>
        <w:gridCol w:w="2769"/>
        <w:gridCol w:w="2769"/>
      </w:tblGrid>
      <w:tr>
        <w:tc>
          <w:tcPr>
            <w:tcW w:type="dxa" w:w="1701"/>
          </w:tcPr>
          <w:p>
            <w:pPr>
              <w:spacing w:after="40"/>
            </w:pPr>
            <w:r/>
            <w:r>
              <w:rPr>
                <w:rFonts w:ascii="Times New Roman" w:hAnsi="Times New Roman" w:eastAsia="宋体"/>
                <w:b w:val="0"/>
                <w:sz w:val="18"/>
              </w:rPr>
              <w:t>条目</w:t>
            </w:r>
          </w:p>
        </w:tc>
        <w:tc>
          <w:tcPr>
            <w:tcW w:type="dxa" w:w="4649"/>
          </w:tcPr>
          <w:p>
            <w:pPr>
              <w:spacing w:after="40"/>
            </w:pPr>
            <w:r/>
            <w:r>
              <w:rPr>
                <w:rFonts w:ascii="Times New Roman" w:hAnsi="Times New Roman" w:eastAsia="宋体"/>
                <w:b w:val="0"/>
                <w:sz w:val="18"/>
              </w:rPr>
              <w:t>检查项</w:t>
            </w:r>
          </w:p>
        </w:tc>
        <w:tc>
          <w:tcPr>
            <w:tcW w:type="dxa" w:w="1984"/>
          </w:tcPr>
          <w:p>
            <w:pPr>
              <w:spacing w:after="40"/>
            </w:pPr>
            <w:r/>
            <w:r>
              <w:rPr>
                <w:rFonts w:ascii="Times New Roman" w:hAnsi="Times New Roman" w:eastAsia="宋体"/>
                <w:b w:val="0"/>
                <w:sz w:val="18"/>
              </w:rPr>
              <w:t>本文情况</w:t>
            </w:r>
          </w:p>
        </w:tc>
      </w:tr>
      <w:tr>
        <w:tc>
          <w:tcPr>
            <w:tcW w:type="dxa" w:w="1701"/>
          </w:tcPr>
          <w:p>
            <w:pPr>
              <w:spacing w:after="40"/>
            </w:pPr>
            <w:r/>
            <w:r>
              <w:rPr>
                <w:rFonts w:ascii="Times New Roman" w:hAnsi="Times New Roman" w:eastAsia="宋体"/>
                <w:b w:val="0"/>
                <w:sz w:val="18"/>
              </w:rPr>
              <w:t>标题 1</w:t>
            </w:r>
          </w:p>
        </w:tc>
        <w:tc>
          <w:tcPr>
            <w:tcW w:type="dxa" w:w="4649"/>
          </w:tcPr>
          <w:p>
            <w:pPr>
              <w:spacing w:after="40"/>
            </w:pPr>
            <w:r/>
            <w:r>
              <w:rPr>
                <w:rFonts w:ascii="Times New Roman" w:hAnsi="Times New Roman" w:eastAsia="宋体"/>
                <w:b w:val="0"/>
                <w:sz w:val="18"/>
              </w:rPr>
              <w:t>说明为预测模型研究</w:t>
            </w:r>
          </w:p>
        </w:tc>
        <w:tc>
          <w:tcPr>
            <w:tcW w:type="dxa" w:w="1984"/>
          </w:tcPr>
          <w:p>
            <w:r>
              <w:t>已报告：标题含“候选基因评分”并注明“探索性评估”</w:t>
            </w:r>
          </w:p>
        </w:tc>
      </w:tr>
      <w:tr>
        <w:tc>
          <w:tcPr>
            <w:tcW w:type="dxa" w:w="1701"/>
          </w:tcPr>
          <w:p>
            <w:pPr>
              <w:spacing w:after="40"/>
            </w:pPr>
            <w:r/>
            <w:r>
              <w:rPr>
                <w:rFonts w:ascii="Times New Roman" w:hAnsi="Times New Roman" w:eastAsia="宋体"/>
                <w:b w:val="0"/>
                <w:sz w:val="18"/>
              </w:rPr>
              <w:t>摘要 2</w:t>
            </w:r>
          </w:p>
        </w:tc>
        <w:tc>
          <w:tcPr>
            <w:tcW w:type="dxa" w:w="4649"/>
          </w:tcPr>
          <w:p>
            <w:pPr>
              <w:spacing w:after="40"/>
            </w:pPr>
            <w:r/>
            <w:r>
              <w:rPr>
                <w:rFonts w:ascii="Times New Roman" w:hAnsi="Times New Roman" w:eastAsia="宋体"/>
                <w:b w:val="0"/>
                <w:sz w:val="18"/>
              </w:rPr>
              <w:t>结构化摘要含目标、方法、结果、结论</w:t>
            </w:r>
          </w:p>
        </w:tc>
        <w:tc>
          <w:tcPr>
            <w:tcW w:type="dxa" w:w="1984"/>
          </w:tcPr>
          <w:p>
            <w:pPr>
              <w:spacing w:after="40"/>
            </w:pPr>
            <w:r/>
            <w:r>
              <w:rPr>
                <w:rFonts w:ascii="Times New Roman" w:hAnsi="Times New Roman" w:eastAsia="宋体"/>
                <w:b w:val="0"/>
                <w:sz w:val="18"/>
              </w:rPr>
              <w:t>已报告：结构式摘要</w:t>
            </w:r>
          </w:p>
        </w:tc>
      </w:tr>
      <w:tr>
        <w:tc>
          <w:tcPr>
            <w:tcW w:type="dxa" w:w="1701"/>
          </w:tcPr>
          <w:p>
            <w:pPr>
              <w:spacing w:after="40"/>
            </w:pPr>
            <w:r/>
            <w:r>
              <w:rPr>
                <w:rFonts w:ascii="Times New Roman" w:hAnsi="Times New Roman" w:eastAsia="宋体"/>
                <w:b w:val="0"/>
                <w:sz w:val="18"/>
              </w:rPr>
              <w:t>引言-背景 3</w:t>
            </w:r>
          </w:p>
        </w:tc>
        <w:tc>
          <w:tcPr>
            <w:tcW w:type="dxa" w:w="4649"/>
          </w:tcPr>
          <w:p>
            <w:pPr>
              <w:spacing w:after="40"/>
            </w:pPr>
            <w:r/>
            <w:r>
              <w:rPr>
                <w:rFonts w:ascii="Times New Roman" w:hAnsi="Times New Roman" w:eastAsia="宋体"/>
                <w:b w:val="0"/>
                <w:sz w:val="18"/>
              </w:rPr>
              <w:t>临床背景与预测问题</w:t>
            </w:r>
          </w:p>
        </w:tc>
        <w:tc>
          <w:tcPr>
            <w:tcW w:type="dxa" w:w="1984"/>
          </w:tcPr>
          <w:p>
            <w:pPr>
              <w:spacing w:after="40"/>
            </w:pPr>
            <w:r/>
            <w:r>
              <w:rPr>
                <w:rFonts w:ascii="Times New Roman" w:hAnsi="Times New Roman" w:eastAsia="宋体"/>
                <w:b w:val="0"/>
                <w:sz w:val="18"/>
              </w:rPr>
              <w:t>已报告：1 引言与 2.4</w:t>
            </w:r>
          </w:p>
        </w:tc>
      </w:tr>
      <w:tr>
        <w:tc>
          <w:tcPr>
            <w:tcW w:type="dxa" w:w="1701"/>
          </w:tcPr>
          <w:p>
            <w:pPr>
              <w:spacing w:after="40"/>
            </w:pPr>
            <w:r/>
            <w:r>
              <w:rPr>
                <w:rFonts w:ascii="Times New Roman" w:hAnsi="Times New Roman" w:eastAsia="宋体"/>
                <w:b w:val="0"/>
                <w:sz w:val="18"/>
              </w:rPr>
              <w:t>引言-目标 4</w:t>
            </w:r>
          </w:p>
        </w:tc>
        <w:tc>
          <w:tcPr>
            <w:tcW w:type="dxa" w:w="4649"/>
          </w:tcPr>
          <w:p>
            <w:pPr>
              <w:spacing w:after="40"/>
            </w:pPr>
            <w:r/>
            <w:r>
              <w:rPr>
                <w:rFonts w:ascii="Times New Roman" w:hAnsi="Times New Roman" w:eastAsia="宋体"/>
                <w:b w:val="0"/>
                <w:sz w:val="18"/>
              </w:rPr>
              <w:t>明确模型开发/验证目标</w:t>
            </w:r>
          </w:p>
        </w:tc>
        <w:tc>
          <w:tcPr>
            <w:tcW w:type="dxa" w:w="1984"/>
          </w:tcPr>
          <w:p>
            <w:pPr>
              <w:spacing w:after="40"/>
            </w:pPr>
            <w:r/>
            <w:r>
              <w:rPr>
                <w:rFonts w:ascii="Times New Roman" w:hAnsi="Times New Roman" w:eastAsia="宋体"/>
                <w:b w:val="0"/>
                <w:sz w:val="18"/>
              </w:rPr>
              <w:t>已报告：2.4 探索性评分构建与病理梯度验证</w:t>
            </w:r>
          </w:p>
        </w:tc>
      </w:tr>
      <w:tr>
        <w:tc>
          <w:tcPr>
            <w:tcW w:type="dxa" w:w="1701"/>
          </w:tcPr>
          <w:p>
            <w:pPr>
              <w:spacing w:after="40"/>
            </w:pPr>
            <w:r/>
            <w:r>
              <w:rPr>
                <w:rFonts w:ascii="Times New Roman" w:hAnsi="Times New Roman" w:eastAsia="宋体"/>
                <w:b w:val="0"/>
                <w:sz w:val="18"/>
              </w:rPr>
              <w:t>方法-数据来源 5</w:t>
            </w:r>
          </w:p>
        </w:tc>
        <w:tc>
          <w:tcPr>
            <w:tcW w:type="dxa" w:w="4649"/>
          </w:tcPr>
          <w:p>
            <w:pPr>
              <w:spacing w:after="40"/>
            </w:pPr>
            <w:r/>
            <w:r>
              <w:rPr>
                <w:rFonts w:ascii="Times New Roman" w:hAnsi="Times New Roman" w:eastAsia="宋体"/>
                <w:b w:val="0"/>
                <w:sz w:val="18"/>
              </w:rPr>
              <w:t>数据来源、参与者选择、时间范围</w:t>
            </w:r>
          </w:p>
        </w:tc>
        <w:tc>
          <w:tcPr>
            <w:tcW w:type="dxa" w:w="1984"/>
          </w:tcPr>
          <w:p>
            <w:pPr>
              <w:spacing w:after="40"/>
            </w:pPr>
            <w:r/>
            <w:r>
              <w:rPr>
                <w:rFonts w:ascii="Times New Roman" w:hAnsi="Times New Roman" w:eastAsia="宋体"/>
                <w:b w:val="0"/>
                <w:sz w:val="18"/>
              </w:rPr>
              <w:t>已报告：2.1/2.4（TCGA-THY 409 例）</w:t>
            </w:r>
          </w:p>
        </w:tc>
      </w:tr>
      <w:tr>
        <w:tc>
          <w:tcPr>
            <w:tcW w:type="dxa" w:w="1701"/>
          </w:tcPr>
          <w:p>
            <w:pPr>
              <w:spacing w:after="40"/>
            </w:pPr>
            <w:r/>
            <w:r>
              <w:rPr>
                <w:rFonts w:ascii="Times New Roman" w:hAnsi="Times New Roman" w:eastAsia="宋体"/>
                <w:b w:val="0"/>
                <w:sz w:val="18"/>
              </w:rPr>
              <w:t>方法-参与者 6</w:t>
            </w:r>
          </w:p>
        </w:tc>
        <w:tc>
          <w:tcPr>
            <w:tcW w:type="dxa" w:w="4649"/>
          </w:tcPr>
          <w:p>
            <w:pPr>
              <w:spacing w:after="40"/>
            </w:pPr>
            <w:r/>
            <w:r>
              <w:rPr>
                <w:rFonts w:ascii="Times New Roman" w:hAnsi="Times New Roman" w:eastAsia="宋体"/>
                <w:b w:val="0"/>
                <w:sz w:val="18"/>
              </w:rPr>
              <w:t>纳入/排除标准、缺失数据机制</w:t>
            </w:r>
          </w:p>
        </w:tc>
        <w:tc>
          <w:tcPr>
            <w:tcW w:type="dxa" w:w="1984"/>
          </w:tcPr>
          <w:p>
            <w:r>
              <w:t>已报告（有限）：TCGA-THY 全队列 409 例，无人工排除；缺失数据机制未单独报告（见条目 10）</w:t>
            </w:r>
          </w:p>
        </w:tc>
      </w:tr>
      <w:tr>
        <w:tc>
          <w:tcPr>
            <w:tcW w:type="dxa" w:w="1701"/>
          </w:tcPr>
          <w:p>
            <w:pPr>
              <w:spacing w:after="40"/>
            </w:pPr>
            <w:r/>
            <w:r>
              <w:rPr>
                <w:rFonts w:ascii="Times New Roman" w:hAnsi="Times New Roman" w:eastAsia="宋体"/>
                <w:b w:val="0"/>
                <w:sz w:val="18"/>
              </w:rPr>
              <w:t>方法-结局 7</w:t>
            </w:r>
          </w:p>
        </w:tc>
        <w:tc>
          <w:tcPr>
            <w:tcW w:type="dxa" w:w="4649"/>
          </w:tcPr>
          <w:p>
            <w:pPr>
              <w:spacing w:after="40"/>
            </w:pPr>
            <w:r/>
            <w:r>
              <w:rPr>
                <w:rFonts w:ascii="Times New Roman" w:hAnsi="Times New Roman" w:eastAsia="宋体"/>
                <w:b w:val="0"/>
                <w:sz w:val="18"/>
              </w:rPr>
              <w:t>结局定义与判定时间</w:t>
            </w:r>
          </w:p>
        </w:tc>
        <w:tc>
          <w:tcPr>
            <w:tcW w:type="dxa" w:w="1984"/>
          </w:tcPr>
          <w:p>
            <w:pPr>
              <w:spacing w:after="40"/>
            </w:pPr>
            <w:r/>
            <w:r>
              <w:rPr>
                <w:rFonts w:ascii="Times New Roman" w:hAnsi="Times New Roman" w:eastAsia="宋体"/>
                <w:b w:val="0"/>
                <w:sz w:val="18"/>
              </w:rPr>
              <w:t>已报告：无复发生存（DFS），事件数 27</w:t>
            </w:r>
          </w:p>
        </w:tc>
      </w:tr>
      <w:tr>
        <w:tc>
          <w:tcPr>
            <w:tcW w:type="dxa" w:w="1701"/>
          </w:tcPr>
          <w:p>
            <w:pPr>
              <w:spacing w:after="40"/>
            </w:pPr>
            <w:r/>
            <w:r>
              <w:rPr>
                <w:rFonts w:ascii="Times New Roman" w:hAnsi="Times New Roman" w:eastAsia="宋体"/>
                <w:b w:val="0"/>
                <w:sz w:val="18"/>
              </w:rPr>
              <w:t>方法-预测因子 8</w:t>
            </w:r>
          </w:p>
        </w:tc>
        <w:tc>
          <w:tcPr>
            <w:tcW w:type="dxa" w:w="4649"/>
          </w:tcPr>
          <w:p>
            <w:pPr>
              <w:spacing w:after="40"/>
            </w:pPr>
            <w:r/>
            <w:r>
              <w:rPr>
                <w:rFonts w:ascii="Times New Roman" w:hAnsi="Times New Roman" w:eastAsia="宋体"/>
                <w:b w:val="0"/>
                <w:sz w:val="18"/>
              </w:rPr>
              <w:t>预测因子（GNG7/NFIA 表达）定义与测量</w:t>
            </w:r>
          </w:p>
        </w:tc>
        <w:tc>
          <w:tcPr>
            <w:tcW w:type="dxa" w:w="1984"/>
          </w:tcPr>
          <w:p>
            <w:pPr>
              <w:spacing w:after="40"/>
            </w:pPr>
            <w:r/>
            <w:r>
              <w:rPr>
                <w:rFonts w:ascii="Times New Roman" w:hAnsi="Times New Roman" w:eastAsia="宋体"/>
                <w:b w:val="0"/>
                <w:sz w:val="18"/>
              </w:rPr>
              <w:t>已报告：2.4（TPM→log2）</w:t>
            </w:r>
          </w:p>
        </w:tc>
      </w:tr>
      <w:tr>
        <w:tc>
          <w:tcPr>
            <w:tcW w:type="dxa" w:w="1701"/>
          </w:tcPr>
          <w:p>
            <w:pPr>
              <w:spacing w:after="40"/>
            </w:pPr>
            <w:r/>
            <w:r>
              <w:rPr>
                <w:rFonts w:ascii="Times New Roman" w:hAnsi="Times New Roman" w:eastAsia="宋体"/>
                <w:b w:val="0"/>
                <w:sz w:val="18"/>
              </w:rPr>
              <w:t>方法-样本量 9</w:t>
            </w:r>
          </w:p>
        </w:tc>
        <w:tc>
          <w:tcPr>
            <w:tcW w:type="dxa" w:w="4649"/>
          </w:tcPr>
          <w:p>
            <w:pPr>
              <w:spacing w:after="40"/>
            </w:pPr>
            <w:r/>
            <w:r>
              <w:rPr>
                <w:rFonts w:ascii="Times New Roman" w:hAnsi="Times New Roman" w:eastAsia="宋体"/>
                <w:b w:val="0"/>
                <w:sz w:val="18"/>
              </w:rPr>
              <w:t>样本量与事件数（EPV）</w:t>
            </w:r>
          </w:p>
        </w:tc>
        <w:tc>
          <w:tcPr>
            <w:tcW w:type="dxa" w:w="1984"/>
          </w:tcPr>
          <w:p>
            <w:pPr>
              <w:spacing w:after="40"/>
            </w:pPr>
            <w:r/>
            <w:r>
              <w:rPr>
                <w:rFonts w:ascii="Times New Roman" w:hAnsi="Times New Roman" w:eastAsia="宋体"/>
                <w:b w:val="0"/>
                <w:sz w:val="18"/>
              </w:rPr>
              <w:t>已报告：409 例、27 事件、EPV≈13.5</w:t>
            </w:r>
          </w:p>
        </w:tc>
      </w:tr>
      <w:tr>
        <w:tc>
          <w:tcPr>
            <w:tcW w:type="dxa" w:w="1701"/>
          </w:tcPr>
          <w:p>
            <w:pPr>
              <w:spacing w:after="40"/>
            </w:pPr>
            <w:r/>
            <w:r>
              <w:rPr>
                <w:rFonts w:ascii="Times New Roman" w:hAnsi="Times New Roman" w:eastAsia="宋体"/>
                <w:b w:val="0"/>
                <w:sz w:val="18"/>
              </w:rPr>
              <w:t>方法-缺失值 10</w:t>
            </w:r>
          </w:p>
        </w:tc>
        <w:tc>
          <w:tcPr>
            <w:tcW w:type="dxa" w:w="4649"/>
          </w:tcPr>
          <w:p>
            <w:pPr>
              <w:spacing w:after="40"/>
            </w:pPr>
            <w:r/>
            <w:r>
              <w:rPr>
                <w:rFonts w:ascii="Times New Roman" w:hAnsi="Times New Roman" w:eastAsia="宋体"/>
                <w:b w:val="0"/>
                <w:sz w:val="18"/>
              </w:rPr>
              <w:t>缺失值处理方法</w:t>
            </w:r>
          </w:p>
        </w:tc>
        <w:tc>
          <w:tcPr>
            <w:tcW w:type="dxa" w:w="1984"/>
          </w:tcPr>
          <w:p>
            <w:r>
              <w:t>未报告（主模型）：正文仅说明变量选择重跑时缺失表达经中位数填补（3.4），未系统报告缺失模式</w:t>
            </w:r>
          </w:p>
        </w:tc>
      </w:tr>
      <w:tr>
        <w:tc>
          <w:tcPr>
            <w:tcW w:type="dxa" w:w="1701"/>
          </w:tcPr>
          <w:p>
            <w:pPr>
              <w:spacing w:after="40"/>
            </w:pPr>
            <w:r/>
            <w:r>
              <w:rPr>
                <w:rFonts w:ascii="Times New Roman" w:hAnsi="Times New Roman" w:eastAsia="宋体"/>
                <w:b w:val="0"/>
                <w:sz w:val="18"/>
              </w:rPr>
              <w:t>方法-统计方法 11</w:t>
            </w:r>
          </w:p>
        </w:tc>
        <w:tc>
          <w:tcPr>
            <w:tcW w:type="dxa" w:w="4649"/>
          </w:tcPr>
          <w:p>
            <w:pPr>
              <w:spacing w:after="40"/>
            </w:pPr>
            <w:r/>
            <w:r>
              <w:rPr>
                <w:rFonts w:ascii="Times New Roman" w:hAnsi="Times New Roman" w:eastAsia="宋体"/>
                <w:b w:val="0"/>
                <w:sz w:val="18"/>
              </w:rPr>
              <w:t>模型构建细节（变量选择、系数、正则化）</w:t>
            </w:r>
          </w:p>
        </w:tc>
        <w:tc>
          <w:tcPr>
            <w:tcW w:type="dxa" w:w="1984"/>
          </w:tcPr>
          <w:p>
            <w:pPr>
              <w:spacing w:after="40"/>
            </w:pPr>
            <w:r/>
            <w:r>
              <w:rPr>
                <w:rFonts w:ascii="Times New Roman" w:hAnsi="Times New Roman" w:eastAsia="宋体"/>
                <w:b w:val="0"/>
                <w:sz w:val="18"/>
              </w:rPr>
              <w:t>已报告：2.4（双基因 Cox + Lasso/弹性网 + Bootstrap 200 次 + 重复 CV）</w:t>
            </w:r>
          </w:p>
        </w:tc>
      </w:tr>
      <w:tr>
        <w:tc>
          <w:tcPr>
            <w:tcW w:type="dxa" w:w="1701"/>
          </w:tcPr>
          <w:p>
            <w:pPr>
              <w:spacing w:after="40"/>
            </w:pPr>
            <w:r/>
            <w:r>
              <w:rPr>
                <w:rFonts w:ascii="Times New Roman" w:hAnsi="Times New Roman" w:eastAsia="宋体"/>
                <w:b w:val="0"/>
                <w:sz w:val="18"/>
              </w:rPr>
              <w:t>方法-模型规范 12</w:t>
            </w:r>
          </w:p>
        </w:tc>
        <w:tc>
          <w:tcPr>
            <w:tcW w:type="dxa" w:w="4649"/>
          </w:tcPr>
          <w:p>
            <w:pPr>
              <w:spacing w:after="40"/>
            </w:pPr>
            <w:r/>
            <w:r>
              <w:rPr>
                <w:rFonts w:ascii="Times New Roman" w:hAnsi="Times New Roman" w:eastAsia="宋体"/>
                <w:b w:val="0"/>
                <w:sz w:val="18"/>
              </w:rPr>
              <w:t>完整模型公式与系数</w:t>
            </w:r>
          </w:p>
        </w:tc>
        <w:tc>
          <w:tcPr>
            <w:tcW w:type="dxa" w:w="1984"/>
          </w:tcPr>
          <w:p>
            <w:pPr>
              <w:spacing w:after="40"/>
            </w:pPr>
            <w:r/>
            <w:r>
              <w:rPr>
                <w:rFonts w:ascii="Times New Roman" w:hAnsi="Times New Roman" w:eastAsia="宋体"/>
                <w:b w:val="0"/>
                <w:sz w:val="18"/>
              </w:rPr>
              <w:t>已报告：riskScore = −0.0053257×GNG7 − 0.0003788×NFIA</w:t>
            </w:r>
          </w:p>
        </w:tc>
      </w:tr>
      <w:tr>
        <w:tc>
          <w:tcPr>
            <w:tcW w:type="dxa" w:w="1701"/>
          </w:tcPr>
          <w:p>
            <w:pPr>
              <w:spacing w:after="40"/>
            </w:pPr>
            <w:r/>
            <w:r>
              <w:rPr>
                <w:rFonts w:ascii="Times New Roman" w:hAnsi="Times New Roman" w:eastAsia="宋体"/>
                <w:b w:val="0"/>
                <w:sz w:val="18"/>
              </w:rPr>
              <w:t>方法-模型表现 13</w:t>
            </w:r>
          </w:p>
        </w:tc>
        <w:tc>
          <w:tcPr>
            <w:tcW w:type="dxa" w:w="4649"/>
          </w:tcPr>
          <w:p>
            <w:pPr>
              <w:spacing w:after="40"/>
            </w:pPr>
            <w:r/>
            <w:r>
              <w:rPr>
                <w:rFonts w:ascii="Times New Roman" w:hAnsi="Times New Roman" w:eastAsia="宋体"/>
                <w:b w:val="0"/>
                <w:sz w:val="18"/>
              </w:rPr>
              <w:t>区分度、校准、临床效用评估</w:t>
            </w:r>
          </w:p>
        </w:tc>
        <w:tc>
          <w:tcPr>
            <w:tcW w:type="dxa" w:w="1984"/>
          </w:tcPr>
          <w:p>
            <w:pPr>
              <w:spacing w:after="40"/>
            </w:pPr>
            <w:r/>
            <w:r>
              <w:rPr>
                <w:rFonts w:ascii="Times New Roman" w:hAnsi="Times New Roman" w:eastAsia="宋体"/>
                <w:b w:val="0"/>
                <w:sz w:val="18"/>
              </w:rPr>
              <w:t>已报告：C-index、时间依赖 ROC、3 年校准（MAE=0.037）、DCA</w:t>
            </w:r>
          </w:p>
        </w:tc>
      </w:tr>
      <w:tr>
        <w:tc>
          <w:tcPr>
            <w:tcW w:type="dxa" w:w="1701"/>
          </w:tcPr>
          <w:p>
            <w:pPr>
              <w:spacing w:after="40"/>
            </w:pPr>
            <w:r/>
            <w:r>
              <w:rPr>
                <w:rFonts w:ascii="Times New Roman" w:hAnsi="Times New Roman" w:eastAsia="宋体"/>
                <w:b w:val="0"/>
                <w:sz w:val="18"/>
              </w:rPr>
              <w:t>方法-模型更新 14</w:t>
            </w:r>
          </w:p>
        </w:tc>
        <w:tc>
          <w:tcPr>
            <w:tcW w:type="dxa" w:w="4649"/>
          </w:tcPr>
          <w:p>
            <w:pPr>
              <w:spacing w:after="40"/>
            </w:pPr>
            <w:r/>
            <w:r>
              <w:rPr>
                <w:rFonts w:ascii="Times New Roman" w:hAnsi="Times New Roman" w:eastAsia="宋体"/>
                <w:b w:val="0"/>
                <w:sz w:val="18"/>
              </w:rPr>
              <w:t>模型更新/再校准</w:t>
            </w:r>
          </w:p>
        </w:tc>
        <w:tc>
          <w:tcPr>
            <w:tcW w:type="dxa" w:w="1984"/>
          </w:tcPr>
          <w:p>
            <w:pPr>
              <w:spacing w:after="40"/>
            </w:pPr>
            <w:r/>
            <w:r>
              <w:rPr>
                <w:rFonts w:ascii="Times New Roman" w:hAnsi="Times New Roman" w:eastAsia="宋体"/>
                <w:b w:val="0"/>
                <w:sz w:val="18"/>
              </w:rPr>
              <w:t>不适用：无外部生存数据未再校准（4.7 说明）</w:t>
            </w:r>
          </w:p>
        </w:tc>
      </w:tr>
      <w:tr>
        <w:tc>
          <w:tcPr>
            <w:tcW w:type="dxa" w:w="1701"/>
          </w:tcPr>
          <w:p>
            <w:pPr>
              <w:spacing w:after="40"/>
            </w:pPr>
            <w:r/>
            <w:r>
              <w:rPr>
                <w:rFonts w:ascii="Times New Roman" w:hAnsi="Times New Roman" w:eastAsia="宋体"/>
                <w:b w:val="0"/>
                <w:sz w:val="18"/>
              </w:rPr>
              <w:t>方法-验证 15</w:t>
            </w:r>
          </w:p>
        </w:tc>
        <w:tc>
          <w:tcPr>
            <w:tcW w:type="dxa" w:w="4649"/>
          </w:tcPr>
          <w:p>
            <w:pPr>
              <w:spacing w:after="40"/>
            </w:pPr>
            <w:r/>
            <w:r>
              <w:rPr>
                <w:rFonts w:ascii="Times New Roman" w:hAnsi="Times New Roman" w:eastAsia="宋体"/>
                <w:b w:val="0"/>
                <w:sz w:val="18"/>
              </w:rPr>
              <w:t>外部验证设计与结果</w:t>
            </w:r>
          </w:p>
        </w:tc>
        <w:tc>
          <w:tcPr>
            <w:tcW w:type="dxa" w:w="1984"/>
          </w:tcPr>
          <w:p>
            <w:r>
              <w:t>未报告（不可行）：无独立生存终点队列，外部生存验证无法执行；GSE33630 仅病理类型梯度验证（正文 2.5/4.7 如实声明）</w:t>
            </w:r>
          </w:p>
        </w:tc>
      </w:tr>
      <w:tr>
        <w:tc>
          <w:tcPr>
            <w:tcW w:type="dxa" w:w="1701"/>
          </w:tcPr>
          <w:p>
            <w:pPr>
              <w:spacing w:after="40"/>
            </w:pPr>
            <w:r/>
            <w:r>
              <w:rPr>
                <w:rFonts w:ascii="Times New Roman" w:hAnsi="Times New Roman" w:eastAsia="宋体"/>
                <w:b w:val="0"/>
                <w:sz w:val="18"/>
              </w:rPr>
              <w:t>结果-参与者 16</w:t>
            </w:r>
          </w:p>
        </w:tc>
        <w:tc>
          <w:tcPr>
            <w:tcW w:type="dxa" w:w="4649"/>
          </w:tcPr>
          <w:p>
            <w:pPr>
              <w:spacing w:after="40"/>
            </w:pPr>
            <w:r/>
            <w:r>
              <w:rPr>
                <w:rFonts w:ascii="Times New Roman" w:hAnsi="Times New Roman" w:eastAsia="宋体"/>
                <w:b w:val="0"/>
                <w:sz w:val="18"/>
              </w:rPr>
              <w:t>参与者描述（分组、事件）</w:t>
            </w:r>
          </w:p>
        </w:tc>
        <w:tc>
          <w:tcPr>
            <w:tcW w:type="dxa" w:w="1984"/>
          </w:tcPr>
          <w:p>
            <w:pPr>
              <w:spacing w:after="40"/>
            </w:pPr>
            <w:r/>
            <w:r>
              <w:rPr>
                <w:rFonts w:ascii="Times New Roman" w:hAnsi="Times New Roman" w:eastAsia="宋体"/>
                <w:b w:val="0"/>
                <w:sz w:val="18"/>
              </w:rPr>
              <w:t>已报告：3.4（High 204/Low 205；27 事件）</w:t>
            </w:r>
          </w:p>
        </w:tc>
      </w:tr>
      <w:tr>
        <w:tc>
          <w:tcPr>
            <w:tcW w:type="dxa" w:w="1701"/>
          </w:tcPr>
          <w:p>
            <w:pPr>
              <w:spacing w:after="40"/>
            </w:pPr>
            <w:r/>
            <w:r>
              <w:rPr>
                <w:rFonts w:ascii="Times New Roman" w:hAnsi="Times New Roman" w:eastAsia="宋体"/>
                <w:b w:val="0"/>
                <w:sz w:val="18"/>
              </w:rPr>
              <w:t>结果-模型开发 17</w:t>
            </w:r>
          </w:p>
        </w:tc>
        <w:tc>
          <w:tcPr>
            <w:tcW w:type="dxa" w:w="4649"/>
          </w:tcPr>
          <w:p>
            <w:pPr>
              <w:spacing w:after="40"/>
            </w:pPr>
            <w:r/>
            <w:r>
              <w:rPr>
                <w:rFonts w:ascii="Times New Roman" w:hAnsi="Times New Roman" w:eastAsia="宋体"/>
                <w:b w:val="0"/>
                <w:sz w:val="18"/>
              </w:rPr>
              <w:t>模型表现指标（含 CI）</w:t>
            </w:r>
          </w:p>
        </w:tc>
        <w:tc>
          <w:tcPr>
            <w:tcW w:type="dxa" w:w="1984"/>
          </w:tcPr>
          <w:p>
            <w:pPr>
              <w:spacing w:after="40"/>
            </w:pPr>
            <w:r/>
            <w:r>
              <w:rPr>
                <w:rFonts w:ascii="Times New Roman" w:hAnsi="Times New Roman" w:eastAsia="宋体"/>
                <w:b w:val="0"/>
                <w:sz w:val="18"/>
              </w:rPr>
              <w:t>已报告：3.4（C-index 0.666，95% CI 0.559–0.774；1/3/5 年 AUC 0.657/0.612/0.593）</w:t>
            </w:r>
          </w:p>
        </w:tc>
      </w:tr>
      <w:tr>
        <w:tc>
          <w:tcPr>
            <w:tcW w:type="dxa" w:w="1701"/>
          </w:tcPr>
          <w:p>
            <w:pPr>
              <w:spacing w:after="40"/>
            </w:pPr>
            <w:r/>
            <w:r>
              <w:rPr>
                <w:rFonts w:ascii="Times New Roman" w:hAnsi="Times New Roman" w:eastAsia="宋体"/>
                <w:b w:val="0"/>
                <w:sz w:val="18"/>
              </w:rPr>
              <w:t>结果-模型表现 18</w:t>
            </w:r>
          </w:p>
        </w:tc>
        <w:tc>
          <w:tcPr>
            <w:tcW w:type="dxa" w:w="4649"/>
          </w:tcPr>
          <w:p>
            <w:pPr>
              <w:spacing w:after="40"/>
            </w:pPr>
            <w:r/>
            <w:r>
              <w:rPr>
                <w:rFonts w:ascii="Times New Roman" w:hAnsi="Times New Roman" w:eastAsia="宋体"/>
                <w:b w:val="0"/>
                <w:sz w:val="18"/>
              </w:rPr>
              <w:t>验证集表现</w:t>
            </w:r>
          </w:p>
        </w:tc>
        <w:tc>
          <w:tcPr>
            <w:tcW w:type="dxa" w:w="1984"/>
          </w:tcPr>
          <w:p>
            <w:r>
              <w:t>未报告（生存验证结果不可得）：仅报告病理类型梯度验证结果（K-W P=1.75×10⁻¹²）；无生存终点外部验证结果</w:t>
            </w:r>
          </w:p>
        </w:tc>
      </w:tr>
      <w:tr>
        <w:tc>
          <w:tcPr>
            <w:tcW w:type="dxa" w:w="1701"/>
          </w:tcPr>
          <w:p>
            <w:pPr>
              <w:spacing w:after="40"/>
            </w:pPr>
            <w:r/>
            <w:r>
              <w:rPr>
                <w:rFonts w:ascii="Times New Roman" w:hAnsi="Times New Roman" w:eastAsia="宋体"/>
                <w:b w:val="0"/>
                <w:sz w:val="18"/>
              </w:rPr>
              <w:t>讨论-局限 19</w:t>
            </w:r>
          </w:p>
        </w:tc>
        <w:tc>
          <w:tcPr>
            <w:tcW w:type="dxa" w:w="4649"/>
          </w:tcPr>
          <w:p>
            <w:pPr>
              <w:spacing w:after="40"/>
            </w:pPr>
            <w:r/>
            <w:r>
              <w:rPr>
                <w:rFonts w:ascii="Times New Roman" w:hAnsi="Times New Roman" w:eastAsia="宋体"/>
                <w:b w:val="0"/>
                <w:sz w:val="18"/>
              </w:rPr>
              <w:t>局限性与偏差</w:t>
            </w:r>
          </w:p>
        </w:tc>
        <w:tc>
          <w:tcPr>
            <w:tcW w:type="dxa" w:w="1984"/>
          </w:tcPr>
          <w:p>
            <w:pPr>
              <w:spacing w:after="40"/>
            </w:pPr>
            <w:r/>
            <w:r>
              <w:rPr>
                <w:rFonts w:ascii="Times New Roman" w:hAnsi="Times New Roman" w:eastAsia="宋体"/>
                <w:b w:val="0"/>
                <w:sz w:val="18"/>
              </w:rPr>
              <w:t>已报告：4.7</w:t>
            </w:r>
          </w:p>
        </w:tc>
      </w:tr>
      <w:tr>
        <w:tc>
          <w:tcPr>
            <w:tcW w:type="dxa" w:w="1701"/>
          </w:tcPr>
          <w:p>
            <w:pPr>
              <w:spacing w:after="40"/>
            </w:pPr>
            <w:r/>
            <w:r>
              <w:rPr>
                <w:rFonts w:ascii="Times New Roman" w:hAnsi="Times New Roman" w:eastAsia="宋体"/>
                <w:b w:val="0"/>
                <w:sz w:val="18"/>
              </w:rPr>
              <w:t>讨论-解释 20</w:t>
            </w:r>
          </w:p>
        </w:tc>
        <w:tc>
          <w:tcPr>
            <w:tcW w:type="dxa" w:w="4649"/>
          </w:tcPr>
          <w:p>
            <w:pPr>
              <w:spacing w:after="40"/>
            </w:pPr>
            <w:r/>
            <w:r>
              <w:rPr>
                <w:rFonts w:ascii="Times New Roman" w:hAnsi="Times New Roman" w:eastAsia="宋体"/>
                <w:b w:val="0"/>
                <w:sz w:val="18"/>
              </w:rPr>
              <w:t>结果解释与临床意义</w:t>
            </w:r>
          </w:p>
        </w:tc>
        <w:tc>
          <w:tcPr>
            <w:tcW w:type="dxa" w:w="1984"/>
          </w:tcPr>
          <w:p>
            <w:pPr>
              <w:spacing w:after="40"/>
            </w:pPr>
            <w:r/>
            <w:r>
              <w:rPr>
                <w:rFonts w:ascii="Times New Roman" w:hAnsi="Times New Roman" w:eastAsia="宋体"/>
                <w:b w:val="0"/>
                <w:sz w:val="18"/>
              </w:rPr>
              <w:t>已报告：4.3/4.6/5（探索性、假设生成）</w:t>
            </w:r>
          </w:p>
        </w:tc>
      </w:tr>
      <w:tr>
        <w:tc>
          <w:tcPr>
            <w:tcW w:type="dxa" w:w="1701"/>
          </w:tcPr>
          <w:p>
            <w:pPr>
              <w:spacing w:after="40"/>
            </w:pPr>
            <w:r/>
            <w:r>
              <w:rPr>
                <w:rFonts w:ascii="Times New Roman" w:hAnsi="Times New Roman" w:eastAsia="宋体"/>
                <w:b w:val="0"/>
                <w:sz w:val="18"/>
              </w:rPr>
              <w:t>讨论-普适性 21</w:t>
            </w:r>
          </w:p>
        </w:tc>
        <w:tc>
          <w:tcPr>
            <w:tcW w:type="dxa" w:w="4649"/>
          </w:tcPr>
          <w:p>
            <w:pPr>
              <w:spacing w:after="40"/>
            </w:pPr>
            <w:r/>
            <w:r>
              <w:rPr>
                <w:rFonts w:ascii="Times New Roman" w:hAnsi="Times New Roman" w:eastAsia="宋体"/>
                <w:b w:val="0"/>
                <w:sz w:val="18"/>
              </w:rPr>
              <w:t>外推性与适用人群</w:t>
            </w:r>
          </w:p>
        </w:tc>
        <w:tc>
          <w:tcPr>
            <w:tcW w:type="dxa" w:w="1984"/>
          </w:tcPr>
          <w:p>
            <w:pPr>
              <w:spacing w:after="40"/>
            </w:pPr>
            <w:r/>
            <w:r>
              <w:rPr>
                <w:rFonts w:ascii="Times New Roman" w:hAnsi="Times New Roman" w:eastAsia="宋体"/>
                <w:b w:val="0"/>
                <w:sz w:val="18"/>
              </w:rPr>
              <w:t>已报告：4.7</w:t>
            </w:r>
          </w:p>
        </w:tc>
      </w:tr>
      <w:tr>
        <w:tc>
          <w:tcPr>
            <w:tcW w:type="dxa" w:w="1701"/>
          </w:tcPr>
          <w:p>
            <w:pPr>
              <w:spacing w:after="40"/>
            </w:pPr>
            <w:r/>
            <w:r>
              <w:rPr>
                <w:rFonts w:ascii="Times New Roman" w:hAnsi="Times New Roman" w:eastAsia="宋体"/>
                <w:b w:val="0"/>
                <w:sz w:val="18"/>
              </w:rPr>
              <w:t>其他-注册/资金 22</w:t>
            </w:r>
          </w:p>
        </w:tc>
        <w:tc>
          <w:tcPr>
            <w:tcW w:type="dxa" w:w="4649"/>
          </w:tcPr>
          <w:p>
            <w:pPr>
              <w:spacing w:after="40"/>
            </w:pPr>
            <w:r/>
            <w:r>
              <w:rPr>
                <w:rFonts w:ascii="Times New Roman" w:hAnsi="Times New Roman" w:eastAsia="宋体"/>
                <w:b w:val="0"/>
                <w:sz w:val="18"/>
              </w:rPr>
              <w:t>研究注册、资金来源</w:t>
            </w:r>
          </w:p>
        </w:tc>
        <w:tc>
          <w:tcPr>
            <w:tcW w:type="dxa" w:w="1984"/>
          </w:tcPr>
          <w:p>
            <w:pPr>
              <w:spacing w:after="40"/>
            </w:pPr>
            <w:r/>
            <w:r>
              <w:rPr>
                <w:rFonts w:ascii="Times New Roman" w:hAnsi="Times New Roman" w:eastAsia="宋体"/>
                <w:b w:val="0"/>
                <w:sz w:val="18"/>
              </w:rPr>
              <w:t>已报告：声明（无外部资助）</w:t>
            </w:r>
          </w:p>
        </w:tc>
      </w:tr>
      <w:tr>
        <w:tc>
          <w:tcPr>
            <w:tcW w:type="dxa" w:w="1701"/>
          </w:tcPr>
          <w:p>
            <w:pPr>
              <w:spacing w:after="40"/>
            </w:pPr>
            <w:r/>
            <w:r>
              <w:rPr>
                <w:rFonts w:ascii="Times New Roman" w:hAnsi="Times New Roman" w:eastAsia="宋体"/>
                <w:b w:val="0"/>
                <w:sz w:val="18"/>
              </w:rPr>
              <w:t>其他-可用性 23</w:t>
            </w:r>
          </w:p>
        </w:tc>
        <w:tc>
          <w:tcPr>
            <w:tcW w:type="dxa" w:w="4649"/>
          </w:tcPr>
          <w:p>
            <w:pPr>
              <w:spacing w:after="40"/>
            </w:pPr>
            <w:r/>
            <w:r>
              <w:rPr>
                <w:rFonts w:ascii="Times New Roman" w:hAnsi="Times New Roman" w:eastAsia="宋体"/>
                <w:b w:val="0"/>
                <w:sz w:val="18"/>
              </w:rPr>
              <w:t>数据、代码、模型可用性</w:t>
            </w:r>
          </w:p>
        </w:tc>
        <w:tc>
          <w:tcPr>
            <w:tcW w:type="dxa" w:w="1984"/>
          </w:tcPr>
          <w:p>
            <w:pPr>
              <w:spacing w:after="40"/>
            </w:pPr>
            <w:r/>
            <w:r>
              <w:rPr>
                <w:rFonts w:ascii="Times New Roman" w:hAnsi="Times New Roman" w:eastAsia="宋体"/>
                <w:b w:val="0"/>
                <w:sz w:val="18"/>
              </w:rPr>
              <w:t>已报告：声明（GitHub）</w:t>
            </w:r>
          </w:p>
        </w:tc>
      </w:tr>
      <w:tr>
        <w:tc>
          <w:tcPr>
            <w:tcW w:type="dxa" w:w="1701"/>
          </w:tcPr>
          <w:p>
            <w:pPr>
              <w:spacing w:after="40"/>
            </w:pPr>
            <w:r/>
            <w:r>
              <w:rPr>
                <w:rFonts w:ascii="Times New Roman" w:hAnsi="Times New Roman" w:eastAsia="宋体"/>
                <w:b w:val="0"/>
                <w:sz w:val="18"/>
              </w:rPr>
              <w:t>其他-作者贡献 24</w:t>
            </w:r>
          </w:p>
        </w:tc>
        <w:tc>
          <w:tcPr>
            <w:tcW w:type="dxa" w:w="4649"/>
          </w:tcPr>
          <w:p>
            <w:pPr>
              <w:spacing w:after="40"/>
            </w:pPr>
            <w:r/>
            <w:r>
              <w:rPr>
                <w:rFonts w:ascii="Times New Roman" w:hAnsi="Times New Roman" w:eastAsia="宋体"/>
                <w:b w:val="0"/>
                <w:sz w:val="18"/>
              </w:rPr>
              <w:t>作者贡献声明</w:t>
            </w:r>
          </w:p>
        </w:tc>
        <w:tc>
          <w:tcPr>
            <w:tcW w:type="dxa" w:w="1984"/>
          </w:tcPr>
          <w:p>
            <w:pPr>
              <w:spacing w:after="40"/>
            </w:pPr>
            <w:r/>
            <w:r>
              <w:rPr>
                <w:rFonts w:ascii="Times New Roman" w:hAnsi="Times New Roman" w:eastAsia="宋体"/>
                <w:b w:val="0"/>
                <w:sz w:val="18"/>
              </w:rPr>
              <w:t>已报告：声明（作者贡献）</w:t>
            </w:r>
          </w:p>
        </w:tc>
      </w:tr>
    </w:tbl>
    <w:p>
      <w:pPr>
        <w:spacing w:after="80"/>
      </w:pPr>
      <w:r>
        <w:rPr>
          <w:rFonts w:ascii="Times New Roman" w:hAnsi="Times New Roman" w:eastAsia="宋体"/>
          <w:b w:val="0"/>
          <w:sz w:val="18"/>
        </w:rPr>
        <w:t>说明：本研究评分为探索性候选基因评分（双基因 Cox），非 AI 模型；未经独立生存队列验证、无外部校准，按 TRIPOD+AI 标准属于“模型开发（探索性）”阶段，已在正文如实定位。条目 1/6/10/15/18 已按第五轮审稿要求改为“未报告/不可行”或如实限缩表述（2026-09-15）。</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