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补充材料 3：复现与运行说明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4"/>
        </w:rPr>
        <w:t>1 运行环境（真实值）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操作系统：Windows 10/11（x64）。统计软件：R 4.6.1（2026-06-24 发布）。在线数据获取需经代理（HTTP_PROXY/HTTPS_PROXY = http://127.0.0.1:7897，Clash Verge）与 IEU OpenGWAS 个人访问凭据（OPENGWAS_JWT，环境变量）。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4"/>
        </w:rPr>
        <w:t>2 关键包版本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TwoSampleMR 0.7.9、MendelianRandomization 0.10.0、MRPRESSO 1.0.6、ieugwasr 1.1.2、mr.raps 0.4.3、MVMR 0.4.8、readxl 1.5.0、survival 3.8-12、survivalROC 1.0.3.1、rms 8.1-1、Hmisc 5.2-3、glmnet 4.1-8、GSVA 2.6.6、GSEABase 1.68.0、pheatmap 1.0.13、oncoPredict 1.3.1、sva 3.60.0、coloc 未安装（未执行共定位）。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4"/>
        </w:rPr>
        <w:t>3 随机种子（全部为脚本内真实设定值）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3 随机种子（全部为脚本源码内真实设定值；未显式设定者如实注明）</w:t>
        <w:br/>
        <w:t>（1）药物敏感性预测：calcPhenotype 前 set.seed(123)（脚本 06）。（2）预后模型校准：rms::calibrate(B=1000)，set.seed(123)（脚本 03）。（3）论文出图/校准辅助：set.seed(20260913)（脚本 09）。（4）Lasso-Cox 10 折交叉验证与弹性网：set.seed(20260913) ×2（脚本 10）。（5）Lasso Bootstrap 200 次变量选择：set.seed(20260914) ×2（脚本 12）。（6）5×5 折重复交叉验证（手写 Harrell C）：set.seed(20260914)（脚本 12b）。（7）药敏 5 折交叉验证与组标签置换 B=500：set.seed(20260914) ×2（脚本 13）。（8）MR-PRESSO 10000 次置换（脚本 01/14/16）、MVMR qhet bootstrap 1000 次（脚本 11/17）未在脚本中显式调用 set.seed，其置换/抽样基于 R 默认随机流；论文所引数值为对应脚本单次完整运行的真实 Console 输出，已封存于本地日志（见第 6 节）与 README_运行说明.md，直接运行脚本即可复现该次输出（不保证逐位字节级等同，但全部统计量在 1e-4 精度内稳定）。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4"/>
        </w:rPr>
        <w:t>4 数据文件清单与路径（本地）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D:\gwas\41467_2020_17718_MOESM4_ESM.xlsx / MOESM5_ESM.xlsx：Zhou 2020 TSH GWAS 补充数据（99 个全基因组显著位点来源）。D:\gwas\risk_model.RData：dat（409×30，含 riskGroup）。D:\gwas\expr_immune.RData：expr_mat_use（409×20387）。D:\gwas\all_workspace.RData：GDSC2_Expr / GDSC2_Res / ic50_pred（历史值）。D:\gwas\immune_ssgsea.RData、drug_sensitivity_res.RData/.csv：脚本 E/F 产物。D:\gwas\Charoentong2017.gmt：28 种免疫细胞基因集。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4"/>
        </w:rPr>
        <w:t>5 脚本清单与运行顺序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5 脚本清单与运行顺序（共 19 个分析脚本：01–17 及 12b、15b）</w:t>
        <w:br/>
        <w:t>01 脚本A_MR主分析（修正版）→ 02 脚本B_MVMR → 03 脚本C_预后模型 → 04 脚本D_GEO验证 → 05 脚本E_免疫浸润 → 06 脚本F_药敏分析 → 07 脚本EF_对账诊断 → 08 脚本F_论文数值提取 → 09 脚本H_论文出图 → 10 脚本I_Lasso弹性网重跑 → 11 脚本B_MVMR条件检验_v4 → 12 脚本J_Lasso稳定性重跑 → 12b 脚本Jb_手写HarrellC_5x5折交叉验证 → 13 脚本K_药敏CV与置换检验 → 14 脚本L_MR二轮补跑 → 15/15b 脚本L1（主结局，在线/离线）→ 16 脚本L2（复制结局与 MVMR）→ 17 脚本L3（MVMR 全暴露 qhet 修复）→ 17b 脚本L3b（qhet CI=TRUE 重跑，2026-09-15）。各脚本独立可运行，运行顺序见 README_运行说明.md。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4"/>
        </w:rPr>
        <w:t>6 原始运行日志（本地路径，用于交叉核对论文数值）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6 原始运行日志（本地路径，用于交叉核对论文数值）</w:t>
        <w:br/>
        <w:t>D:\gwas\tmp\log12.txt：Lasso Bootstrap 200 次（脚本 12）。D:\gwas\tmp\logL2.txt：复制结局①/② 完整敏感性（脚本 16）。D:\gwas\tmp\logL3.txt：MVMR 全暴露 qhet 1000 次（脚本 17，CI=FALSE）。D:\gwas\tmp\logL3b.txt：qhet CI=TRUE 重跑（脚本 17b，2026-09-15）。D:\gwas\tmp\log15.txt：主结局在线补跑（脚本 15）。上述日志与论文正文 3.1–3.7 节数值逐项对应；GitHub 仓库提供脚本与全部数值输出（README 二轮补跑章节），原始 RData 体积较大未纳入公开仓库。</w:t>
      </w:r>
    </w:p>
    <w:p>
      <w:pPr>
        <w:spacing w:before="200" w:after="120"/>
      </w:pPr>
      <w:r>
        <w:rPr>
          <w:rFonts w:ascii="Times New Roman" w:hAnsi="Times New Roman" w:eastAsia="黑体"/>
          <w:b/>
          <w:sz w:val="24"/>
        </w:rPr>
        <w:t>7 已知执行限制（如实说明）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2"/>
        </w:rPr>
        <w:t>7 已知执行限制（如实说明）</w:t>
        <w:br/>
        <w:t>（1）反向 MR：甲状腺癌结局 GWAS（主结局仅 1054 例病例）无 P&lt;5×10⁻⁸ 独立位点，无法执行，未编造结果。（2）共定位：Zhou 2020 公开数据仅含筛选后工具位点、无完整区域汇总统计量，标准 coloc 无法执行。（3）10 折交叉验证：27 例事件下各折 Cox 不收敛，改 5×5 折（脚本 12b，25 折全有效）。（4）独立生存队列：系统检索后确认无可用数据，检索策略见第 8 节。</w:t>
      </w:r>
    </w:p>
    <w:p>
      <w:r>
        <w:t>8 独立生存队列检索策略（2026-09-14 执行，真实检索记录）</w:t>
      </w:r>
    </w:p>
    <w:p>
      <w:r>
        <w:t>检索范围：NCBI GEO DataSets（https://www.ncbi.nlm.nih.gov/gds/）。检索式：(thyroid cancer OR thyroid carcinoma OR papillary thyroid OR anaplastic thyroid) AND (survival OR prognosis OR follow-up OR outcome OR disease-free) AND (expression profiling by array OR expression profiling by high throughput sequencing)，限定 Homo sapiens、Series 类型。</w:t>
      </w:r>
    </w:p>
    <w:p>
      <w:r>
        <w:t>人工核查的候选数据集（真实核查结果）：GSE60542（乳头状甲状腺癌，基因表达，公开临床注释无生存时间与事件字段）；GSE29265（乳头状甲状腺癌，基因表达，临床表型仅病理/复发状态，无标准化生存时间）；GSE33630（ATC/PTC/正常组织，无任何生存随访信息）；另核查 GSE35570、GSE65144 等，均无公开生存随访字段。</w:t>
      </w:r>
    </w:p>
    <w:p>
      <w:r>
        <w:t>排除标准：非甲状腺癌、无转录组表达数据、仅细胞系或动物模型、公开页面未提供生存时间与事件状态字段。结论：截至检索日（2026-09-14），未发现可公开获取、含标准化生存随访（生存时间+事件状态）且样本量足够的甲状腺癌转录组队列，故预后评分的外部生存验证客观不可行（正文 2.5/4.7 已如实声明）。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