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补充材料 4：训练队列内部指标图与详细数值表</w:t>
      </w:r>
    </w:p>
    <w:p>
      <w:r>
        <w:rPr>
          <w:b w:val="0"/>
          <w:sz w:val="20"/>
        </w:rPr>
        <w:t>说明：按第五轮审稿意见，正文 3.4–3.7 仅保留结论性表述，以下训练队列内部区分度指标、免疫浸润与药物敏感性的完整图表与逐药/逐基因数值移入本补充材料。所有数值均为对应脚本（03/05/06/09/13 及 12b）真实 Console 输出，与正文一致。</w:t>
      </w:r>
    </w:p>
    <w:p>
      <w:pPr>
        <w:pStyle w:val="Heading2"/>
      </w:pPr>
      <w:r>
        <w:t>补充图 1–3  候选基因评分训练队列内部区分度指标（负结果相关背景）</w:t>
      </w:r>
    </w:p>
    <w:p>
      <w:r>
        <w:rPr>
          <w:b w:val="0"/>
          <w:sz w:val="20"/>
        </w:rPr>
        <w:t>以下指标均源于 TCGA-THY 训练队列（409 例、27 例事件），未经独立生存队列验证；正文 3.4 已明确该评分为样本外负结果（重复交叉验证 C-index 均值 0.334），下述内部指标不应解读为预后价值。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1  时间依赖 ROC 曲线（1/3/5 年 AUC = 0.657/0.612/0.593，KM 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2  3 年校准曲线（rms::calibrate，Bootstrap 1000 次，seed 20260913，MAE = 0.037）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3  36 个月决策曲线分析（正净获益阈值 0.01、0.02、0.04–0.08）</w:t>
      </w:r>
    </w:p>
    <w:p>
      <w:pPr>
        <w:pStyle w:val="Heading2"/>
      </w:pPr>
      <w:r>
        <w:t>补充图 4–5  免疫浸润（ssGSEA 相对富集，计算推断）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mmun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4  28 种免疫细胞 ssGSEA 相对富集热图（按 FDR 排序；红色：高风险组）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immune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5  代表性免疫细胞组间相对富集差异箱线图</w:t>
      </w:r>
    </w:p>
    <w:p>
      <w:pPr>
        <w:pStyle w:val="Heading2"/>
      </w:pPr>
      <w:r>
        <w:t>补充图 6–7  药物敏感性（GDSC2 计算预测）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65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drug_volca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6  药物敏感性火山图（红色：高风险组预测耐药 158 种；蓝色：预测敏感 18 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rug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补充图 7  代表性药物预测 IC50 组间比较箱线图</w:t>
      </w:r>
    </w:p>
    <w:p>
      <w:pPr>
        <w:pStyle w:val="Heading2"/>
      </w:pPr>
      <w:r>
        <w:t>补充表 1  免疫检查点标志物组间差异（FDR &lt; 0.05 的 9 个，共检验 15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基因</w:t>
            </w:r>
          </w:p>
        </w:tc>
        <w:tc>
          <w:tcPr>
            <w:tcW w:type="dxa" w:w="2880"/>
          </w:tcPr>
          <w:p>
            <w:r>
              <w:t>FDR（BH 校正）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</w:tr>
      <w:tr>
        <w:tc>
          <w:tcPr>
            <w:tcW w:type="dxa" w:w="2880"/>
          </w:tcPr>
          <w:p>
            <w:r>
              <w:t>CD274（PD-L1）</w:t>
            </w:r>
          </w:p>
        </w:tc>
        <w:tc>
          <w:tcPr>
            <w:tcW w:type="dxa" w:w="2880"/>
          </w:tcPr>
          <w:p>
            <w:r>
              <w:t>3.3×10⁻¹⁴</w:t>
            </w:r>
          </w:p>
        </w:tc>
        <w:tc>
          <w:tcPr>
            <w:tcW w:type="dxa" w:w="2880"/>
          </w:tcPr>
          <w:p>
            <w:r>
              <w:t>高风险组相对富集上调</w:t>
            </w:r>
          </w:p>
        </w:tc>
      </w:tr>
      <w:tr>
        <w:tc>
          <w:tcPr>
            <w:tcW w:type="dxa" w:w="2880"/>
          </w:tcPr>
          <w:p>
            <w:r>
              <w:t>PDCD1LG2（PD-L2）</w:t>
            </w:r>
          </w:p>
        </w:tc>
        <w:tc>
          <w:tcPr>
            <w:tcW w:type="dxa" w:w="2880"/>
          </w:tcPr>
          <w:p>
            <w:r>
              <w:t>2.8×10⁻⁹</w:t>
            </w:r>
          </w:p>
        </w:tc>
        <w:tc>
          <w:tcPr>
            <w:tcW w:type="dxa" w:w="2880"/>
          </w:tcPr>
          <w:p>
            <w:r>
              <w:t>高风险组上调</w:t>
            </w:r>
          </w:p>
        </w:tc>
      </w:tr>
      <w:tr>
        <w:tc>
          <w:tcPr>
            <w:tcW w:type="dxa" w:w="2880"/>
          </w:tcPr>
          <w:p>
            <w:r>
              <w:t>SIGLEC15</w:t>
            </w:r>
          </w:p>
        </w:tc>
        <w:tc>
          <w:tcPr>
            <w:tcW w:type="dxa" w:w="2880"/>
          </w:tcPr>
          <w:p>
            <w:r>
              <w:t>4.1×10⁻¹¹</w:t>
            </w:r>
          </w:p>
        </w:tc>
        <w:tc>
          <w:tcPr>
            <w:tcW w:type="dxa" w:w="2880"/>
          </w:tcPr>
          <w:p>
            <w:r>
              <w:t>高风险组上调</w:t>
            </w:r>
          </w:p>
        </w:tc>
      </w:tr>
      <w:tr>
        <w:tc>
          <w:tcPr>
            <w:tcW w:type="dxa" w:w="2880"/>
          </w:tcPr>
          <w:p>
            <w:r>
              <w:t>CD80</w:t>
            </w:r>
          </w:p>
        </w:tc>
        <w:tc>
          <w:tcPr>
            <w:tcW w:type="dxa" w:w="2880"/>
          </w:tcPr>
          <w:p>
            <w:r>
              <w:t>4.1×10⁻¹¹</w:t>
            </w:r>
          </w:p>
        </w:tc>
        <w:tc>
          <w:tcPr>
            <w:tcW w:type="dxa" w:w="2880"/>
          </w:tcPr>
          <w:p>
            <w:r>
              <w:t>高风险组上调</w:t>
            </w:r>
          </w:p>
        </w:tc>
      </w:tr>
      <w:tr>
        <w:tc>
          <w:tcPr>
            <w:tcW w:type="dxa" w:w="2880"/>
          </w:tcPr>
          <w:p>
            <w:r>
              <w:t>TNFRSF9</w:t>
            </w:r>
          </w:p>
        </w:tc>
        <w:tc>
          <w:tcPr>
            <w:tcW w:type="dxa" w:w="2880"/>
          </w:tcPr>
          <w:p>
            <w:r>
              <w:t>1.0×10⁻⁷</w:t>
            </w:r>
          </w:p>
        </w:tc>
        <w:tc>
          <w:tcPr>
            <w:tcW w:type="dxa" w:w="2880"/>
          </w:tcPr>
          <w:p>
            <w:r>
              <w:t>高风险组上调</w:t>
            </w:r>
          </w:p>
        </w:tc>
      </w:tr>
      <w:tr>
        <w:tc>
          <w:tcPr>
            <w:tcW w:type="dxa" w:w="2880"/>
          </w:tcPr>
          <w:p>
            <w:r>
              <w:t>CTLA4</w:t>
            </w:r>
          </w:p>
        </w:tc>
        <w:tc>
          <w:tcPr>
            <w:tcW w:type="dxa" w:w="2880"/>
          </w:tcPr>
          <w:p>
            <w:r>
              <w:t>1.9×10⁻⁷</w:t>
            </w:r>
          </w:p>
        </w:tc>
        <w:tc>
          <w:tcPr>
            <w:tcW w:type="dxa" w:w="2880"/>
          </w:tcPr>
          <w:p>
            <w:r>
              <w:t>高风险组相对富集上调</w:t>
            </w:r>
          </w:p>
        </w:tc>
      </w:tr>
      <w:tr>
        <w:tc>
          <w:tcPr>
            <w:tcW w:type="dxa" w:w="2880"/>
          </w:tcPr>
          <w:p>
            <w:r>
              <w:t>TIGIT</w:t>
            </w:r>
          </w:p>
        </w:tc>
        <w:tc>
          <w:tcPr>
            <w:tcW w:type="dxa" w:w="2880"/>
          </w:tcPr>
          <w:p>
            <w:r>
              <w:t>2.9×10⁻⁷</w:t>
            </w:r>
          </w:p>
        </w:tc>
        <w:tc>
          <w:tcPr>
            <w:tcW w:type="dxa" w:w="2880"/>
          </w:tcPr>
          <w:p>
            <w:r>
              <w:t>高风险组上调</w:t>
            </w:r>
          </w:p>
        </w:tc>
      </w:tr>
      <w:tr>
        <w:tc>
          <w:tcPr>
            <w:tcW w:type="dxa" w:w="2880"/>
          </w:tcPr>
          <w:p>
            <w:r>
              <w:t>CD86</w:t>
            </w:r>
          </w:p>
        </w:tc>
        <w:tc>
          <w:tcPr>
            <w:tcW w:type="dxa" w:w="2880"/>
          </w:tcPr>
          <w:p>
            <w:r>
              <w:t>3.7×10⁻⁷</w:t>
            </w:r>
          </w:p>
        </w:tc>
        <w:tc>
          <w:tcPr>
            <w:tcW w:type="dxa" w:w="2880"/>
          </w:tcPr>
          <w:p>
            <w:r>
              <w:t>高风险组上调</w:t>
            </w:r>
          </w:p>
        </w:tc>
      </w:tr>
      <w:tr>
        <w:tc>
          <w:tcPr>
            <w:tcW w:type="dxa" w:w="2880"/>
          </w:tcPr>
          <w:p>
            <w:r>
              <w:t>HAVCR2（TIM-3）</w:t>
            </w:r>
          </w:p>
        </w:tc>
        <w:tc>
          <w:tcPr>
            <w:tcW w:type="dxa" w:w="2880"/>
          </w:tcPr>
          <w:p>
            <w:r>
              <w:t>1.9×10⁻⁶</w:t>
            </w:r>
          </w:p>
        </w:tc>
        <w:tc>
          <w:tcPr>
            <w:tcW w:type="dxa" w:w="2880"/>
          </w:tcPr>
          <w:p>
            <w:r>
              <w:t>高风险组相对富集上调</w:t>
            </w:r>
          </w:p>
        </w:tc>
      </w:tr>
    </w:tbl>
    <w:p>
      <w:pPr>
        <w:pStyle w:val="Heading2"/>
      </w:pPr>
      <w:r>
        <w:t>补充表 2  论文 3.7/4.5 涉及的代表药物预测 IC50 组间比较（真实输出）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药物（GDSC 列名）</w:t>
            </w:r>
          </w:p>
        </w:tc>
        <w:tc>
          <w:tcPr>
            <w:tcW w:type="dxa" w:w="1440"/>
          </w:tcPr>
          <w:p>
            <w:r>
              <w:t>mean_High</w:t>
            </w:r>
          </w:p>
        </w:tc>
        <w:tc>
          <w:tcPr>
            <w:tcW w:type="dxa" w:w="1440"/>
          </w:tcPr>
          <w:p>
            <w:r>
              <w:t>mean_Low</w:t>
            </w:r>
          </w:p>
        </w:tc>
        <w:tc>
          <w:tcPr>
            <w:tcW w:type="dxa" w:w="1440"/>
          </w:tcPr>
          <w:p>
            <w:r>
              <w:t>Δ（High−Low）</w:t>
            </w:r>
          </w:p>
        </w:tc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FDR</w:t>
            </w:r>
          </w:p>
        </w:tc>
      </w:tr>
      <w:tr>
        <w:tc>
          <w:tcPr>
            <w:tcW w:type="dxa" w:w="1440"/>
          </w:tcPr>
          <w:p>
            <w:r>
              <w:t>Sorafenib_1085</w:t>
            </w:r>
          </w:p>
        </w:tc>
        <w:tc>
          <w:tcPr>
            <w:tcW w:type="dxa" w:w="1440"/>
          </w:tcPr>
          <w:p>
            <w:r>
              <w:t>18.9287</w:t>
            </w:r>
          </w:p>
        </w:tc>
        <w:tc>
          <w:tcPr>
            <w:tcW w:type="dxa" w:w="1440"/>
          </w:tcPr>
          <w:p>
            <w:r>
              <w:t>11.8609</w:t>
            </w:r>
          </w:p>
        </w:tc>
        <w:tc>
          <w:tcPr>
            <w:tcW w:type="dxa" w:w="1440"/>
          </w:tcPr>
          <w:p>
            <w:r>
              <w:t>7.0678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Nilotinib_1013</w:t>
            </w:r>
          </w:p>
        </w:tc>
        <w:tc>
          <w:tcPr>
            <w:tcW w:type="dxa" w:w="1440"/>
          </w:tcPr>
          <w:p>
            <w:r>
              <w:t>53.6316</w:t>
            </w:r>
          </w:p>
        </w:tc>
        <w:tc>
          <w:tcPr>
            <w:tcW w:type="dxa" w:w="1440"/>
          </w:tcPr>
          <w:p>
            <w:r>
              <w:t>30.3313</w:t>
            </w:r>
          </w:p>
        </w:tc>
        <w:tc>
          <w:tcPr>
            <w:tcW w:type="dxa" w:w="1440"/>
          </w:tcPr>
          <w:p>
            <w:r>
              <w:t>23.3002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5-Fluorouracil_1073</w:t>
            </w:r>
          </w:p>
        </w:tc>
        <w:tc>
          <w:tcPr>
            <w:tcW w:type="dxa" w:w="1440"/>
          </w:tcPr>
          <w:p>
            <w:r>
              <w:t>181.0971</w:t>
            </w:r>
          </w:p>
        </w:tc>
        <w:tc>
          <w:tcPr>
            <w:tcW w:type="dxa" w:w="1440"/>
          </w:tcPr>
          <w:p>
            <w:r>
              <w:t>113.2046</w:t>
            </w:r>
          </w:p>
        </w:tc>
        <w:tc>
          <w:tcPr>
            <w:tcW w:type="dxa" w:w="1440"/>
          </w:tcPr>
          <w:p>
            <w:r>
              <w:t>67.8926</w:t>
            </w:r>
          </w:p>
        </w:tc>
        <w:tc>
          <w:tcPr>
            <w:tcW w:type="dxa" w:w="1440"/>
          </w:tcPr>
          <w:p>
            <w:r>
              <w:t>7.07×10⁻¹²</w:t>
            </w:r>
          </w:p>
        </w:tc>
        <w:tc>
          <w:tcPr>
            <w:tcW w:type="dxa" w:w="1440"/>
          </w:tcPr>
          <w:p>
            <w:r>
              <w:t>1.65×10⁻¹¹</w:t>
            </w:r>
          </w:p>
        </w:tc>
      </w:tr>
      <w:tr>
        <w:tc>
          <w:tcPr>
            <w:tcW w:type="dxa" w:w="1440"/>
          </w:tcPr>
          <w:p>
            <w:r>
              <w:t>Paclitaxel_1080</w:t>
            </w:r>
          </w:p>
        </w:tc>
        <w:tc>
          <w:tcPr>
            <w:tcW w:type="dxa" w:w="1440"/>
          </w:tcPr>
          <w:p>
            <w:r>
              <w:t>0.0845</w:t>
            </w:r>
          </w:p>
        </w:tc>
        <w:tc>
          <w:tcPr>
            <w:tcW w:type="dxa" w:w="1440"/>
          </w:tcPr>
          <w:p>
            <w:r>
              <w:t>0.0585</w:t>
            </w:r>
          </w:p>
        </w:tc>
        <w:tc>
          <w:tcPr>
            <w:tcW w:type="dxa" w:w="1440"/>
          </w:tcPr>
          <w:p>
            <w:r>
              <w:t>0.0260</w:t>
            </w:r>
          </w:p>
        </w:tc>
        <w:tc>
          <w:tcPr>
            <w:tcW w:type="dxa" w:w="1440"/>
          </w:tcPr>
          <w:p>
            <w:r>
              <w:t>3.95×10⁻¹²</w:t>
            </w:r>
          </w:p>
        </w:tc>
        <w:tc>
          <w:tcPr>
            <w:tcW w:type="dxa" w:w="1440"/>
          </w:tcPr>
          <w:p>
            <w:r>
              <w:t>9.54×10⁻¹²</w:t>
            </w:r>
          </w:p>
        </w:tc>
      </w:tr>
      <w:tr>
        <w:tc>
          <w:tcPr>
            <w:tcW w:type="dxa" w:w="1440"/>
          </w:tcPr>
          <w:p>
            <w:r>
              <w:t>Daporinad_1248</w:t>
            </w:r>
          </w:p>
        </w:tc>
        <w:tc>
          <w:tcPr>
            <w:tcW w:type="dxa" w:w="1440"/>
          </w:tcPr>
          <w:p>
            <w:r>
              <w:t>0.0163</w:t>
            </w:r>
          </w:p>
        </w:tc>
        <w:tc>
          <w:tcPr>
            <w:tcW w:type="dxa" w:w="1440"/>
          </w:tcPr>
          <w:p>
            <w:r>
              <w:t>0.0118</w:t>
            </w:r>
          </w:p>
        </w:tc>
        <w:tc>
          <w:tcPr>
            <w:tcW w:type="dxa" w:w="1440"/>
          </w:tcPr>
          <w:p>
            <w:r>
              <w:t>0.0045</w:t>
            </w:r>
          </w:p>
        </w:tc>
        <w:tc>
          <w:tcPr>
            <w:tcW w:type="dxa" w:w="1440"/>
          </w:tcPr>
          <w:p>
            <w:r>
              <w:t>2.45×10⁻¹¹</w:t>
            </w:r>
          </w:p>
        </w:tc>
        <w:tc>
          <w:tcPr>
            <w:tcW w:type="dxa" w:w="1440"/>
          </w:tcPr>
          <w:p>
            <w:r>
              <w:t>5.45×10⁻¹¹</w:t>
            </w:r>
          </w:p>
        </w:tc>
      </w:tr>
      <w:tr>
        <w:tc>
          <w:tcPr>
            <w:tcW w:type="dxa" w:w="1440"/>
          </w:tcPr>
          <w:p>
            <w:r>
              <w:t>GSK591_2110</w:t>
            </w:r>
          </w:p>
        </w:tc>
        <w:tc>
          <w:tcPr>
            <w:tcW w:type="dxa" w:w="1440"/>
          </w:tcPr>
          <w:p>
            <w:r>
              <w:t>115.5300</w:t>
            </w:r>
          </w:p>
        </w:tc>
        <w:tc>
          <w:tcPr>
            <w:tcW w:type="dxa" w:w="1440"/>
          </w:tcPr>
          <w:p>
            <w:r>
              <w:t>88.3285</w:t>
            </w:r>
          </w:p>
        </w:tc>
        <w:tc>
          <w:tcPr>
            <w:tcW w:type="dxa" w:w="1440"/>
          </w:tcPr>
          <w:p>
            <w:r>
              <w:t>27.2015</w:t>
            </w:r>
          </w:p>
        </w:tc>
        <w:tc>
          <w:tcPr>
            <w:tcW w:type="dxa" w:w="1440"/>
          </w:tcPr>
          <w:p>
            <w:r>
              <w:t>2.22×10⁻¹⁶</w:t>
            </w:r>
          </w:p>
        </w:tc>
        <w:tc>
          <w:tcPr>
            <w:tcW w:type="dxa" w:w="1440"/>
          </w:tcPr>
          <w:p>
            <w:r>
              <w:t>8.79×10⁻¹⁶</w:t>
            </w:r>
          </w:p>
        </w:tc>
      </w:tr>
      <w:tr>
        <w:tc>
          <w:tcPr>
            <w:tcW w:type="dxa" w:w="1440"/>
          </w:tcPr>
          <w:p>
            <w:r>
              <w:t>VE821_2111</w:t>
            </w:r>
          </w:p>
        </w:tc>
        <w:tc>
          <w:tcPr>
            <w:tcW w:type="dxa" w:w="1440"/>
          </w:tcPr>
          <w:p>
            <w:r>
              <w:t>80.8098</w:t>
            </w:r>
          </w:p>
        </w:tc>
        <w:tc>
          <w:tcPr>
            <w:tcW w:type="dxa" w:w="1440"/>
          </w:tcPr>
          <w:p>
            <w:r>
              <w:t>55.2006</w:t>
            </w:r>
          </w:p>
        </w:tc>
        <w:tc>
          <w:tcPr>
            <w:tcW w:type="dxa" w:w="1440"/>
          </w:tcPr>
          <w:p>
            <w:r>
              <w:t>25.6092</w:t>
            </w:r>
          </w:p>
        </w:tc>
        <w:tc>
          <w:tcPr>
            <w:tcW w:type="dxa" w:w="1440"/>
          </w:tcPr>
          <w:p>
            <w:r>
              <w:t>8.88×10⁻¹⁶</w:t>
            </w:r>
          </w:p>
        </w:tc>
        <w:tc>
          <w:tcPr>
            <w:tcW w:type="dxa" w:w="1440"/>
          </w:tcPr>
          <w:p>
            <w:r>
              <w:t>3.26×10⁻¹⁵</w:t>
            </w:r>
          </w:p>
        </w:tc>
      </w:tr>
      <w:tr>
        <w:tc>
          <w:tcPr>
            <w:tcW w:type="dxa" w:w="1440"/>
          </w:tcPr>
          <w:p>
            <w:r>
              <w:t>Cytarabine_1006</w:t>
            </w:r>
          </w:p>
        </w:tc>
        <w:tc>
          <w:tcPr>
            <w:tcW w:type="dxa" w:w="1440"/>
          </w:tcPr>
          <w:p>
            <w:r>
              <w:t>7.8192</w:t>
            </w:r>
          </w:p>
        </w:tc>
        <w:tc>
          <w:tcPr>
            <w:tcW w:type="dxa" w:w="1440"/>
          </w:tcPr>
          <w:p>
            <w:r>
              <w:t>5.7091</w:t>
            </w:r>
          </w:p>
        </w:tc>
        <w:tc>
          <w:tcPr>
            <w:tcW w:type="dxa" w:w="1440"/>
          </w:tcPr>
          <w:p>
            <w:r>
              <w:t>2.1101</w:t>
            </w:r>
          </w:p>
        </w:tc>
        <w:tc>
          <w:tcPr>
            <w:tcW w:type="dxa" w:w="1440"/>
          </w:tcPr>
          <w:p>
            <w:r>
              <w:t>1.15×10⁻⁸</w:t>
            </w:r>
          </w:p>
        </w:tc>
        <w:tc>
          <w:tcPr>
            <w:tcW w:type="dxa" w:w="1440"/>
          </w:tcPr>
          <w:p>
            <w:r>
              <w:t>2.04×10⁻⁸</w:t>
            </w:r>
          </w:p>
        </w:tc>
      </w:tr>
      <w:tr>
        <w:tc>
          <w:tcPr>
            <w:tcW w:type="dxa" w:w="1440"/>
          </w:tcPr>
          <w:p>
            <w:r>
              <w:t>Docetaxel_1007</w:t>
            </w:r>
          </w:p>
        </w:tc>
        <w:tc>
          <w:tcPr>
            <w:tcW w:type="dxa" w:w="1440"/>
          </w:tcPr>
          <w:p>
            <w:r>
              <w:t>0.0127</w:t>
            </w:r>
          </w:p>
        </w:tc>
        <w:tc>
          <w:tcPr>
            <w:tcW w:type="dxa" w:w="1440"/>
          </w:tcPr>
          <w:p>
            <w:r>
              <w:t>0.0102</w:t>
            </w:r>
          </w:p>
        </w:tc>
        <w:tc>
          <w:tcPr>
            <w:tcW w:type="dxa" w:w="1440"/>
          </w:tcPr>
          <w:p>
            <w:r>
              <w:t>0.0025</w:t>
            </w:r>
          </w:p>
        </w:tc>
        <w:tc>
          <w:tcPr>
            <w:tcW w:type="dxa" w:w="1440"/>
          </w:tcPr>
          <w:p>
            <w:r>
              <w:t>3.83×10⁻⁸</w:t>
            </w:r>
          </w:p>
        </w:tc>
        <w:tc>
          <w:tcPr>
            <w:tcW w:type="dxa" w:w="1440"/>
          </w:tcPr>
          <w:p>
            <w:r>
              <w:t>6.43×10⁻⁸</w:t>
            </w:r>
          </w:p>
        </w:tc>
      </w:tr>
      <w:tr>
        <w:tc>
          <w:tcPr>
            <w:tcW w:type="dxa" w:w="1440"/>
          </w:tcPr>
          <w:p>
            <w:r>
              <w:t>Camptothecin_1003</w:t>
            </w:r>
          </w:p>
        </w:tc>
        <w:tc>
          <w:tcPr>
            <w:tcW w:type="dxa" w:w="1440"/>
          </w:tcPr>
          <w:p>
            <w:r>
              <w:t>0.1220</w:t>
            </w:r>
          </w:p>
        </w:tc>
        <w:tc>
          <w:tcPr>
            <w:tcW w:type="dxa" w:w="1440"/>
          </w:tcPr>
          <w:p>
            <w:r>
              <w:t>0.1029</w:t>
            </w:r>
          </w:p>
        </w:tc>
        <w:tc>
          <w:tcPr>
            <w:tcW w:type="dxa" w:w="1440"/>
          </w:tcPr>
          <w:p>
            <w:r>
              <w:t>0.0190</w:t>
            </w:r>
          </w:p>
        </w:tc>
        <w:tc>
          <w:tcPr>
            <w:tcW w:type="dxa" w:w="1440"/>
          </w:tcPr>
          <w:p>
            <w:r>
              <w:t>2.01×10⁻⁴</w:t>
            </w:r>
          </w:p>
        </w:tc>
        <w:tc>
          <w:tcPr>
            <w:tcW w:type="dxa" w:w="1440"/>
          </w:tcPr>
          <w:p>
            <w:r>
              <w:t>2.61×10⁻⁴</w:t>
            </w:r>
          </w:p>
        </w:tc>
      </w:tr>
      <w:tr>
        <w:tc>
          <w:tcPr>
            <w:tcW w:type="dxa" w:w="1440"/>
          </w:tcPr>
          <w:p>
            <w:r>
              <w:t>YK-4-279_1239</w:t>
            </w:r>
          </w:p>
        </w:tc>
        <w:tc>
          <w:tcPr>
            <w:tcW w:type="dxa" w:w="1440"/>
          </w:tcPr>
          <w:p>
            <w:r>
              <w:t>11.5547</w:t>
            </w:r>
          </w:p>
        </w:tc>
        <w:tc>
          <w:tcPr>
            <w:tcW w:type="dxa" w:w="1440"/>
          </w:tcPr>
          <w:p>
            <w:r>
              <w:t>9.5630</w:t>
            </w:r>
          </w:p>
        </w:tc>
        <w:tc>
          <w:tcPr>
            <w:tcW w:type="dxa" w:w="1440"/>
          </w:tcPr>
          <w:p>
            <w:r>
              <w:t>1.9917</w:t>
            </w:r>
          </w:p>
        </w:tc>
        <w:tc>
          <w:tcPr>
            <w:tcW w:type="dxa" w:w="1440"/>
          </w:tcPr>
          <w:p>
            <w:r>
              <w:t>6.35×10⁻⁵</w:t>
            </w:r>
          </w:p>
        </w:tc>
        <w:tc>
          <w:tcPr>
            <w:tcW w:type="dxa" w:w="1440"/>
          </w:tcPr>
          <w:p>
            <w:r>
              <w:t>8.50×10⁻⁵</w:t>
            </w:r>
          </w:p>
        </w:tc>
      </w:tr>
      <w:tr>
        <w:tc>
          <w:tcPr>
            <w:tcW w:type="dxa" w:w="1440"/>
          </w:tcPr>
          <w:p>
            <w:r>
              <w:t>Cisplatin_1005</w:t>
            </w:r>
          </w:p>
        </w:tc>
        <w:tc>
          <w:tcPr>
            <w:tcW w:type="dxa" w:w="1440"/>
          </w:tcPr>
          <w:p>
            <w:r>
              <w:t>33.7735</w:t>
            </w:r>
          </w:p>
        </w:tc>
        <w:tc>
          <w:tcPr>
            <w:tcW w:type="dxa" w:w="1440"/>
          </w:tcPr>
          <w:p>
            <w:r>
              <w:t>29.3270</w:t>
            </w:r>
          </w:p>
        </w:tc>
        <w:tc>
          <w:tcPr>
            <w:tcW w:type="dxa" w:w="1440"/>
          </w:tcPr>
          <w:p>
            <w:r>
              <w:t>4.4465</w:t>
            </w:r>
          </w:p>
        </w:tc>
        <w:tc>
          <w:tcPr>
            <w:tcW w:type="dxa" w:w="1440"/>
          </w:tcPr>
          <w:p>
            <w:r>
              <w:t>7.36×10⁻³</w:t>
            </w:r>
          </w:p>
        </w:tc>
        <w:tc>
          <w:tcPr>
            <w:tcW w:type="dxa" w:w="1440"/>
          </w:tcPr>
          <w:p>
            <w:r>
              <w:t>8.58×10⁻³</w:t>
            </w:r>
          </w:p>
        </w:tc>
      </w:tr>
      <w:tr>
        <w:tc>
          <w:tcPr>
            <w:tcW w:type="dxa" w:w="1440"/>
          </w:tcPr>
          <w:p>
            <w:r>
              <w:t>Vinblastine_1004</w:t>
            </w:r>
          </w:p>
        </w:tc>
        <w:tc>
          <w:tcPr>
            <w:tcW w:type="dxa" w:w="1440"/>
          </w:tcPr>
          <w:p>
            <w:r>
              <w:t>0.0305</w:t>
            </w:r>
          </w:p>
        </w:tc>
        <w:tc>
          <w:tcPr>
            <w:tcW w:type="dxa" w:w="1440"/>
          </w:tcPr>
          <w:p>
            <w:r>
              <w:t>0.0231</w:t>
            </w:r>
          </w:p>
        </w:tc>
        <w:tc>
          <w:tcPr>
            <w:tcW w:type="dxa" w:w="1440"/>
          </w:tcPr>
          <w:p>
            <w:r>
              <w:t>0.0074</w:t>
            </w:r>
          </w:p>
        </w:tc>
        <w:tc>
          <w:tcPr>
            <w:tcW w:type="dxa" w:w="1440"/>
          </w:tcPr>
          <w:p>
            <w:r>
              <w:t>4.62×10⁻⁶</w:t>
            </w:r>
          </w:p>
        </w:tc>
        <w:tc>
          <w:tcPr>
            <w:tcW w:type="dxa" w:w="1440"/>
          </w:tcPr>
          <w:p>
            <w:r>
              <w:t>6.67×10⁻⁶</w:t>
            </w:r>
          </w:p>
        </w:tc>
      </w:tr>
      <w:tr>
        <w:tc>
          <w:tcPr>
            <w:tcW w:type="dxa" w:w="1440"/>
          </w:tcPr>
          <w:p>
            <w:r>
              <w:t>KU-55933_1030</w:t>
            </w:r>
          </w:p>
        </w:tc>
        <w:tc>
          <w:tcPr>
            <w:tcW w:type="dxa" w:w="1440"/>
          </w:tcPr>
          <w:p>
            <w:r>
              <w:t>88.9053</w:t>
            </w:r>
          </w:p>
        </w:tc>
        <w:tc>
          <w:tcPr>
            <w:tcW w:type="dxa" w:w="1440"/>
          </w:tcPr>
          <w:p>
            <w:r>
              <w:t>90.5195</w:t>
            </w:r>
          </w:p>
        </w:tc>
        <w:tc>
          <w:tcPr>
            <w:tcW w:type="dxa" w:w="1440"/>
          </w:tcPr>
          <w:p>
            <w:r>
              <w:t>−1.6142</w:t>
            </w:r>
          </w:p>
        </w:tc>
        <w:tc>
          <w:tcPr>
            <w:tcW w:type="dxa" w:w="1440"/>
          </w:tcPr>
          <w:p>
            <w:r>
              <w:t>3.62×10⁻³</w:t>
            </w:r>
          </w:p>
        </w:tc>
        <w:tc>
          <w:tcPr>
            <w:tcW w:type="dxa" w:w="1440"/>
          </w:tcPr>
          <w:p>
            <w:r>
              <w:t>4.32×10⁻³</w:t>
            </w:r>
          </w:p>
        </w:tc>
      </w:tr>
      <w:tr>
        <w:tc>
          <w:tcPr>
            <w:tcW w:type="dxa" w:w="1440"/>
          </w:tcPr>
          <w:p>
            <w:r>
              <w:t>Docetaxel_1819（同一药物另一 GDSC 记录）</w:t>
            </w:r>
          </w:p>
        </w:tc>
        <w:tc>
          <w:tcPr>
            <w:tcW w:type="dxa" w:w="1440"/>
          </w:tcPr>
          <w:p>
            <w:r>
              <w:t>0.1241</w:t>
            </w:r>
          </w:p>
        </w:tc>
        <w:tc>
          <w:tcPr>
            <w:tcW w:type="dxa" w:w="1440"/>
          </w:tcPr>
          <w:p>
            <w:r>
              <w:t>0.1321</w:t>
            </w:r>
          </w:p>
        </w:tc>
        <w:tc>
          <w:tcPr>
            <w:tcW w:type="dxa" w:w="1440"/>
          </w:tcPr>
          <w:p>
            <w:r>
              <w:t>−0.0080</w:t>
            </w:r>
          </w:p>
        </w:tc>
        <w:tc>
          <w:tcPr>
            <w:tcW w:type="dxa" w:w="1440"/>
          </w:tcPr>
          <w:p>
            <w:r>
              <w:t>5.67×10⁻²</w:t>
            </w:r>
          </w:p>
        </w:tc>
        <w:tc>
          <w:tcPr>
            <w:tcW w:type="dxa" w:w="1440"/>
          </w:tcPr>
          <w:p>
            <w:r>
              <w:t>6.28×10⁻²（NS）</w:t>
            </w:r>
          </w:p>
        </w:tc>
      </w:tr>
    </w:tbl>
    <w:p>
      <w:r>
        <w:rPr>
          <w:b w:val="0"/>
          <w:sz w:val="19"/>
        </w:rPr>
        <w:t>注：Δ &lt; 0 表示高风险组预测 IC50 更低（更敏感），如 KU-55933、Docetaxel_1819；其余 Δ &gt; 0 表示高风险组预测 IC50 更高（更耐药）。全部数值来自脚本 08 的真实 Console 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