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/>
      </w:pPr>
      <w:r>
        <w:rPr>
          <w:rFonts w:ascii="Times New Roman" w:hAnsi="Times New Roman" w:eastAsia="黑体"/>
          <w:b/>
          <w:sz w:val="24"/>
        </w:rPr>
        <w:t>补充材料 1  STROBE-MR 检查表（Strengthening the Reporting of Observational Studies in Epidemiology Using Mendelian Randomization）</w:t>
      </w:r>
    </w:p>
    <w:p>
      <w:pPr>
        <w:spacing w:after="80"/>
      </w:pPr>
      <w:r>
        <w:rPr>
          <w:rFonts w:ascii="Times New Roman" w:hAnsi="Times New Roman" w:eastAsia="宋体"/>
          <w:b w:val="0"/>
          <w:sz w:val="19"/>
        </w:rPr>
        <w:t>稿件：遗传预测的血清促甲状腺激素水平与甲状腺癌风险：孟德尔随机化、候选基因预后评分与肿瘤微环境的探索性整合分析（王沛，新疆医科大学第一附属医院）。以下按 STROBE-MR 清单逐项核对（引用自 Skrivankova VW, et al. JAMA. 2021;326(16):1614-1621）。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条目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检查项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本文情况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标题 1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标题应明确说明使用了 MR 设计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已报告：标题含“孟德尔随机化”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摘要 2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结构化摘要：背景、方法、结果、结论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已报告：结构式摘要含背景/方法/结果/结论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引言-背景 3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解释科学背景与依据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已报告：1 引言 TSH 与甲状腺癌争议、既往 MR 相反报告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引言-目标 4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明确研究目标（含先验假设）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已报告：探索 TSH-甲状腺癌因果关联及其转化证据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方法-研究设计 5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 MR 设计类型（单/两样本等）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已报告：2.2 两样本 MR；2.3 MVMR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方法-数据来源 6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各暴露/结局/协变量 GWAS 的来源、人群、样本量、协变量校正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已报告：2.1 数据来源（含 ID、人群、样本量）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方法-遗传变异选择 7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SNP 选择流程（显著性阈值、LD 筛选）、数量、工具强度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已报告：2.2（P&lt;5×10⁻⁸、r²&lt;0.001、10000 kb、F 统计量；99→70→69 SNP）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方法-假设 8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MR 三大假设的论证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已报告：以 F 统计量（相关性）、多效性/异质性检验（排他性）、Steiger 方向性检验（因果方向）评估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方法-统计方法 9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主分析与敏感性分析方法细节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已报告：2.2（IVW 随机效应主分析；Egger/加权中位数/众数；Q/I²/tau²；PRESSO 校正；MR-RAPS；留一法；复制结局）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方法-异质性/多效性 10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异质性（Q、I²）与水平多效性（Egger 截距、PRESSO）检验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已报告：3.1/3.2 含 Q、I²、Egger 截距、PRESSO 全局/失真检验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方法-软件 11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统计软件与包版本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已报告：2.8 与声明（R 4.6.1 及包版本）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结果-描述性数据 12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工具 SNP 数量、F 统计量、表型方差解释率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已报告：3.1（F 最小 30.01、中位 70.41；方差解释 9.3%）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结果-主结果 13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主分析因果估计（效应量、CI、P）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已报告：3.2（IVW OR=0.487，95% CI 0.335–0.709）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结果-其他分析 14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复制结局、MVMR、敏感性分析结果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已报告：3.2/3.3（双复制结局、PRESSO 校正、RAPS、Steiger、MVMR）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讨论-关键结果 15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结合研究问题解读关键结果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已报告：4.1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讨论-局限 16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异质性、多效性、弱工具、样本重叠、外推性等局限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已报告：4.7（14 条局限，含反向 MR/共定位未执行）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讨论-解释 17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谨慎解读，避免过度因果断言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已报告：结论与 4.2 明确探索性、假设生成定位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讨论-普适性 18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结果可推广性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已报告：4.7(3) 欧洲人群限制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其他-资金/利益冲突 19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资金来源与利益冲突声明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已报告：声明部分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其他-数据与代码可用性 20</w:t>
            </w:r>
          </w:p>
        </w:tc>
        <w:tc>
          <w:tcPr>
            <w:tcW w:type="dxa" w:w="4649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数据来源与代码可获取性</w:t>
            </w:r>
          </w:p>
        </w:tc>
        <w:tc>
          <w:tcPr>
            <w:tcW w:type="dxa" w:w="1984"/>
          </w:tcPr>
          <w:p>
            <w:pPr>
              <w:spacing w:after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已报告：声明（OpenGWAS/GitHub 链接）</w:t>
            </w:r>
          </w:p>
        </w:tc>
      </w:tr>
    </w:tbl>
    <w:p>
      <w:pPr>
        <w:spacing w:after="80"/>
      </w:pPr>
      <w:r>
        <w:rPr>
          <w:rFonts w:ascii="Times New Roman" w:hAnsi="Times New Roman" w:eastAsia="宋体"/>
          <w:b w:val="0"/>
          <w:sz w:val="18"/>
        </w:rPr>
        <w:t>说明：反向 MR、共定位/eQTL-MR 因数据不可得未执行，已在 4.7(12) 如实说明；样本重叠未量化评估，已在 4.7(13) 说明。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