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rFonts w:ascii="Times New Roman" w:hAnsi="Times New Roman" w:eastAsia="黑体"/>
          <w:b/>
          <w:sz w:val="24"/>
        </w:rPr>
        <w:t>补充材料 2  TRIPOD+AI 检查表（Transparent Reporting of a multivariable prediction model for Individual Prognosis Or Diagnosis + AI）</w:t>
      </w:r>
    </w:p>
    <w:p>
      <w:pPr>
        <w:spacing w:after="80"/>
      </w:pPr>
      <w:r>
        <w:rPr>
          <w:rFonts w:ascii="Times New Roman" w:hAnsi="Times New Roman" w:eastAsia="宋体"/>
          <w:b w:val="0"/>
          <w:sz w:val="19"/>
        </w:rPr>
        <w:t>稿件：同上。以下按 TRIPOD+AI 清单（Collins GS, et al. BMJ. 2024;385:e078378）核对。本研究评分为探索性候选基因预后评分（双基因 Cox），非 AI 模型。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条目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检查项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本文情况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标题 1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说明为预测模型研究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部分报告：标题含“候选基因预后评分”，定位为探索性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摘要 2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结构化摘要含目标、方法、结果、结论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已报告：结构式摘要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引言-背景 3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临床背景与预测问题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已报告：1 引言与 2.4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引言-目标 4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明确模型开发/验证目标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已报告：2.4 探索性评分构建与病理梯度验证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方法-数据来源 5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数据来源、参与者选择、时间范围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已报告：2.1/2.4（TCGA-THY 409 例）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方法-参与者 6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纳入/排除标准、缺失数据机制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部分报告：TCGA-THY 全队列 409 例；缺失表达经中位数填补（Lasso 重跑）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方法-结局 7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结局定义与判定时间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已报告：无复发生存（DFS），事件数 27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方法-预测因子 8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预测因子（GNG7/NFIA 表达）定义与测量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已报告：2.4（TPM→log2）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方法-样本量 9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样本量与事件数（EPV）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已报告：409 例、27 事件、EPV≈13.5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方法-缺失值 10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缺失值处理方法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部分报告：中位数填补（变量选择重跑）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方法-统计方法 11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模型构建细节（变量选择、系数、正则化）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已报告：2.4（双基因 Cox + Lasso/弹性网 + Bootstrap 200 次 + 重复 CV）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方法-模型规范 12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完整模型公式与系数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已报告：riskScore = −0.0053257×GNG7 − 0.0003788×NFIA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方法-模型表现 13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区分度、校准、临床效用评估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已报告：C-index、时间依赖 ROC、3 年校准（MAE=0.037）、DCA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方法-模型更新 14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模型更新/再校准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不适用：无外部生存数据未再校准（4.7 说明）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方法-验证 15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外部验证设计与结果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部分报告：GSE33630 仅病理类型梯度验证（无生存终点），如实声明不构成生存外部验证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结果-参与者 16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参与者描述（分组、事件）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已报告：3.4（High 204/Low 205；27 事件）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结果-模型开发 17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模型表现指标（含 CI）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已报告：3.4（C-index 0.666，95% CI 0.559–0.774；1/3/5 年 AUC 0.657/0.612/0.593）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结果-模型表现 18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验证集表现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部分报告：GSE33630 梯度验证（K-W P=1.75×10⁻¹²）；无生存验证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讨论-局限 19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局限性与偏差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已报告：4.7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讨论-解释 20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结果解释与临床意义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已报告：4.3/4.6/5（探索性、假设生成）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讨论-普适性 21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外推性与适用人群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已报告：4.7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其他-注册/资金 22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研究注册、资金来源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已报告：声明（无外部资助）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其他-可用性 23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数据、代码、模型可用性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已报告：声明（GitHub）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其他-作者贡献 24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作者贡献声明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已报告：声明（作者贡献）</w:t>
            </w:r>
          </w:p>
        </w:tc>
      </w:tr>
    </w:tbl>
    <w:p>
      <w:pPr>
        <w:spacing w:after="80"/>
      </w:pPr>
      <w:r>
        <w:rPr>
          <w:rFonts w:ascii="Times New Roman" w:hAnsi="Times New Roman" w:eastAsia="宋体"/>
          <w:b w:val="0"/>
          <w:sz w:val="18"/>
        </w:rPr>
        <w:t>说明：本研究评分未经独立生存队列验证、无外部校准，按 TRIPOD+AI 标准属于“模型开发（探索性）”阶段，已在正文如实定位。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