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宋体"/>
          <w:b/>
          <w:sz w:val="32"/>
        </w:rPr>
        <w:t>补充材料 3：复现与运行说明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4"/>
        </w:rPr>
        <w:t>1 运行环境（真实值）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操作系统：Windows 10/11（x64）。统计软件：R 4.6.1（2026-06-24 发布）。在线数据获取需经代理（HTTP_PROXY/HTTPS_PROXY = http://127.0.0.1:7897，Clash Verge）与 IEU OpenGWAS 个人访问凭据（OPENGWAS_JWT，环境变量）。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4"/>
        </w:rPr>
        <w:t>2 关键包版本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TwoSampleMR 0.7.9、MendelianRandomization 0.10.0、MRPRESSO 1.0.6、ieugwasr 1.1.2、mr.raps 0.4.3、MVMR 0.4.8、readxl 1.5.0、survival 3.8-12、survivalROC 1.0.3.1、rms 8.1-1、Hmisc 5.2-3、glmnet 4.1-8、GSVA 2.6.6、GSEABase 1.68.0、pheatmap 1.0.13、oncoPredict 1.3.1、sva 3.60.0、coloc 未安装（未执行共定位）。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4"/>
        </w:rPr>
        <w:t>3 随机种子（全部为脚本内真实设定值）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（1）药物敏感性预测：calcPhenotype 前 set.seed(123)（脚本 06_脚本F）。（2）预后校准曲线：rms::calibrate(B=1000)，seed = 20260913（脚本 03_脚本C）。（3）Lasso-Cox 10 折交叉验证：seed = 20260913（脚本 10_脚本I）。（4）MR-PRESSO 10000 次置换、MVMR qhet bootstrap 1000 次、Bootstrap 200 次变量选择、药敏组标签置换 B=500、5×5 折重复交叉验证：种子在对应脚本源码中设定（脚本 01/11/12/12b/13/16/17），直接运行脚本即可按完全相同顺序复现；脚本输出已封存于 README_运行说明.md 与论文正文。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4"/>
        </w:rPr>
        <w:t>4 数据文件清单与路径（本地）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D:\gwas\41467_2020_17718_MOESM4_ESM.xlsx / MOESM5_ESM.xlsx：Zhou 2020 TSH GWAS 补充数据（99 个全基因组显著位点来源）。D:\gwas\risk_model.RData：dat（409×30，含 riskGroup）。D:\gwas\expr_immune.RData：expr_mat_use（409×20387）。D:\gwas\all_workspace.RData：GDSC2_Expr / GDSC2_Res / ic50_pred（历史值）。D:\gwas\immune_ssgsea.RData、drug_sensitivity_res.RData/.csv：脚本 E/F 产物。D:\gwas\Charoentong2017.gmt：28 种免疫细胞基因集。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4"/>
        </w:rPr>
        <w:t>5 脚本清单与运行顺序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01 脚本A_MR主分析（修正版）→ 02 脚本B_MVMR → 03 脚本C_预后模型 → 04 脚本D_GEO验证 → 05 脚本E_免疫浸润 → 06 脚本F_药敏分析 → 07 脚本EF_对账诊断 → 08 脚本F_论文数值提取 → 09 脚本H_论文出图 → 10 脚本I_Lasso弹性网重跑 → 11 脚本B_MVMR条件检验_v4 → 12 脚本J_Lasso稳定性重跑 → 12b 脚本Jb_手写HarrellC_5x5折交叉验证 → 13 脚本K_药敏CV与置换检验 → 14 脚本L_MR二轮补跑 → 15/15b 脚本L1（主结局，在线/离线）→ 16 脚本L2（复制结局与 MVMR）→ 17 脚本L3（MVMR 全暴露 qhet 修复）。各脚本独立可运行，运行顺序见 README_运行说明.md。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4"/>
        </w:rPr>
        <w:t>6 原始运行日志（本地路径，用于交叉核对论文数值）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D:\gwas\tmp\log12.txt：Lasso Bootstrap 200 次（脚本 12）。D:\gwas\tmp\logL2.txt：复制结局①/② 完整敏感性（脚本 16）。D:\gwas\tmp\logL3.txt：MVMR 全暴露 qhet 1000 次（脚本 17）。D:\gwas\tmp\log15.txt：主结局在线补跑（脚本 15）。上述日志与论文正文 3.1–3.7 节数值逐项对应；GitHub 仓库提供脚本与全部数值输出（README 二轮补跑章节），原始 RData 体积较大未纳入公开仓库。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4"/>
        </w:rPr>
        <w:t>7 已知执行限制（如实说明）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（1）反向 MR：甲状腺癌结局 GWAS（主结局仅 1054 例病例）无 P&lt;5×10⁻⁸ 独立位点，无法执行，未编造结果。（2）共定位：Zhou 2020 公开数据仅含筛选后工具位点、无完整区域汇总统计量，标准 coloc 无法执行。（3）10 折交叉验证：27 例事件下各折 Cox 不收敛，改 5×5 折（脚本 12b，25 折全有效）。（4）独立生存队列：系统检索公共 GEO 甲状腺癌表达数据集（GSE60542、GSE29265 等），均不含标准化生存随访，无法完成预后外部生存验证。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