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6C56" w14:textId="77777777" w:rsidR="000379B3" w:rsidRPr="007119A5" w:rsidRDefault="000379B3" w:rsidP="000379B3">
      <w:pPr>
        <w:spacing w:afterLines="50" w:after="156" w:line="360" w:lineRule="auto"/>
        <w:jc w:val="center"/>
        <w:rPr>
          <w:rFonts w:ascii="Times New Roman" w:hAnsi="Times New Roman" w:cs="Times New Roman"/>
          <w:b/>
          <w:bCs/>
          <w:szCs w:val="28"/>
        </w:rPr>
      </w:pPr>
      <w:bookmarkStart w:id="0" w:name="_Hlk90060689"/>
      <w:r w:rsidRPr="007119A5">
        <w:rPr>
          <w:rFonts w:ascii="Times New Roman" w:hAnsi="Times New Roman" w:cs="Times New Roman"/>
          <w:b/>
          <w:bCs/>
          <w:szCs w:val="28"/>
        </w:rPr>
        <w:t>Supplemental Materials</w:t>
      </w:r>
    </w:p>
    <w:p w14:paraId="466EC860" w14:textId="631FC6A1" w:rsidR="003537D7" w:rsidRPr="007119A5" w:rsidRDefault="00A76A78" w:rsidP="00413547">
      <w:pPr>
        <w:spacing w:line="360" w:lineRule="auto"/>
        <w:rPr>
          <w:rFonts w:ascii="Times New Roman" w:hAnsi="Times New Roman" w:cs="Times New Roman"/>
          <w:b/>
          <w:bCs/>
        </w:rPr>
      </w:pPr>
      <w:r w:rsidRPr="007119A5">
        <w:rPr>
          <w:rFonts w:ascii="Times New Roman" w:hAnsi="Times New Roman" w:cs="Times New Roman"/>
          <w:b/>
          <w:bCs/>
        </w:rPr>
        <w:t>Association between residential greenness and metabolic dysfunction-associated fatty liver disease: evidence from a large population-based epidemiologic</w:t>
      </w:r>
      <w:r w:rsidR="00902FB5">
        <w:rPr>
          <w:rFonts w:ascii="Times New Roman" w:hAnsi="Times New Roman" w:cs="Times New Roman"/>
          <w:b/>
          <w:bCs/>
        </w:rPr>
        <w:t>al</w:t>
      </w:r>
      <w:r w:rsidRPr="007119A5">
        <w:rPr>
          <w:rFonts w:ascii="Times New Roman" w:hAnsi="Times New Roman" w:cs="Times New Roman"/>
          <w:b/>
          <w:bCs/>
        </w:rPr>
        <w:t xml:space="preserve"> study</w:t>
      </w:r>
      <w:bookmarkEnd w:id="0"/>
      <w:r w:rsidRPr="007119A5">
        <w:rPr>
          <w:rFonts w:ascii="Times New Roman" w:hAnsi="Times New Roman" w:cs="Times New Roman"/>
          <w:b/>
          <w:bCs/>
        </w:rPr>
        <w:t>.</w:t>
      </w:r>
    </w:p>
    <w:p w14:paraId="2A465E22" w14:textId="77777777" w:rsidR="000379B3" w:rsidRPr="007119A5" w:rsidRDefault="000379B3" w:rsidP="00A76A78">
      <w:pPr>
        <w:rPr>
          <w:rFonts w:ascii="Times New Roman" w:hAnsi="Times New Roman" w:cs="Times New Roman"/>
          <w:b/>
          <w:bCs/>
          <w:sz w:val="28"/>
          <w:szCs w:val="28"/>
        </w:rPr>
      </w:pPr>
    </w:p>
    <w:p w14:paraId="521E490A" w14:textId="77777777" w:rsidR="00CD6884" w:rsidRPr="007119A5" w:rsidRDefault="00CD6884" w:rsidP="00CD6884">
      <w:pPr>
        <w:spacing w:line="480" w:lineRule="auto"/>
        <w:rPr>
          <w:rFonts w:ascii="Times New Roman" w:hAnsi="Times New Roman" w:cs="Times New Roman"/>
          <w:b/>
          <w:bCs/>
        </w:rPr>
      </w:pPr>
      <w:r w:rsidRPr="007119A5">
        <w:rPr>
          <w:rFonts w:ascii="Times New Roman" w:hAnsi="Times New Roman" w:cs="Times New Roman"/>
          <w:b/>
          <w:bCs/>
        </w:rPr>
        <w:t>Authors</w:t>
      </w:r>
    </w:p>
    <w:p w14:paraId="6EE4F878" w14:textId="77777777" w:rsidR="00CD6884" w:rsidRPr="007119A5" w:rsidRDefault="00CD6884" w:rsidP="00CD6884">
      <w:pPr>
        <w:spacing w:line="480" w:lineRule="auto"/>
        <w:rPr>
          <w:rFonts w:ascii="Times New Roman" w:hAnsi="Times New Roman" w:cs="Times New Roman"/>
          <w:szCs w:val="28"/>
        </w:rPr>
      </w:pPr>
      <w:bookmarkStart w:id="1" w:name="_Hlk90201182"/>
      <w:r w:rsidRPr="007119A5">
        <w:rPr>
          <w:rFonts w:ascii="Times New Roman" w:hAnsi="Times New Roman" w:cs="Times New Roman"/>
          <w:szCs w:val="28"/>
        </w:rPr>
        <w:t>Lin Chen</w:t>
      </w:r>
      <w:r w:rsidRPr="007119A5">
        <w:rPr>
          <w:rFonts w:ascii="Times New Roman" w:hAnsi="Times New Roman" w:cs="Times New Roman"/>
          <w:szCs w:val="28"/>
          <w:vertAlign w:val="superscript"/>
        </w:rPr>
        <w:t>1#</w:t>
      </w:r>
      <w:r w:rsidRPr="007119A5">
        <w:rPr>
          <w:rFonts w:ascii="Times New Roman" w:hAnsi="Times New Roman" w:cs="Times New Roman"/>
          <w:szCs w:val="28"/>
        </w:rPr>
        <w:t xml:space="preserve">, Yiping Jia </w:t>
      </w:r>
      <w:r w:rsidRPr="007119A5">
        <w:rPr>
          <w:rFonts w:ascii="Times New Roman" w:hAnsi="Times New Roman" w:cs="Times New Roman"/>
          <w:szCs w:val="28"/>
          <w:vertAlign w:val="superscript"/>
        </w:rPr>
        <w:t>2#</w:t>
      </w:r>
      <w:r w:rsidRPr="007119A5">
        <w:rPr>
          <w:rFonts w:ascii="Times New Roman" w:hAnsi="Times New Roman" w:cs="Times New Roman"/>
          <w:szCs w:val="28"/>
        </w:rPr>
        <w:t>, Bing Guo</w:t>
      </w:r>
      <w:r w:rsidRPr="007119A5">
        <w:rPr>
          <w:rFonts w:ascii="Times New Roman" w:hAnsi="Times New Roman" w:cs="Times New Roman"/>
          <w:szCs w:val="28"/>
          <w:vertAlign w:val="superscript"/>
        </w:rPr>
        <w:t>1</w:t>
      </w:r>
      <w:r w:rsidRPr="007119A5">
        <w:rPr>
          <w:rFonts w:ascii="Times New Roman" w:hAnsi="Times New Roman" w:cs="Times New Roman"/>
          <w:szCs w:val="28"/>
        </w:rPr>
        <w:t>, Yuming Guo</w:t>
      </w:r>
      <w:r w:rsidRPr="007119A5">
        <w:rPr>
          <w:rFonts w:ascii="Times New Roman" w:hAnsi="Times New Roman" w:cs="Times New Roman"/>
          <w:szCs w:val="28"/>
          <w:vertAlign w:val="superscript"/>
        </w:rPr>
        <w:t>3</w:t>
      </w:r>
      <w:r w:rsidRPr="007119A5">
        <w:rPr>
          <w:rFonts w:ascii="Times New Roman" w:hAnsi="Times New Roman" w:cs="Times New Roman"/>
          <w:szCs w:val="28"/>
        </w:rPr>
        <w:t xml:space="preserve">, </w:t>
      </w:r>
      <w:proofErr w:type="spellStart"/>
      <w:r w:rsidRPr="007119A5">
        <w:rPr>
          <w:rFonts w:ascii="Times New Roman" w:hAnsi="Times New Roman" w:cs="Times New Roman"/>
          <w:szCs w:val="28"/>
        </w:rPr>
        <w:t>Gongbo</w:t>
      </w:r>
      <w:proofErr w:type="spellEnd"/>
      <w:r w:rsidRPr="007119A5">
        <w:rPr>
          <w:rFonts w:ascii="Times New Roman" w:hAnsi="Times New Roman" w:cs="Times New Roman"/>
          <w:szCs w:val="28"/>
        </w:rPr>
        <w:t xml:space="preserve"> Chen</w:t>
      </w:r>
      <w:r w:rsidRPr="007119A5">
        <w:rPr>
          <w:rFonts w:ascii="Times New Roman" w:hAnsi="Times New Roman" w:cs="Times New Roman"/>
          <w:szCs w:val="28"/>
          <w:vertAlign w:val="superscript"/>
        </w:rPr>
        <w:t>4</w:t>
      </w:r>
      <w:r w:rsidRPr="007119A5">
        <w:rPr>
          <w:rFonts w:ascii="Times New Roman" w:hAnsi="Times New Roman" w:cs="Times New Roman"/>
          <w:szCs w:val="28"/>
        </w:rPr>
        <w:t>, CirenZhuoga</w:t>
      </w:r>
      <w:r w:rsidRPr="007119A5">
        <w:rPr>
          <w:rFonts w:ascii="Times New Roman" w:hAnsi="Times New Roman" w:cs="Times New Roman"/>
          <w:szCs w:val="28"/>
          <w:vertAlign w:val="superscript"/>
        </w:rPr>
        <w:t>5</w:t>
      </w:r>
      <w:r w:rsidRPr="007119A5">
        <w:rPr>
          <w:rFonts w:ascii="Times New Roman" w:hAnsi="Times New Roman" w:cs="Times New Roman"/>
          <w:szCs w:val="28"/>
        </w:rPr>
        <w:t xml:space="preserve">, Heng Chen </w:t>
      </w:r>
      <w:r w:rsidRPr="007119A5">
        <w:rPr>
          <w:rFonts w:ascii="Times New Roman" w:hAnsi="Times New Roman" w:cs="Times New Roman"/>
          <w:szCs w:val="28"/>
          <w:vertAlign w:val="superscript"/>
        </w:rPr>
        <w:t>6</w:t>
      </w:r>
      <w:r w:rsidRPr="007119A5">
        <w:rPr>
          <w:rFonts w:ascii="Times New Roman" w:hAnsi="Times New Roman" w:cs="Times New Roman"/>
          <w:szCs w:val="28"/>
        </w:rPr>
        <w:t xml:space="preserve">, </w:t>
      </w:r>
      <w:proofErr w:type="spellStart"/>
      <w:r w:rsidRPr="007119A5">
        <w:rPr>
          <w:rFonts w:ascii="Times New Roman" w:hAnsi="Times New Roman" w:cs="Times New Roman"/>
          <w:szCs w:val="28"/>
        </w:rPr>
        <w:t>Duojizhuoma</w:t>
      </w:r>
      <w:proofErr w:type="spellEnd"/>
      <w:r w:rsidRPr="007119A5">
        <w:rPr>
          <w:rFonts w:ascii="Times New Roman" w:hAnsi="Times New Roman" w:cs="Times New Roman"/>
          <w:szCs w:val="28"/>
        </w:rPr>
        <w:t xml:space="preserve"> </w:t>
      </w:r>
      <w:r w:rsidRPr="007119A5">
        <w:rPr>
          <w:rFonts w:ascii="Times New Roman" w:hAnsi="Times New Roman" w:cs="Times New Roman"/>
          <w:szCs w:val="28"/>
          <w:vertAlign w:val="superscript"/>
        </w:rPr>
        <w:t>7</w:t>
      </w:r>
      <w:r w:rsidRPr="007119A5">
        <w:rPr>
          <w:rFonts w:ascii="Times New Roman" w:hAnsi="Times New Roman" w:cs="Times New Roman"/>
          <w:szCs w:val="28"/>
        </w:rPr>
        <w:t xml:space="preserve">, Jie Xu </w:t>
      </w:r>
      <w:r w:rsidRPr="007119A5">
        <w:rPr>
          <w:rFonts w:ascii="Times New Roman" w:hAnsi="Times New Roman" w:cs="Times New Roman"/>
          <w:szCs w:val="28"/>
          <w:vertAlign w:val="superscript"/>
        </w:rPr>
        <w:t>8</w:t>
      </w:r>
      <w:r w:rsidRPr="007119A5">
        <w:rPr>
          <w:rFonts w:ascii="Times New Roman" w:hAnsi="Times New Roman" w:cs="Times New Roman"/>
          <w:szCs w:val="28"/>
        </w:rPr>
        <w:t xml:space="preserve">, Yang Tingting </w:t>
      </w:r>
      <w:r w:rsidRPr="007119A5">
        <w:rPr>
          <w:rFonts w:ascii="Times New Roman" w:hAnsi="Times New Roman" w:cs="Times New Roman"/>
          <w:szCs w:val="28"/>
          <w:vertAlign w:val="superscript"/>
        </w:rPr>
        <w:t>9</w:t>
      </w:r>
      <w:r w:rsidRPr="007119A5">
        <w:rPr>
          <w:rFonts w:ascii="Times New Roman" w:hAnsi="Times New Roman" w:cs="Times New Roman"/>
          <w:szCs w:val="28"/>
        </w:rPr>
        <w:t>, Huan Xu</w:t>
      </w:r>
      <w:r w:rsidRPr="007119A5">
        <w:rPr>
          <w:rFonts w:ascii="Times New Roman" w:hAnsi="Times New Roman" w:cs="Times New Roman"/>
          <w:szCs w:val="28"/>
          <w:vertAlign w:val="superscript"/>
        </w:rPr>
        <w:t>1</w:t>
      </w:r>
      <w:r w:rsidRPr="007119A5">
        <w:rPr>
          <w:rFonts w:ascii="Times New Roman" w:hAnsi="Times New Roman" w:cs="Times New Roman"/>
          <w:szCs w:val="28"/>
        </w:rPr>
        <w:t>, Shiyu Feng</w:t>
      </w:r>
      <w:r w:rsidRPr="007119A5">
        <w:rPr>
          <w:rFonts w:ascii="Times New Roman" w:hAnsi="Times New Roman" w:cs="Times New Roman"/>
          <w:szCs w:val="28"/>
          <w:vertAlign w:val="superscript"/>
        </w:rPr>
        <w:t>1</w:t>
      </w:r>
      <w:r w:rsidRPr="007119A5">
        <w:rPr>
          <w:rFonts w:ascii="Times New Roman" w:hAnsi="Times New Roman" w:cs="Times New Roman"/>
          <w:szCs w:val="28"/>
        </w:rPr>
        <w:t>, Ye Jiang</w:t>
      </w:r>
      <w:r w:rsidRPr="007119A5">
        <w:rPr>
          <w:rFonts w:ascii="Times New Roman" w:hAnsi="Times New Roman" w:cs="Times New Roman"/>
          <w:szCs w:val="28"/>
          <w:vertAlign w:val="superscript"/>
        </w:rPr>
        <w:t>1</w:t>
      </w:r>
      <w:r w:rsidRPr="007119A5">
        <w:rPr>
          <w:rFonts w:ascii="Times New Roman" w:hAnsi="Times New Roman" w:cs="Times New Roman"/>
          <w:szCs w:val="28"/>
        </w:rPr>
        <w:t>, Xiong Xiao</w:t>
      </w:r>
      <w:r w:rsidRPr="007119A5">
        <w:rPr>
          <w:rFonts w:ascii="Times New Roman" w:hAnsi="Times New Roman" w:cs="Times New Roman"/>
          <w:szCs w:val="28"/>
          <w:vertAlign w:val="superscript"/>
        </w:rPr>
        <w:t>1*</w:t>
      </w:r>
      <w:r w:rsidRPr="007119A5">
        <w:rPr>
          <w:rFonts w:ascii="Times New Roman" w:hAnsi="Times New Roman" w:cs="Times New Roman"/>
          <w:szCs w:val="28"/>
        </w:rPr>
        <w:t>, Xing Zhao</w:t>
      </w:r>
      <w:r w:rsidRPr="007119A5">
        <w:rPr>
          <w:rFonts w:ascii="Times New Roman" w:hAnsi="Times New Roman" w:cs="Times New Roman"/>
          <w:szCs w:val="28"/>
          <w:vertAlign w:val="superscript"/>
        </w:rPr>
        <w:t>1</w:t>
      </w:r>
      <w:r w:rsidRPr="007119A5">
        <w:rPr>
          <w:rFonts w:ascii="Times New Roman" w:hAnsi="Times New Roman" w:cs="Times New Roman"/>
          <w:szCs w:val="28"/>
        </w:rPr>
        <w:t>.</w:t>
      </w:r>
    </w:p>
    <w:bookmarkEnd w:id="1"/>
    <w:p w14:paraId="611D0CC0" w14:textId="77777777" w:rsidR="00CD6884" w:rsidRPr="007119A5" w:rsidRDefault="00CD6884" w:rsidP="00CD6884">
      <w:pPr>
        <w:spacing w:line="480" w:lineRule="auto"/>
        <w:rPr>
          <w:rFonts w:ascii="Times New Roman" w:hAnsi="Times New Roman" w:cs="Times New Roman"/>
        </w:rPr>
      </w:pPr>
    </w:p>
    <w:p w14:paraId="327F1704"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 These authors contributed equally to this work as first authors.</w:t>
      </w:r>
    </w:p>
    <w:p w14:paraId="50A2B231"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 Corresponding authors.</w:t>
      </w:r>
    </w:p>
    <w:p w14:paraId="0C9AF56B" w14:textId="77777777" w:rsidR="00CD6884" w:rsidRPr="007119A5" w:rsidRDefault="00CD6884" w:rsidP="00CD6884">
      <w:pPr>
        <w:spacing w:line="480" w:lineRule="auto"/>
        <w:rPr>
          <w:rFonts w:ascii="Times New Roman" w:hAnsi="Times New Roman" w:cs="Times New Roman"/>
        </w:rPr>
      </w:pPr>
    </w:p>
    <w:p w14:paraId="2FC5C7C3" w14:textId="77777777" w:rsidR="00CD6884" w:rsidRPr="007119A5" w:rsidRDefault="00CD6884" w:rsidP="00CD6884">
      <w:pPr>
        <w:spacing w:line="480" w:lineRule="auto"/>
        <w:rPr>
          <w:rFonts w:ascii="Times New Roman" w:hAnsi="Times New Roman" w:cs="Times New Roman"/>
          <w:b/>
          <w:bCs/>
        </w:rPr>
      </w:pPr>
      <w:r w:rsidRPr="007119A5">
        <w:rPr>
          <w:rFonts w:ascii="Times New Roman" w:hAnsi="Times New Roman" w:cs="Times New Roman"/>
          <w:b/>
          <w:bCs/>
        </w:rPr>
        <w:t>Affiliations</w:t>
      </w:r>
    </w:p>
    <w:p w14:paraId="518D5F07"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 xml:space="preserve">1 West China School of Public Health and West China Fourth Hospital, Sichuan University, Chengdu, Sichuan, China </w:t>
      </w:r>
    </w:p>
    <w:p w14:paraId="37836B8E"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 xml:space="preserve">2 Department of Ultrasound, West China School of Public Health and West China Fourth Hospital, Sichuan </w:t>
      </w:r>
    </w:p>
    <w:p w14:paraId="47C20286"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3 Department of Epidemiology and Preventive Medicine, School of Public Health and Preventive Medicine, Monash University, Melbourne VIC 3004, Australia</w:t>
      </w:r>
    </w:p>
    <w:p w14:paraId="78E7A3A5"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rPr>
        <w:t xml:space="preserve">4 </w:t>
      </w:r>
      <w:r w:rsidRPr="007119A5">
        <w:rPr>
          <w:rFonts w:ascii="Times New Roman" w:hAnsi="Times New Roman" w:cs="Times New Roman"/>
          <w:color w:val="000000"/>
          <w:shd w:val="clear" w:color="auto" w:fill="FFFFFF"/>
        </w:rPr>
        <w:t>Guangdong Provincial Engineering Technology Research Center of Environmental and Health Risk Assessment; Department of Occupational and Environmental Health, School of Public Health, Sun Yat-sen University, Guangzhou, Guangdong, China</w:t>
      </w:r>
    </w:p>
    <w:p w14:paraId="697DF064"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color w:val="000000"/>
          <w:shd w:val="clear" w:color="auto" w:fill="FFFFFF"/>
        </w:rPr>
        <w:lastRenderedPageBreak/>
        <w:t>5 Tibet Center for Disease Control and Prevention, Lhasa, Tibet, China</w:t>
      </w:r>
    </w:p>
    <w:p w14:paraId="1F7C2B7C"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color w:val="000000"/>
          <w:shd w:val="clear" w:color="auto" w:fill="FFFFFF"/>
        </w:rPr>
        <w:t>6 Chengdu Center for Disease Control &amp; Prevention</w:t>
      </w:r>
    </w:p>
    <w:p w14:paraId="799CF0E3"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color w:val="000000"/>
          <w:shd w:val="clear" w:color="auto" w:fill="FFFFFF"/>
        </w:rPr>
        <w:t>7 School of Medicine, Tibet University, Lhasa, Tibet, China</w:t>
      </w:r>
    </w:p>
    <w:p w14:paraId="14D22130"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color w:val="000000"/>
          <w:shd w:val="clear" w:color="auto" w:fill="FFFFFF"/>
        </w:rPr>
        <w:t>8 Chongqing Municipal Center for Disease Control and Prevention</w:t>
      </w:r>
    </w:p>
    <w:p w14:paraId="5C4FF77E" w14:textId="77777777" w:rsidR="00CD6884" w:rsidRPr="007119A5" w:rsidRDefault="00CD6884" w:rsidP="00CD6884">
      <w:pPr>
        <w:spacing w:line="480" w:lineRule="auto"/>
        <w:rPr>
          <w:rFonts w:ascii="Times New Roman" w:hAnsi="Times New Roman" w:cs="Times New Roman"/>
          <w:color w:val="000000"/>
          <w:shd w:val="clear" w:color="auto" w:fill="FFFFFF"/>
        </w:rPr>
      </w:pPr>
      <w:r w:rsidRPr="007119A5">
        <w:rPr>
          <w:rFonts w:ascii="Times New Roman" w:hAnsi="Times New Roman" w:cs="Times New Roman"/>
          <w:color w:val="000000"/>
          <w:shd w:val="clear" w:color="auto" w:fill="FFFFFF"/>
        </w:rPr>
        <w:t>9 School of Public Health, the key Laboratory of Environmental Pollution Monitoring and Disease Control, Ministry of Education, Guizhou Medical University, Guiyang 550025, China</w:t>
      </w:r>
    </w:p>
    <w:p w14:paraId="02D67A70" w14:textId="77777777" w:rsidR="00CD6884" w:rsidRPr="007119A5" w:rsidRDefault="00CD6884" w:rsidP="00CD6884">
      <w:pPr>
        <w:spacing w:line="480" w:lineRule="auto"/>
        <w:rPr>
          <w:rFonts w:ascii="Times New Roman" w:hAnsi="Times New Roman" w:cs="Times New Roman"/>
          <w:color w:val="000000"/>
          <w:sz w:val="20"/>
          <w:szCs w:val="20"/>
          <w:shd w:val="clear" w:color="auto" w:fill="FFFFFF"/>
        </w:rPr>
      </w:pPr>
    </w:p>
    <w:p w14:paraId="7923D01C" w14:textId="77777777" w:rsidR="00CD6884" w:rsidRPr="007119A5" w:rsidRDefault="00CD6884" w:rsidP="00CD6884">
      <w:pPr>
        <w:spacing w:line="480" w:lineRule="auto"/>
        <w:rPr>
          <w:rFonts w:ascii="Times New Roman" w:hAnsi="Times New Roman" w:cs="Times New Roman"/>
          <w:b/>
          <w:bCs/>
        </w:rPr>
      </w:pPr>
      <w:r w:rsidRPr="007119A5">
        <w:rPr>
          <w:rFonts w:ascii="Times New Roman" w:hAnsi="Times New Roman" w:cs="Times New Roman"/>
          <w:b/>
          <w:bCs/>
        </w:rPr>
        <w:t>Corresponding Authors</w:t>
      </w:r>
    </w:p>
    <w:p w14:paraId="6DF3AF91"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Xiong Xiao, West China School of Public Health and West China Fourth Hospital, Sichuan University, No. 16, Section 3, Renmin South Road, Chengdu 610041, China</w:t>
      </w:r>
    </w:p>
    <w:p w14:paraId="38A34616" w14:textId="77777777" w:rsidR="00CD6884" w:rsidRPr="007119A5" w:rsidRDefault="00CD6884" w:rsidP="00CD6884">
      <w:pPr>
        <w:spacing w:line="480" w:lineRule="auto"/>
        <w:rPr>
          <w:rFonts w:ascii="Times New Roman" w:hAnsi="Times New Roman" w:cs="Times New Roman"/>
        </w:rPr>
      </w:pPr>
    </w:p>
    <w:p w14:paraId="6AC48FEF" w14:textId="77777777" w:rsidR="00CD6884" w:rsidRPr="007119A5" w:rsidRDefault="00CD6884" w:rsidP="00CD6884">
      <w:pPr>
        <w:spacing w:line="480" w:lineRule="auto"/>
        <w:rPr>
          <w:rFonts w:ascii="Times New Roman" w:hAnsi="Times New Roman" w:cs="Times New Roman"/>
        </w:rPr>
      </w:pPr>
      <w:r w:rsidRPr="007119A5">
        <w:rPr>
          <w:rFonts w:ascii="Times New Roman" w:hAnsi="Times New Roman" w:cs="Times New Roman"/>
        </w:rPr>
        <w:t xml:space="preserve">Email addresses: </w:t>
      </w:r>
      <w:hyperlink r:id="rId7" w:history="1">
        <w:r w:rsidRPr="007119A5">
          <w:rPr>
            <w:rStyle w:val="ae"/>
            <w:rFonts w:ascii="Times New Roman" w:hAnsi="Times New Roman" w:cs="Times New Roman"/>
          </w:rPr>
          <w:t>xiaoxiong.scu@scu.edu.cn</w:t>
        </w:r>
      </w:hyperlink>
      <w:r w:rsidRPr="007119A5">
        <w:rPr>
          <w:rFonts w:ascii="Times New Roman" w:hAnsi="Times New Roman" w:cs="Times New Roman"/>
        </w:rPr>
        <w:t xml:space="preserve"> (Xiong Xiao), </w:t>
      </w:r>
    </w:p>
    <w:p w14:paraId="34F5D335" w14:textId="7AE2FCAD" w:rsidR="00C85BAD" w:rsidRPr="007119A5" w:rsidRDefault="00CD6884" w:rsidP="00CD6884">
      <w:pPr>
        <w:rPr>
          <w:rFonts w:ascii="Times New Roman" w:hAnsi="Times New Roman" w:cs="Times New Roman"/>
          <w:b/>
          <w:bCs/>
          <w:sz w:val="28"/>
          <w:szCs w:val="28"/>
        </w:rPr>
      </w:pPr>
      <w:r w:rsidRPr="007119A5">
        <w:rPr>
          <w:rFonts w:ascii="Times New Roman" w:hAnsi="Times New Roman" w:cs="Times New Roman"/>
          <w:b/>
          <w:bCs/>
          <w:sz w:val="28"/>
          <w:szCs w:val="28"/>
        </w:rPr>
        <w:br w:type="page"/>
      </w:r>
    </w:p>
    <w:p w14:paraId="05284391" w14:textId="18BCD0A0" w:rsidR="00C64E8A" w:rsidRPr="007119A5" w:rsidRDefault="004C2062" w:rsidP="00C64E8A">
      <w:pPr>
        <w:spacing w:afterLines="50" w:after="156" w:line="360" w:lineRule="auto"/>
        <w:jc w:val="center"/>
        <w:rPr>
          <w:rFonts w:ascii="Times New Roman" w:hAnsi="Times New Roman" w:cs="Times New Roman"/>
          <w:b/>
          <w:bCs/>
          <w:szCs w:val="28"/>
        </w:rPr>
      </w:pPr>
      <w:r w:rsidRPr="007119A5">
        <w:rPr>
          <w:rFonts w:ascii="Times New Roman" w:hAnsi="Times New Roman" w:cs="Times New Roman"/>
          <w:b/>
          <w:bCs/>
          <w:szCs w:val="28"/>
        </w:rPr>
        <w:lastRenderedPageBreak/>
        <w:t>Table of Contents</w:t>
      </w:r>
    </w:p>
    <w:p w14:paraId="1E9C36DC" w14:textId="5BCE358B" w:rsidR="00851AFD" w:rsidRDefault="00851AFD" w:rsidP="00323C1B">
      <w:pPr>
        <w:spacing w:afterLines="50" w:after="156" w:line="360" w:lineRule="auto"/>
        <w:rPr>
          <w:rFonts w:ascii="Times New Roman" w:hAnsi="Times New Roman" w:cs="Times New Roman"/>
          <w:szCs w:val="28"/>
        </w:rPr>
      </w:pPr>
      <w:r w:rsidRPr="007119A5">
        <w:rPr>
          <w:rFonts w:ascii="Times New Roman" w:hAnsi="Times New Roman" w:cs="Times New Roman"/>
          <w:b/>
          <w:bCs/>
          <w:szCs w:val="28"/>
        </w:rPr>
        <w:t xml:space="preserve">Supplemental Methods: </w:t>
      </w:r>
      <w:r w:rsidRPr="007119A5">
        <w:rPr>
          <w:rFonts w:ascii="Times New Roman" w:hAnsi="Times New Roman" w:cs="Times New Roman"/>
          <w:szCs w:val="28"/>
        </w:rPr>
        <w:t>Causal mediation methods</w:t>
      </w:r>
    </w:p>
    <w:p w14:paraId="061F9656" w14:textId="35109847" w:rsidR="005E7DA7" w:rsidRPr="005E7DA7" w:rsidRDefault="005E7DA7" w:rsidP="00323C1B">
      <w:pPr>
        <w:spacing w:afterLines="50" w:after="156" w:line="360" w:lineRule="auto"/>
        <w:rPr>
          <w:rFonts w:ascii="Times New Roman" w:hAnsi="Times New Roman" w:cs="Times New Roman"/>
          <w:szCs w:val="28"/>
        </w:rPr>
      </w:pPr>
      <w:r w:rsidRPr="005E7DA7">
        <w:rPr>
          <w:rFonts w:ascii="Times New Roman" w:hAnsi="Times New Roman" w:cs="Times New Roman"/>
          <w:b/>
          <w:bCs/>
          <w:szCs w:val="28"/>
        </w:rPr>
        <w:t xml:space="preserve">Table S1. </w:t>
      </w:r>
      <w:r w:rsidRPr="005E7DA7">
        <w:rPr>
          <w:rFonts w:ascii="Times New Roman" w:hAnsi="Times New Roman" w:cs="Times New Roman"/>
          <w:szCs w:val="28"/>
        </w:rPr>
        <w:t>The sensitivity parameter for combination of exposure and mediator</w:t>
      </w:r>
    </w:p>
    <w:p w14:paraId="36DFD6E7" w14:textId="74FC6353" w:rsidR="004C2062" w:rsidRPr="007119A5" w:rsidRDefault="004C2062" w:rsidP="00323C1B">
      <w:pPr>
        <w:spacing w:afterLines="50" w:after="156" w:line="360" w:lineRule="auto"/>
        <w:rPr>
          <w:rFonts w:ascii="Times New Roman" w:hAnsi="Times New Roman" w:cs="Times New Roman"/>
          <w:b/>
          <w:bCs/>
          <w:szCs w:val="28"/>
        </w:rPr>
      </w:pPr>
      <w:r w:rsidRPr="007119A5">
        <w:rPr>
          <w:rFonts w:ascii="Times New Roman" w:hAnsi="Times New Roman" w:cs="Times New Roman"/>
          <w:b/>
          <w:bCs/>
          <w:szCs w:val="52"/>
        </w:rPr>
        <w:t>Table S</w:t>
      </w:r>
      <w:r w:rsidR="005E7DA7">
        <w:rPr>
          <w:rFonts w:ascii="Times New Roman" w:hAnsi="Times New Roman" w:cs="Times New Roman"/>
          <w:b/>
          <w:bCs/>
          <w:szCs w:val="52"/>
        </w:rPr>
        <w:t>2</w:t>
      </w:r>
      <w:r w:rsidRPr="007119A5">
        <w:rPr>
          <w:rFonts w:ascii="Times New Roman" w:hAnsi="Times New Roman" w:cs="Times New Roman"/>
          <w:b/>
          <w:bCs/>
          <w:szCs w:val="52"/>
        </w:rPr>
        <w:t xml:space="preserve">. </w:t>
      </w:r>
      <w:r w:rsidR="00D17B0F" w:rsidRPr="007119A5">
        <w:rPr>
          <w:rFonts w:ascii="Times New Roman" w:hAnsi="Times New Roman" w:cs="Times New Roman"/>
          <w:szCs w:val="52"/>
        </w:rPr>
        <w:t>Distributions for NDVI, EVI with different buffers and exposure window.</w:t>
      </w:r>
    </w:p>
    <w:p w14:paraId="2C3E2E4C" w14:textId="5A08988D" w:rsidR="00D17B0F" w:rsidRPr="007119A5" w:rsidRDefault="004C2062" w:rsidP="00323C1B">
      <w:pPr>
        <w:spacing w:line="360" w:lineRule="auto"/>
        <w:rPr>
          <w:rFonts w:ascii="Times New Roman" w:hAnsi="Times New Roman" w:cs="Times New Roman"/>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3</w:t>
      </w:r>
      <w:r w:rsidRPr="007119A5">
        <w:rPr>
          <w:rStyle w:val="10"/>
          <w:rFonts w:ascii="Times New Roman" w:hAnsi="Times New Roman" w:cs="Times New Roman"/>
          <w:szCs w:val="52"/>
        </w:rPr>
        <w:t>.</w:t>
      </w:r>
      <w:r w:rsidRPr="007119A5">
        <w:rPr>
          <w:rFonts w:ascii="Times New Roman" w:hAnsi="Times New Roman" w:cs="Times New Roman"/>
          <w:szCs w:val="52"/>
        </w:rPr>
        <w:t xml:space="preserve"> </w:t>
      </w:r>
      <w:r w:rsidR="00D17B0F" w:rsidRPr="007119A5">
        <w:rPr>
          <w:rFonts w:ascii="Times New Roman" w:hAnsi="Times New Roman" w:cs="Times New Roman"/>
        </w:rPr>
        <w:t>Associations between per IQR increase in one-year and two -year average value of greenness metrics within different buffers and MAFLD prevalence.</w:t>
      </w:r>
    </w:p>
    <w:p w14:paraId="175AAAE2" w14:textId="77777777" w:rsidR="00681686" w:rsidRDefault="004C2062" w:rsidP="00323C1B">
      <w:pPr>
        <w:spacing w:line="360" w:lineRule="auto"/>
        <w:rPr>
          <w:rFonts w:ascii="Times New Roman" w:hAnsi="Times New Roman" w:cs="Times New Roman"/>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4</w:t>
      </w:r>
      <w:r w:rsidRPr="007119A5">
        <w:rPr>
          <w:rStyle w:val="10"/>
          <w:rFonts w:ascii="Times New Roman" w:hAnsi="Times New Roman" w:cs="Times New Roman"/>
          <w:szCs w:val="52"/>
        </w:rPr>
        <w:t xml:space="preserve">. </w:t>
      </w:r>
      <w:r w:rsidR="00681686" w:rsidRPr="00681686">
        <w:rPr>
          <w:rFonts w:ascii="Times New Roman" w:hAnsi="Times New Roman" w:cs="Times New Roman"/>
        </w:rPr>
        <w:t>Association between greenness metrics (per IQR increase) within different buffers and MAFLD after additional adjusting history of diseases.</w:t>
      </w:r>
    </w:p>
    <w:p w14:paraId="2B05F880" w14:textId="1DDF79C1" w:rsidR="0048148E" w:rsidRPr="00521301" w:rsidRDefault="00D17B0F" w:rsidP="00521301">
      <w:pPr>
        <w:spacing w:line="360" w:lineRule="auto"/>
        <w:rPr>
          <w:rFonts w:ascii="Times New Roman" w:eastAsia="微软雅黑" w:hAnsi="Times New Roman" w:cs="Times New Roman"/>
          <w:color w:val="000000"/>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5</w:t>
      </w:r>
      <w:r w:rsidRPr="007119A5">
        <w:rPr>
          <w:rStyle w:val="10"/>
          <w:rFonts w:ascii="Times New Roman" w:hAnsi="Times New Roman" w:cs="Times New Roman"/>
          <w:szCs w:val="52"/>
        </w:rPr>
        <w:t xml:space="preserve">. </w:t>
      </w:r>
      <w:r w:rsidRPr="007119A5">
        <w:rPr>
          <w:rFonts w:ascii="Times New Roman" w:eastAsia="微软雅黑" w:hAnsi="Times New Roman" w:cs="Times New Roman"/>
          <w:color w:val="000000"/>
        </w:rPr>
        <w:t>Association between quartile greenness and MAFLD</w:t>
      </w:r>
    </w:p>
    <w:p w14:paraId="32C61A34" w14:textId="77777777" w:rsidR="00D17B0F" w:rsidRPr="007119A5" w:rsidRDefault="00D17B0F">
      <w:pPr>
        <w:rPr>
          <w:rFonts w:ascii="Times New Roman" w:eastAsia="Arial" w:hAnsi="Times New Roman" w:cs="Times New Roman"/>
          <w:kern w:val="44"/>
          <w:szCs w:val="52"/>
        </w:rPr>
      </w:pPr>
      <w:r w:rsidRPr="007119A5">
        <w:rPr>
          <w:rFonts w:ascii="Times New Roman" w:hAnsi="Times New Roman" w:cs="Times New Roman"/>
          <w:b/>
          <w:bCs/>
          <w:szCs w:val="52"/>
        </w:rPr>
        <w:br w:type="page"/>
      </w:r>
    </w:p>
    <w:p w14:paraId="522EFF4C" w14:textId="093709A8" w:rsidR="00851AFD" w:rsidRDefault="00851AFD" w:rsidP="00DC0BA2">
      <w:pPr>
        <w:spacing w:afterLines="50" w:after="156" w:line="480" w:lineRule="auto"/>
        <w:rPr>
          <w:rFonts w:ascii="Times New Roman" w:hAnsi="Times New Roman" w:cs="Times New Roman"/>
          <w:b/>
          <w:bCs/>
          <w:szCs w:val="28"/>
        </w:rPr>
      </w:pPr>
      <w:r w:rsidRPr="007119A5">
        <w:rPr>
          <w:rFonts w:ascii="Times New Roman" w:hAnsi="Times New Roman" w:cs="Times New Roman"/>
          <w:b/>
          <w:bCs/>
          <w:szCs w:val="28"/>
        </w:rPr>
        <w:lastRenderedPageBreak/>
        <w:t>Causal mediation methods</w:t>
      </w:r>
    </w:p>
    <w:p w14:paraId="33EB63A7" w14:textId="2A3EDE03" w:rsidR="008A6048" w:rsidRPr="008A6048" w:rsidRDefault="008A6048" w:rsidP="008A6048">
      <w:pPr>
        <w:spacing w:afterLines="50" w:after="156" w:line="480" w:lineRule="auto"/>
        <w:ind w:firstLineChars="200" w:firstLine="480"/>
        <w:rPr>
          <w:rFonts w:ascii="Times New Roman" w:hAnsi="Times New Roman" w:cs="Times New Roman"/>
          <w:szCs w:val="28"/>
        </w:rPr>
      </w:pPr>
      <w:r w:rsidRPr="008A6048">
        <w:rPr>
          <w:rFonts w:ascii="Times New Roman" w:hAnsi="Times New Roman" w:cs="Times New Roman"/>
          <w:szCs w:val="28"/>
        </w:rPr>
        <w:t>What we used in mediation analysis is regression-based causal mediation</w:t>
      </w:r>
      <w:r w:rsidRPr="00637ACD">
        <w:rPr>
          <w:rFonts w:ascii="Times New Roman" w:hAnsi="Times New Roman" w:cs="Times New Roman"/>
          <w:szCs w:val="28"/>
          <w:vertAlign w:val="superscript"/>
        </w:rPr>
        <w:t>[</w:t>
      </w:r>
      <w:r w:rsidR="00637ACD" w:rsidRPr="00637ACD">
        <w:rPr>
          <w:rFonts w:ascii="Times New Roman" w:hAnsi="Times New Roman" w:cs="Times New Roman"/>
          <w:szCs w:val="28"/>
          <w:vertAlign w:val="superscript"/>
        </w:rPr>
        <w:fldChar w:fldCharType="begin"/>
      </w:r>
      <w:r w:rsidR="00637ACD" w:rsidRPr="00637ACD">
        <w:rPr>
          <w:rFonts w:ascii="Times New Roman" w:hAnsi="Times New Roman" w:cs="Times New Roman"/>
          <w:szCs w:val="28"/>
          <w:vertAlign w:val="superscript"/>
        </w:rPr>
        <w:instrText xml:space="preserve"> ADDIN EN.CITE &lt;EndNote&gt;&lt;Cite&gt;&lt;Author&gt;Imai&lt;/Author&gt;&lt;Year&gt;2010&lt;/Year&gt;&lt;RecNum&gt;199&lt;/RecNum&gt;&lt;DisplayText&gt;&lt;style face="superscript"&gt;1&lt;/style&gt;&lt;/DisplayText&gt;&lt;record&gt;&lt;rec-number&gt;199&lt;/rec-number&gt;&lt;foreign-keys&gt;&lt;key app="EN" db-id="sattzxzfxrs5zbesr99xwsxntrpxx2rpadp9" timestamp="1643472438" guid="ef5c7fc3-f5bd-4f5e-9e72-bb03d7f1eae1"&gt;199&lt;/key&gt;&lt;/foreign-keys&gt;&lt;ref-type name="Journal Article"&gt;17&lt;/ref-type&gt;&lt;contributors&gt;&lt;authors&gt;&lt;author&gt;Imai, K.&lt;/author&gt;&lt;author&gt;Keele, L.&lt;/author&gt;&lt;author&gt;Tingley, D.&lt;/author&gt;&lt;/authors&gt;&lt;/contributors&gt;&lt;auth-address&gt;Department of Politics, Princeton University, Princeton, NJ 08544, USA. kimai@princeton.edu&lt;/auth-address&gt;&lt;titles&gt;&lt;title&gt;A general approach to causal mediation analysis&lt;/title&gt;&lt;secondary-title&gt;Psychol Methods&lt;/secondary-title&gt;&lt;/titles&gt;&lt;periodical&gt;&lt;full-title&gt;Psychol Methods&lt;/full-title&gt;&lt;/periodical&gt;&lt;pages&gt;309-34&lt;/pages&gt;&lt;volume&gt;15&lt;/volume&gt;&lt;number&gt;4&lt;/number&gt;&lt;edition&gt;2010/10/20&lt;/edition&gt;&lt;keywords&gt;&lt;keyword&gt;Algorithms&lt;/keyword&gt;&lt;keyword&gt;*Causality&lt;/keyword&gt;&lt;keyword&gt;Data Interpretation, Statistical&lt;/keyword&gt;&lt;keyword&gt;Linear Models&lt;/keyword&gt;&lt;keyword&gt;*Models, Statistical&lt;/keyword&gt;&lt;keyword&gt;Sensitivity and Specificity&lt;/keyword&gt;&lt;keyword&gt;Social Sciences/methods&lt;/keyword&gt;&lt;/keywords&gt;&lt;dates&gt;&lt;year&gt;2010&lt;/year&gt;&lt;pub-dates&gt;&lt;date&gt;Dec&lt;/date&gt;&lt;/pub-dates&gt;&lt;/dates&gt;&lt;isbn&gt;1082-989x&lt;/isbn&gt;&lt;accession-num&gt;20954780&lt;/accession-num&gt;&lt;urls&gt;&lt;/urls&gt;&lt;electronic-resource-num&gt;10.1037/a0020761&lt;/electronic-resource-num&gt;&lt;remote-database-provider&gt;NLM&lt;/remote-database-provider&gt;&lt;language&gt;eng&lt;/language&gt;&lt;/record&gt;&lt;/Cite&gt;&lt;/EndNote&gt;</w:instrText>
      </w:r>
      <w:r w:rsidR="00637ACD" w:rsidRPr="00637ACD">
        <w:rPr>
          <w:rFonts w:ascii="Times New Roman" w:hAnsi="Times New Roman" w:cs="Times New Roman"/>
          <w:szCs w:val="28"/>
          <w:vertAlign w:val="superscript"/>
        </w:rPr>
        <w:fldChar w:fldCharType="separate"/>
      </w:r>
      <w:r w:rsidR="00637ACD" w:rsidRPr="00637ACD">
        <w:rPr>
          <w:rFonts w:ascii="Times New Roman" w:hAnsi="Times New Roman" w:cs="Times New Roman"/>
          <w:noProof/>
          <w:szCs w:val="28"/>
          <w:vertAlign w:val="superscript"/>
        </w:rPr>
        <w:t>1</w:t>
      </w:r>
      <w:r w:rsidR="00637ACD" w:rsidRPr="00637ACD">
        <w:rPr>
          <w:rFonts w:ascii="Times New Roman" w:hAnsi="Times New Roman" w:cs="Times New Roman"/>
          <w:szCs w:val="28"/>
          <w:vertAlign w:val="superscript"/>
        </w:rPr>
        <w:fldChar w:fldCharType="end"/>
      </w:r>
      <w:r w:rsidRPr="00637ACD">
        <w:rPr>
          <w:rFonts w:ascii="Times New Roman" w:hAnsi="Times New Roman" w:cs="Times New Roman"/>
          <w:szCs w:val="28"/>
          <w:vertAlign w:val="superscript"/>
        </w:rPr>
        <w:t>]</w:t>
      </w:r>
      <w:r w:rsidRPr="008A6048">
        <w:rPr>
          <w:rFonts w:ascii="Times New Roman" w:hAnsi="Times New Roman" w:cs="Times New Roman"/>
          <w:szCs w:val="28"/>
        </w:rPr>
        <w:t>, instead of traditional analysis like product method or difference method</w:t>
      </w:r>
      <w:r>
        <w:rPr>
          <w:rFonts w:ascii="Times New Roman" w:hAnsi="Times New Roman" w:cs="Times New Roman"/>
          <w:szCs w:val="28"/>
        </w:rPr>
        <w:t>.</w:t>
      </w:r>
      <w:r w:rsidRPr="008A6048">
        <w:t xml:space="preserve"> </w:t>
      </w:r>
      <w:r w:rsidRPr="008A6048">
        <w:rPr>
          <w:rFonts w:ascii="Times New Roman" w:hAnsi="Times New Roman" w:cs="Times New Roman"/>
          <w:szCs w:val="28"/>
        </w:rPr>
        <w:t>And compare to traditional analysis, causal mediation analysis has following advantages</w:t>
      </w:r>
      <w:r w:rsidR="00B86C4B" w:rsidRPr="00B86C4B">
        <w:rPr>
          <w:rFonts w:ascii="Times New Roman" w:hAnsi="Times New Roman" w:cs="Times New Roman"/>
          <w:szCs w:val="28"/>
          <w:vertAlign w:val="superscript"/>
        </w:rPr>
        <w:t>[</w:t>
      </w:r>
      <w:r w:rsidR="00B86C4B" w:rsidRPr="00B86C4B">
        <w:rPr>
          <w:rFonts w:ascii="Times New Roman" w:hAnsi="Times New Roman" w:cs="Times New Roman"/>
          <w:szCs w:val="28"/>
          <w:vertAlign w:val="superscript"/>
        </w:rPr>
        <w:fldChar w:fldCharType="begin"/>
      </w:r>
      <w:r w:rsidR="00B86C4B" w:rsidRPr="00B86C4B">
        <w:rPr>
          <w:rFonts w:ascii="Times New Roman" w:hAnsi="Times New Roman" w:cs="Times New Roman"/>
          <w:szCs w:val="28"/>
          <w:vertAlign w:val="superscript"/>
        </w:rPr>
        <w:instrText xml:space="preserve"> ADDIN EN.CITE &lt;EndNote&gt;&lt;Cite&gt;&lt;Author&gt;VanderWeele&lt;/Author&gt;&lt;Year&gt;2015&lt;/Year&gt;&lt;RecNum&gt;67&lt;/RecNum&gt;&lt;DisplayText&gt;&lt;style face="superscript"&gt;2&lt;/style&gt;&lt;/DisplayText&gt;&lt;record&gt;&lt;rec-number&gt;67&lt;/rec-number&gt;&lt;foreign-keys&gt;&lt;key app="EN" db-id="sattzxzfxrs5zbesr99xwsxntrpxx2rpadp9" timestamp="1643085220" guid="8f73bbe1-083e-4c2d-8dcf-1145bbf14faa"&gt;67&lt;/key&gt;&lt;/foreign-keys&gt;&lt;ref-type name="Book"&gt;6&lt;/ref-type&gt;&lt;contributors&gt;&lt;authors&gt;&lt;author&gt;Tyler VanderWeele&lt;/author&gt;&lt;/authors&gt;&lt;/contributors&gt;&lt;titles&gt;&lt;title&gt;Explanation in causal inference: methods for mediation and interaction&lt;/title&gt;&lt;/titles&gt;&lt;pages&gt;25&lt;/pages&gt;&lt;dates&gt;&lt;year&gt;2015&lt;/year&gt;&lt;/dates&gt;&lt;publisher&gt;Oxford University Press,&lt;/publisher&gt;&lt;isbn&gt;9780199325870&lt;/isbn&gt;&lt;urls&gt;&lt;/urls&gt;&lt;/record&gt;&lt;/Cite&gt;&lt;/EndNote&gt;</w:instrText>
      </w:r>
      <w:r w:rsidR="00B86C4B" w:rsidRPr="00B86C4B">
        <w:rPr>
          <w:rFonts w:ascii="Times New Roman" w:hAnsi="Times New Roman" w:cs="Times New Roman"/>
          <w:szCs w:val="28"/>
          <w:vertAlign w:val="superscript"/>
        </w:rPr>
        <w:fldChar w:fldCharType="separate"/>
      </w:r>
      <w:r w:rsidR="00B86C4B" w:rsidRPr="00B86C4B">
        <w:rPr>
          <w:rFonts w:ascii="Times New Roman" w:hAnsi="Times New Roman" w:cs="Times New Roman"/>
          <w:noProof/>
          <w:szCs w:val="28"/>
          <w:vertAlign w:val="superscript"/>
        </w:rPr>
        <w:t>2</w:t>
      </w:r>
      <w:r w:rsidR="00B86C4B" w:rsidRPr="00B86C4B">
        <w:rPr>
          <w:rFonts w:ascii="Times New Roman" w:hAnsi="Times New Roman" w:cs="Times New Roman"/>
          <w:szCs w:val="28"/>
          <w:vertAlign w:val="superscript"/>
        </w:rPr>
        <w:fldChar w:fldCharType="end"/>
      </w:r>
      <w:r w:rsidR="00B86C4B" w:rsidRPr="00B86C4B">
        <w:rPr>
          <w:rFonts w:ascii="Times New Roman" w:hAnsi="Times New Roman" w:cs="Times New Roman"/>
          <w:szCs w:val="28"/>
          <w:vertAlign w:val="superscript"/>
        </w:rPr>
        <w:t>]</w:t>
      </w:r>
      <w:r w:rsidRPr="008A6048">
        <w:rPr>
          <w:rFonts w:ascii="Times New Roman" w:hAnsi="Times New Roman" w:cs="Times New Roman"/>
          <w:szCs w:val="28"/>
        </w:rPr>
        <w:t>: 1) causal mediation proposed unambiguous assumptions to identify the mediating effects. 2) The results of causal mediation analysis are independent of types of outcome variable. When outcome is binary variable and is a common event, the results of difference method and product method are differing. 3) The causal mediation analysis allows for the model including the interaction between exposure and mediator, nonlinearity.</w:t>
      </w:r>
    </w:p>
    <w:p w14:paraId="06516B62" w14:textId="6C11531D" w:rsidR="00851AFD" w:rsidRPr="007119A5" w:rsidRDefault="00851AFD" w:rsidP="008A6048">
      <w:pPr>
        <w:spacing w:line="480" w:lineRule="auto"/>
        <w:ind w:firstLineChars="200" w:firstLine="480"/>
        <w:rPr>
          <w:rFonts w:ascii="Times New Roman" w:hAnsi="Times New Roman" w:cs="Times New Roman"/>
        </w:rPr>
      </w:pPr>
      <w:r w:rsidRPr="007119A5">
        <w:rPr>
          <w:rFonts w:ascii="Times New Roman" w:hAnsi="Times New Roman" w:cs="Times New Roman"/>
        </w:rPr>
        <w:t xml:space="preserve">In this study, </w:t>
      </w:r>
      <w:r w:rsidR="00A337DA" w:rsidRPr="007119A5">
        <w:rPr>
          <w:rFonts w:ascii="Times New Roman" w:hAnsi="Times New Roman" w:cs="Times New Roman"/>
        </w:rPr>
        <w:t xml:space="preserve">first, </w:t>
      </w:r>
      <w:r w:rsidRPr="007119A5">
        <w:rPr>
          <w:rFonts w:ascii="Times New Roman" w:hAnsi="Times New Roman" w:cs="Times New Roman"/>
        </w:rPr>
        <w:t xml:space="preserve">we construct </w:t>
      </w:r>
      <w:r w:rsidR="005F716A" w:rsidRPr="007119A5">
        <w:rPr>
          <w:rFonts w:ascii="Times New Roman" w:hAnsi="Times New Roman" w:cs="Times New Roman"/>
        </w:rPr>
        <w:t>mediation model and outcome model</w:t>
      </w:r>
      <w:r w:rsidRPr="007119A5">
        <w:rPr>
          <w:rFonts w:ascii="Times New Roman" w:hAnsi="Times New Roman" w:cs="Times New Roman"/>
        </w:rPr>
        <w:t xml:space="preserve"> as follows:</w:t>
      </w:r>
    </w:p>
    <w:p w14:paraId="733B0E95" w14:textId="24365808" w:rsidR="00851AFD" w:rsidRPr="007119A5" w:rsidRDefault="005F716A" w:rsidP="00DC0BA2">
      <w:pPr>
        <w:spacing w:line="480" w:lineRule="auto"/>
        <w:ind w:firstLineChars="500" w:firstLine="1200"/>
        <w:jc w:val="both"/>
        <w:rPr>
          <w:rFonts w:ascii="Times New Roman" w:hAnsi="Times New Roman" w:cs="Times New Roman"/>
        </w:rPr>
      </w:pPr>
      <w:r w:rsidRPr="007119A5">
        <w:rPr>
          <w:rFonts w:ascii="Times New Roman" w:hAnsi="Times New Roman" w:cs="Times New Roman"/>
        </w:rPr>
        <w:t>mediation model:</w:t>
      </w:r>
    </w:p>
    <w:p w14:paraId="35A5EF6F" w14:textId="38C46ED3" w:rsidR="00851AFD" w:rsidRPr="007119A5" w:rsidRDefault="00851AFD" w:rsidP="00DC0BA2">
      <w:pPr>
        <w:spacing w:line="480" w:lineRule="auto"/>
        <w:rPr>
          <w:rFonts w:ascii="Times New Roman" w:hAnsi="Times New Roman" w:cs="Times New Roman"/>
          <w:i/>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sup>
              <m:r>
                <w:rPr>
                  <w:rFonts w:ascii="Cambria Math" w:hAnsi="Cambria Math" w:cs="Times New Roman"/>
                </w:rPr>
                <m:t>T</m:t>
              </m:r>
            </m:sup>
          </m:sSup>
        </m:oMath>
      </m:oMathPara>
    </w:p>
    <w:p w14:paraId="114CEDA1" w14:textId="31A8662A" w:rsidR="005F716A" w:rsidRPr="007119A5" w:rsidRDefault="005F716A" w:rsidP="00DC0BA2">
      <w:pPr>
        <w:spacing w:line="480" w:lineRule="auto"/>
        <w:ind w:firstLineChars="500" w:firstLine="1200"/>
        <w:rPr>
          <w:rFonts w:ascii="Times New Roman" w:hAnsi="Times New Roman" w:cs="Times New Roman"/>
        </w:rPr>
      </w:pPr>
      <w:r w:rsidRPr="007119A5">
        <w:rPr>
          <w:rFonts w:ascii="Times New Roman" w:hAnsi="Times New Roman" w:cs="Times New Roman"/>
        </w:rPr>
        <w:t>outcome model:</w:t>
      </w:r>
    </w:p>
    <w:p w14:paraId="3C36BA07" w14:textId="19B6990F" w:rsidR="005F716A" w:rsidRPr="007119A5" w:rsidRDefault="00BE2BE6" w:rsidP="00DC0BA2">
      <w:pPr>
        <w:spacing w:line="480" w:lineRule="auto"/>
        <w:rPr>
          <w:rFonts w:ascii="Times New Roman" w:hAnsi="Times New Roman" w:cs="Times New Roman"/>
          <w:i/>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Pr</m:t>
              </m:r>
              <m:d>
                <m:dPr>
                  <m:ctrlPr>
                    <w:rPr>
                      <w:rFonts w:ascii="Cambria Math" w:hAnsi="Cambria Math" w:cs="Times New Roman"/>
                      <w:i/>
                    </w:rPr>
                  </m:ctrlPr>
                </m:dPr>
                <m:e>
                  <m:r>
                    <w:rPr>
                      <w:rFonts w:ascii="Cambria Math" w:hAnsi="Cambria Math" w:cs="Times New Roman"/>
                    </w:rPr>
                    <m:t>Y=1</m:t>
                  </m:r>
                </m:e>
              </m:d>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T</m:t>
              </m:r>
            </m:sup>
          </m:sSubSup>
        </m:oMath>
      </m:oMathPara>
    </w:p>
    <w:p w14:paraId="6A8FA0D2" w14:textId="386ACC32" w:rsidR="0070279A" w:rsidRPr="007119A5" w:rsidRDefault="00BE2BE6" w:rsidP="005C77A7">
      <w:pPr>
        <w:spacing w:line="480" w:lineRule="auto"/>
        <w:ind w:firstLineChars="200" w:firstLine="480"/>
        <w:jc w:val="both"/>
        <w:rPr>
          <w:rFonts w:ascii="Times New Roman" w:hAnsi="Times New Roman" w:cs="Times New Roman"/>
          <w:iCs/>
        </w:rPr>
      </w:pPr>
      <w:r w:rsidRPr="007119A5">
        <w:rPr>
          <w:rFonts w:ascii="Times New Roman" w:hAnsi="Times New Roman" w:cs="Times New Roman"/>
          <w:iCs/>
        </w:rPr>
        <w:t xml:space="preserve">In these equations, X is </w:t>
      </w:r>
      <w:r w:rsidR="008C17F7" w:rsidRPr="007119A5">
        <w:rPr>
          <w:rFonts w:ascii="Times New Roman" w:hAnsi="Times New Roman" w:cs="Times New Roman"/>
          <w:iCs/>
        </w:rPr>
        <w:t xml:space="preserve">observed </w:t>
      </w:r>
      <w:r w:rsidRPr="007119A5">
        <w:rPr>
          <w:rFonts w:ascii="Times New Roman" w:hAnsi="Times New Roman" w:cs="Times New Roman"/>
          <w:iCs/>
        </w:rPr>
        <w:t>exposure (</w:t>
      </w:r>
      <w:r w:rsidR="008C17F7" w:rsidRPr="007119A5">
        <w:rPr>
          <w:rFonts w:ascii="Times New Roman" w:hAnsi="Times New Roman" w:cs="Times New Roman"/>
          <w:iCs/>
        </w:rPr>
        <w:t>i.e.,</w:t>
      </w:r>
      <w:r w:rsidRPr="007119A5">
        <w:rPr>
          <w:rFonts w:ascii="Times New Roman" w:hAnsi="Times New Roman" w:cs="Times New Roman"/>
          <w:iCs/>
        </w:rPr>
        <w:t xml:space="preserve"> residential greenness)</w:t>
      </w:r>
      <w:r w:rsidR="007E306E" w:rsidRPr="007119A5">
        <w:rPr>
          <w:rFonts w:ascii="Times New Roman" w:hAnsi="Times New Roman" w:cs="Times New Roman"/>
          <w:iCs/>
        </w:rPr>
        <w:t xml:space="preserve">, </w:t>
      </w:r>
      <w:r w:rsidRPr="007119A5">
        <w:rPr>
          <w:rFonts w:ascii="Times New Roman" w:hAnsi="Times New Roman" w:cs="Times New Roman"/>
          <w:iCs/>
        </w:rPr>
        <w:t xml:space="preserve">E(M) represents the </w:t>
      </w:r>
      <w:r w:rsidR="008C17F7" w:rsidRPr="007119A5">
        <w:rPr>
          <w:rFonts w:ascii="Times New Roman" w:hAnsi="Times New Roman" w:cs="Times New Roman"/>
          <w:iCs/>
        </w:rPr>
        <w:t xml:space="preserve">average </w:t>
      </w:r>
      <w:r w:rsidRPr="007119A5">
        <w:rPr>
          <w:rFonts w:ascii="Times New Roman" w:hAnsi="Times New Roman" w:cs="Times New Roman"/>
          <w:iCs/>
        </w:rPr>
        <w:t xml:space="preserve">level </w:t>
      </w:r>
      <w:r w:rsidR="008C17F7" w:rsidRPr="007119A5">
        <w:rPr>
          <w:rFonts w:ascii="Times New Roman" w:hAnsi="Times New Roman" w:cs="Times New Roman"/>
          <w:iCs/>
        </w:rPr>
        <w:t xml:space="preserve">of observed </w:t>
      </w:r>
      <w:r w:rsidRPr="007119A5">
        <w:rPr>
          <w:rFonts w:ascii="Times New Roman" w:hAnsi="Times New Roman" w:cs="Times New Roman"/>
          <w:iCs/>
        </w:rPr>
        <w:t>mediator</w:t>
      </w:r>
      <w:r w:rsidR="007E306E" w:rsidRPr="007119A5">
        <w:rPr>
          <w:rFonts w:ascii="Times New Roman" w:hAnsi="Times New Roman" w:cs="Times New Roman"/>
          <w:iCs/>
        </w:rPr>
        <w:t xml:space="preserve">, </w:t>
      </w:r>
      <w:r w:rsidR="008C17F7" w:rsidRPr="007119A5">
        <w:rPr>
          <w:rFonts w:ascii="Times New Roman" w:hAnsi="Times New Roman" w:cs="Times New Roman"/>
          <w:iCs/>
        </w:rPr>
        <w:t>C</w:t>
      </w:r>
      <w:r w:rsidR="008C17F7" w:rsidRPr="007119A5">
        <w:rPr>
          <w:rFonts w:ascii="Times New Roman" w:hAnsi="Times New Roman" w:cs="Times New Roman"/>
          <w:iCs/>
          <w:vertAlign w:val="subscript"/>
        </w:rPr>
        <w:t>k</w:t>
      </w:r>
      <w:r w:rsidR="008C17F7" w:rsidRPr="007119A5">
        <w:rPr>
          <w:rFonts w:ascii="Times New Roman" w:hAnsi="Times New Roman" w:cs="Times New Roman"/>
          <w:iCs/>
        </w:rPr>
        <w:t xml:space="preserve"> denotes set of </w:t>
      </w:r>
      <w:r w:rsidR="007E306E" w:rsidRPr="007119A5">
        <w:rPr>
          <w:rFonts w:ascii="Times New Roman" w:hAnsi="Times New Roman" w:cs="Times New Roman"/>
          <w:iCs/>
        </w:rPr>
        <w:t xml:space="preserve">observed </w:t>
      </w:r>
      <w:r w:rsidR="008C17F7" w:rsidRPr="007119A5">
        <w:rPr>
          <w:rFonts w:ascii="Times New Roman" w:hAnsi="Times New Roman" w:cs="Times New Roman"/>
          <w:iCs/>
        </w:rPr>
        <w:t>confounding variables</w:t>
      </w:r>
      <w:r w:rsidR="007E306E" w:rsidRPr="007119A5">
        <w:rPr>
          <w:rFonts w:ascii="Times New Roman" w:hAnsi="Times New Roman" w:cs="Times New Roman"/>
          <w:iCs/>
        </w:rPr>
        <w:t xml:space="preserve"> and </w:t>
      </w:r>
      <w:r w:rsidR="008C17F7" w:rsidRPr="007119A5">
        <w:rPr>
          <w:rFonts w:ascii="Times New Roman" w:hAnsi="Times New Roman" w:cs="Times New Roman"/>
          <w:iCs/>
        </w:rPr>
        <w:t>Y is a</w:t>
      </w:r>
      <w:r w:rsidR="00A768C2" w:rsidRPr="007119A5">
        <w:rPr>
          <w:rFonts w:ascii="Times New Roman" w:hAnsi="Times New Roman" w:cs="Times New Roman"/>
          <w:iCs/>
        </w:rPr>
        <w:t xml:space="preserve"> binary variable</w:t>
      </w:r>
      <w:r w:rsidR="007E306E" w:rsidRPr="007119A5">
        <w:rPr>
          <w:rFonts w:ascii="Times New Roman" w:hAnsi="Times New Roman" w:cs="Times New Roman"/>
          <w:iCs/>
        </w:rPr>
        <w:t xml:space="preserve">, </w:t>
      </w:r>
      <w:r w:rsidR="00A768C2" w:rsidRPr="007119A5">
        <w:rPr>
          <w:rFonts w:ascii="Times New Roman" w:hAnsi="Times New Roman" w:cs="Times New Roman"/>
          <w:iCs/>
        </w:rPr>
        <w:t xml:space="preserve">Y = 1 </w:t>
      </w:r>
      <w:r w:rsidR="008C17F7" w:rsidRPr="007119A5">
        <w:rPr>
          <w:rFonts w:ascii="Times New Roman" w:hAnsi="Times New Roman" w:cs="Times New Roman"/>
          <w:iCs/>
        </w:rPr>
        <w:t xml:space="preserve">indicate </w:t>
      </w:r>
      <w:r w:rsidR="00A768C2" w:rsidRPr="007119A5">
        <w:rPr>
          <w:rFonts w:ascii="Times New Roman" w:hAnsi="Times New Roman" w:cs="Times New Roman"/>
          <w:iCs/>
        </w:rPr>
        <w:t>individual have been observed MALFD.</w:t>
      </w:r>
      <w:r w:rsidR="00EC5C50" w:rsidRPr="007119A5">
        <w:rPr>
          <w:rFonts w:ascii="Times New Roman" w:hAnsi="Times New Roman" w:cs="Times New Roman"/>
        </w:rPr>
        <w:t xml:space="preserve"> </w:t>
      </w:r>
      <w:r w:rsidR="00EC5C50" w:rsidRPr="007119A5">
        <w:rPr>
          <w:rFonts w:ascii="Times New Roman" w:hAnsi="Times New Roman" w:cs="Times New Roman"/>
          <w:iCs/>
        </w:rPr>
        <w:t xml:space="preserve">The mediating effect was calculated by </w:t>
      </w:r>
      <w:r w:rsidR="003A556C" w:rsidRPr="007119A5">
        <w:rPr>
          <w:rFonts w:ascii="Times New Roman" w:hAnsi="Times New Roman" w:cs="Times New Roman"/>
          <w:iCs/>
        </w:rPr>
        <w:t>following steps: (a)simulate model parameters from their sampling distribution.</w:t>
      </w:r>
      <w:r w:rsidR="003A556C" w:rsidRPr="007119A5">
        <w:rPr>
          <w:rFonts w:ascii="Times New Roman" w:hAnsi="Times New Roman" w:cs="Times New Roman"/>
        </w:rPr>
        <w:t xml:space="preserve"> </w:t>
      </w:r>
      <w:r w:rsidR="003A556C" w:rsidRPr="007119A5">
        <w:rPr>
          <w:rFonts w:ascii="Times New Roman" w:hAnsi="Times New Roman" w:cs="Times New Roman"/>
          <w:iCs/>
        </w:rPr>
        <w:t>(b) simulate the potential values of the mediator, (c) simulate the potential outcomes given the simulated values of the mediator, (d) compute the causal mediation effects.</w:t>
      </w:r>
    </w:p>
    <w:p w14:paraId="57C31E4F" w14:textId="14313750" w:rsidR="00955E08" w:rsidRPr="007119A5" w:rsidRDefault="00216DC0" w:rsidP="005C77A7">
      <w:pPr>
        <w:spacing w:line="480" w:lineRule="auto"/>
        <w:ind w:firstLineChars="200" w:firstLine="480"/>
        <w:jc w:val="both"/>
        <w:rPr>
          <w:rFonts w:ascii="Times New Roman" w:hAnsi="Times New Roman" w:cs="Times New Roman"/>
          <w:iCs/>
        </w:rPr>
      </w:pPr>
      <w:r w:rsidRPr="007119A5">
        <w:rPr>
          <w:rFonts w:ascii="Times New Roman" w:hAnsi="Times New Roman" w:cs="Times New Roman"/>
          <w:iCs/>
        </w:rPr>
        <w:lastRenderedPageBreak/>
        <w:t>For i</w:t>
      </w:r>
      <w:r w:rsidR="00955E08" w:rsidRPr="007119A5">
        <w:rPr>
          <w:rFonts w:ascii="Times New Roman" w:hAnsi="Times New Roman" w:cs="Times New Roman"/>
          <w:iCs/>
        </w:rPr>
        <w:t>dentifying the causal mediation effects</w:t>
      </w:r>
      <w:r w:rsidRPr="007119A5">
        <w:rPr>
          <w:rFonts w:ascii="Times New Roman" w:hAnsi="Times New Roman" w:cs="Times New Roman"/>
          <w:iCs/>
        </w:rPr>
        <w:t xml:space="preserve">, </w:t>
      </w:r>
      <w:r w:rsidR="00955E08" w:rsidRPr="007119A5">
        <w:rPr>
          <w:rFonts w:ascii="Times New Roman" w:hAnsi="Times New Roman" w:cs="Times New Roman"/>
          <w:iCs/>
        </w:rPr>
        <w:t>we have following assumption:</w:t>
      </w:r>
    </w:p>
    <w:p w14:paraId="5FC9C113" w14:textId="6659089F"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iCs/>
        </w:rPr>
        <w:t>a</w:t>
      </w:r>
      <w:r w:rsidR="00955E08" w:rsidRPr="007119A5">
        <w:rPr>
          <w:rFonts w:ascii="Times New Roman" w:hAnsi="Times New Roman" w:cs="Times New Roman"/>
          <w:iCs/>
        </w:rPr>
        <w:t>ssumpti</w:t>
      </w:r>
      <w:r w:rsidR="00955E08" w:rsidRPr="007119A5">
        <w:rPr>
          <w:rFonts w:ascii="Times New Roman" w:hAnsi="Times New Roman" w:cs="Times New Roman"/>
        </w:rPr>
        <w:t>on 1:</w:t>
      </w:r>
      <w:r w:rsidR="00216DC0" w:rsidRPr="007119A5">
        <w:rPr>
          <w:rFonts w:ascii="Times New Roman" w:hAnsi="Times New Roman" w:cs="Times New Roman"/>
        </w:rPr>
        <w:t xml:space="preserve"> </w:t>
      </w:r>
      <w:r w:rsidR="00955E08" w:rsidRPr="007119A5">
        <w:rPr>
          <w:rFonts w:ascii="Times New Roman" w:hAnsi="Times New Roman" w:cs="Times New Roman"/>
        </w:rPr>
        <w:t xml:space="preserve">no unmeasured confounding of the treatment–outcome relationship </w:t>
      </w:r>
    </w:p>
    <w:p w14:paraId="6EACA0FB" w14:textId="276B4D3F"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 2: no unmeasured confounding of the mediator–outcome relationship.</w:t>
      </w:r>
    </w:p>
    <w:p w14:paraId="6FA8C2C7" w14:textId="5BCC90FA"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 3: no unmeasured confounding of the treatment–mediator relationship.</w:t>
      </w:r>
    </w:p>
    <w:p w14:paraId="5E586200" w14:textId="5A96A29D" w:rsidR="00B80B00"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w:t>
      </w:r>
      <w:r w:rsidR="00AD5E0D" w:rsidRPr="007119A5">
        <w:rPr>
          <w:rFonts w:ascii="Times New Roman" w:hAnsi="Times New Roman" w:cs="Times New Roman"/>
        </w:rPr>
        <w:t xml:space="preserve"> </w:t>
      </w:r>
      <w:r w:rsidR="00955E08" w:rsidRPr="007119A5">
        <w:rPr>
          <w:rFonts w:ascii="Times New Roman" w:hAnsi="Times New Roman" w:cs="Times New Roman"/>
        </w:rPr>
        <w:t>4: there is no mediator–outcome confounder that is affected by the exposure</w:t>
      </w:r>
      <w:r w:rsidR="00AD5E0D" w:rsidRPr="007119A5">
        <w:rPr>
          <w:rFonts w:ascii="Times New Roman" w:hAnsi="Times New Roman" w:cs="Times New Roman"/>
        </w:rPr>
        <w:t>.</w:t>
      </w:r>
    </w:p>
    <w:p w14:paraId="07AC56C3" w14:textId="61E8E0B9" w:rsidR="00BB1D51" w:rsidRDefault="006800C0" w:rsidP="005C77A7">
      <w:pPr>
        <w:spacing w:line="480" w:lineRule="auto"/>
        <w:ind w:firstLineChars="200" w:firstLine="480"/>
        <w:jc w:val="both"/>
        <w:rPr>
          <w:rFonts w:ascii="Times New Roman" w:hAnsi="Times New Roman" w:cs="Times New Roman"/>
        </w:rPr>
      </w:pPr>
      <w:r w:rsidRPr="007119A5">
        <w:rPr>
          <w:rFonts w:ascii="Times New Roman" w:hAnsi="Times New Roman" w:cs="Times New Roman"/>
        </w:rPr>
        <w:t xml:space="preserve">For controlling for [assumption 1] confounding of the </w:t>
      </w:r>
      <w:r w:rsidR="0050621A" w:rsidRPr="007119A5">
        <w:rPr>
          <w:rFonts w:ascii="Times New Roman" w:hAnsi="Times New Roman" w:cs="Times New Roman"/>
        </w:rPr>
        <w:t>exposure (i.e., greenness)</w:t>
      </w:r>
      <w:r w:rsidRPr="007119A5">
        <w:rPr>
          <w:rFonts w:ascii="Times New Roman" w:hAnsi="Times New Roman" w:cs="Times New Roman"/>
        </w:rPr>
        <w:t>–outcome</w:t>
      </w:r>
      <w:r w:rsidR="0050621A" w:rsidRPr="007119A5">
        <w:rPr>
          <w:rFonts w:ascii="Times New Roman" w:hAnsi="Times New Roman" w:cs="Times New Roman"/>
        </w:rPr>
        <w:t xml:space="preserve"> (i.e., MAFLD)</w:t>
      </w:r>
      <w:r w:rsidRPr="007119A5">
        <w:rPr>
          <w:rFonts w:ascii="Times New Roman" w:hAnsi="Times New Roman" w:cs="Times New Roman"/>
        </w:rPr>
        <w:t xml:space="preserve"> relationship, </w:t>
      </w:r>
      <w:r w:rsidR="0050621A" w:rsidRPr="007119A5">
        <w:rPr>
          <w:rFonts w:ascii="Times New Roman" w:hAnsi="Times New Roman" w:cs="Times New Roman"/>
        </w:rPr>
        <w:t xml:space="preserve">we should </w:t>
      </w:r>
      <w:r w:rsidRPr="007119A5">
        <w:rPr>
          <w:rFonts w:ascii="Times New Roman" w:hAnsi="Times New Roman" w:cs="Times New Roman"/>
        </w:rPr>
        <w:t>adjust for common causes of the exposure and the outcome</w:t>
      </w:r>
      <w:r w:rsidR="0050621A" w:rsidRPr="007119A5">
        <w:rPr>
          <w:rFonts w:ascii="Times New Roman" w:hAnsi="Times New Roman" w:cs="Times New Roman"/>
        </w:rPr>
        <w:t xml:space="preserve"> such as age, gender. And for satisfy the assumption 2, we should adjust for the common cause between exposure</w:t>
      </w:r>
      <w:r w:rsidR="003871D6" w:rsidRPr="007119A5">
        <w:rPr>
          <w:rFonts w:ascii="Times New Roman" w:hAnsi="Times New Roman" w:cs="Times New Roman"/>
        </w:rPr>
        <w:t xml:space="preserve"> </w:t>
      </w:r>
      <w:r w:rsidR="0050621A" w:rsidRPr="007119A5">
        <w:rPr>
          <w:rFonts w:ascii="Times New Roman" w:hAnsi="Times New Roman" w:cs="Times New Roman"/>
        </w:rPr>
        <w:t>(</w:t>
      </w:r>
      <w:r w:rsidR="003871D6" w:rsidRPr="007119A5">
        <w:rPr>
          <w:rFonts w:ascii="Times New Roman" w:hAnsi="Times New Roman" w:cs="Times New Roman"/>
        </w:rPr>
        <w:t xml:space="preserve">i.e., </w:t>
      </w:r>
      <w:r w:rsidR="0050621A" w:rsidRPr="007119A5">
        <w:rPr>
          <w:rFonts w:ascii="Times New Roman" w:hAnsi="Times New Roman" w:cs="Times New Roman"/>
        </w:rPr>
        <w:t xml:space="preserve">greenness) and mediator (i.e., air pollution and physical activity) such as </w:t>
      </w:r>
      <w:r w:rsidR="003871D6" w:rsidRPr="007119A5">
        <w:rPr>
          <w:rFonts w:ascii="Times New Roman" w:hAnsi="Times New Roman" w:cs="Times New Roman"/>
        </w:rPr>
        <w:t xml:space="preserve">region, areas. And for satisfy the assumption 3, we should adjust for the common cause of mediator (i.e., air pollution and physical activity) and outcome (i.e., MAFLD) such as age, gender, household income. Actually, </w:t>
      </w:r>
      <w:r w:rsidR="0046667E" w:rsidRPr="007119A5">
        <w:rPr>
          <w:rFonts w:ascii="Times New Roman" w:hAnsi="Times New Roman" w:cs="Times New Roman"/>
        </w:rPr>
        <w:t xml:space="preserve">we </w:t>
      </w:r>
      <w:r w:rsidR="00510D31" w:rsidRPr="007119A5">
        <w:rPr>
          <w:rFonts w:ascii="Times New Roman" w:hAnsi="Times New Roman" w:cs="Times New Roman"/>
        </w:rPr>
        <w:t xml:space="preserve">need </w:t>
      </w:r>
      <w:r w:rsidR="003871D6" w:rsidRPr="007119A5">
        <w:rPr>
          <w:rFonts w:ascii="Times New Roman" w:hAnsi="Times New Roman" w:cs="Times New Roman"/>
        </w:rPr>
        <w:t>not</w:t>
      </w:r>
      <w:r w:rsidR="0046667E" w:rsidRPr="007119A5">
        <w:rPr>
          <w:rFonts w:ascii="Times New Roman" w:hAnsi="Times New Roman" w:cs="Times New Roman"/>
        </w:rPr>
        <w:t xml:space="preserve"> </w:t>
      </w:r>
      <w:r w:rsidR="003871D6" w:rsidRPr="007119A5">
        <w:rPr>
          <w:rFonts w:ascii="Times New Roman" w:hAnsi="Times New Roman" w:cs="Times New Roman"/>
        </w:rPr>
        <w:t>to distinguish in this regression approach the treatment–outcome and the mediator–outcome confounding variables</w:t>
      </w:r>
      <w:r w:rsidR="0046667E" w:rsidRPr="007119A5">
        <w:rPr>
          <w:rFonts w:ascii="Times New Roman" w:hAnsi="Times New Roman" w:cs="Times New Roman"/>
        </w:rPr>
        <w:t xml:space="preserve"> and include all three types of confounding variables</w:t>
      </w:r>
      <w:r w:rsidR="00BA6EFE" w:rsidRPr="007119A5">
        <w:rPr>
          <w:rFonts w:ascii="Times New Roman" w:hAnsi="Times New Roman" w:cs="Times New Roman"/>
        </w:rPr>
        <w:t xml:space="preserve"> </w:t>
      </w:r>
      <w:r w:rsidR="0046667E" w:rsidRPr="007119A5">
        <w:rPr>
          <w:rFonts w:ascii="Times New Roman" w:hAnsi="Times New Roman" w:cs="Times New Roman"/>
          <w:vertAlign w:val="superscript"/>
        </w:rPr>
        <w:t>[</w:t>
      </w:r>
      <w:r w:rsidR="004663C3" w:rsidRPr="007119A5">
        <w:rPr>
          <w:rFonts w:ascii="Times New Roman" w:hAnsi="Times New Roman" w:cs="Times New Roman"/>
          <w:vertAlign w:val="superscript"/>
        </w:rPr>
        <w:fldChar w:fldCharType="begin"/>
      </w:r>
      <w:r w:rsidR="00637ACD">
        <w:rPr>
          <w:rFonts w:ascii="Times New Roman" w:hAnsi="Times New Roman" w:cs="Times New Roman"/>
          <w:vertAlign w:val="superscript"/>
        </w:rPr>
        <w:instrText xml:space="preserve"> ADDIN EN.CITE &lt;EndNote&gt;&lt;Cite&gt;&lt;Author&gt;VanderWeele&lt;/Author&gt;&lt;Year&gt;2015&lt;/Year&gt;&lt;RecNum&gt;67&lt;/RecNum&gt;&lt;DisplayText&gt;&lt;style face="superscript"&gt;2&lt;/style&gt;&lt;/DisplayText&gt;&lt;record&gt;&lt;rec-number&gt;67&lt;/rec-number&gt;&lt;foreign-keys&gt;&lt;key app="EN" db-id="sattzxzfxrs5zbesr99xwsxntrpxx2rpadp9" timestamp="1643085220" guid="8f73bbe1-083e-4c2d-8dcf-1145bbf14faa"&gt;67&lt;/key&gt;&lt;/foreign-keys&gt;&lt;ref-type name="Book"&gt;6&lt;/ref-type&gt;&lt;contributors&gt;&lt;authors&gt;&lt;author&gt;Tyler VanderWeele&lt;/author&gt;&lt;/authors&gt;&lt;/contributors&gt;&lt;titles&gt;&lt;title&gt;Explanation in causal inference: methods for mediation and interaction&lt;/title&gt;&lt;/titles&gt;&lt;pages&gt;25&lt;/pages&gt;&lt;dates&gt;&lt;year&gt;2015&lt;/year&gt;&lt;/dates&gt;&lt;publisher&gt;Oxford University Press,&lt;/publisher&gt;&lt;isbn&gt;9780199325870&lt;/isbn&gt;&lt;urls&gt;&lt;/urls&gt;&lt;/record&gt;&lt;/Cite&gt;&lt;/EndNote&gt;</w:instrText>
      </w:r>
      <w:r w:rsidR="004663C3" w:rsidRPr="007119A5">
        <w:rPr>
          <w:rFonts w:ascii="Times New Roman" w:hAnsi="Times New Roman" w:cs="Times New Roman"/>
          <w:vertAlign w:val="superscript"/>
        </w:rPr>
        <w:fldChar w:fldCharType="separate"/>
      </w:r>
      <w:r w:rsidR="00637ACD">
        <w:rPr>
          <w:rFonts w:ascii="Times New Roman" w:hAnsi="Times New Roman" w:cs="Times New Roman"/>
          <w:noProof/>
          <w:vertAlign w:val="superscript"/>
        </w:rPr>
        <w:t>2</w:t>
      </w:r>
      <w:r w:rsidR="004663C3" w:rsidRPr="007119A5">
        <w:rPr>
          <w:rFonts w:ascii="Times New Roman" w:hAnsi="Times New Roman" w:cs="Times New Roman"/>
          <w:vertAlign w:val="superscript"/>
        </w:rPr>
        <w:fldChar w:fldCharType="end"/>
      </w:r>
      <w:r w:rsidR="0046667E" w:rsidRPr="007119A5">
        <w:rPr>
          <w:rFonts w:ascii="Times New Roman" w:hAnsi="Times New Roman" w:cs="Times New Roman"/>
          <w:vertAlign w:val="superscript"/>
        </w:rPr>
        <w:t>]</w:t>
      </w:r>
      <w:r w:rsidR="0046667E" w:rsidRPr="007119A5">
        <w:rPr>
          <w:rFonts w:ascii="Times New Roman" w:hAnsi="Times New Roman" w:cs="Times New Roman"/>
        </w:rPr>
        <w:t>.</w:t>
      </w:r>
      <w:r w:rsidR="00DA1903" w:rsidRPr="007119A5">
        <w:rPr>
          <w:rFonts w:ascii="Times New Roman" w:hAnsi="Times New Roman" w:cs="Times New Roman"/>
        </w:rPr>
        <w:t xml:space="preserve"> A</w:t>
      </w:r>
      <w:r w:rsidR="00386D0D" w:rsidRPr="007119A5">
        <w:rPr>
          <w:rFonts w:ascii="Times New Roman" w:hAnsi="Times New Roman" w:cs="Times New Roman"/>
        </w:rPr>
        <w:t xml:space="preserve">ssumption </w:t>
      </w:r>
      <w:r w:rsidR="00DA1903" w:rsidRPr="007119A5">
        <w:rPr>
          <w:rFonts w:ascii="Times New Roman" w:hAnsi="Times New Roman" w:cs="Times New Roman"/>
        </w:rPr>
        <w:t xml:space="preserve">4 </w:t>
      </w:r>
      <w:r w:rsidR="00386D0D" w:rsidRPr="007119A5">
        <w:rPr>
          <w:rFonts w:ascii="Times New Roman" w:hAnsi="Times New Roman" w:cs="Times New Roman"/>
        </w:rPr>
        <w:t>is known as a cross-world independence assumpti</w:t>
      </w:r>
      <w:r w:rsidR="00DA1903" w:rsidRPr="007119A5">
        <w:rPr>
          <w:rFonts w:ascii="Times New Roman" w:hAnsi="Times New Roman" w:cs="Times New Roman"/>
        </w:rPr>
        <w:t xml:space="preserve">on, because it requires that conditional on the confounding variables of mediator and outcome, the mediator under the exposure level </w:t>
      </w:r>
      <w:r w:rsidR="00F55224" w:rsidRPr="007119A5">
        <w:rPr>
          <w:rFonts w:ascii="Times New Roman" w:hAnsi="Times New Roman" w:cs="Times New Roman"/>
        </w:rPr>
        <w:t>equal</w:t>
      </w:r>
      <w:r w:rsidR="00DA1903" w:rsidRPr="007119A5">
        <w:rPr>
          <w:rFonts w:ascii="Times New Roman" w:hAnsi="Times New Roman" w:cs="Times New Roman"/>
        </w:rPr>
        <w:t xml:space="preserve"> </w:t>
      </w:r>
      <w:r w:rsidR="00F55224" w:rsidRPr="007119A5">
        <w:rPr>
          <w:rFonts w:ascii="Times New Roman" w:hAnsi="Times New Roman" w:cs="Times New Roman"/>
        </w:rPr>
        <w:t xml:space="preserve">x* is independent of the outcome under the exposure level equal x (x, x* are in </w:t>
      </w:r>
      <w:r w:rsidR="00B73155" w:rsidRPr="007119A5">
        <w:rPr>
          <w:rFonts w:ascii="Times New Roman" w:hAnsi="Times New Roman" w:cs="Times New Roman"/>
        </w:rPr>
        <w:t>cross-</w:t>
      </w:r>
      <w:r w:rsidR="00F55224" w:rsidRPr="007119A5">
        <w:rPr>
          <w:rFonts w:ascii="Times New Roman" w:hAnsi="Times New Roman" w:cs="Times New Roman"/>
        </w:rPr>
        <w:t>world).</w:t>
      </w:r>
    </w:p>
    <w:p w14:paraId="1C23E4EA" w14:textId="5E0A5E05" w:rsidR="00EF1A60" w:rsidRDefault="008A6048" w:rsidP="008A6048">
      <w:pPr>
        <w:spacing w:line="480" w:lineRule="auto"/>
        <w:ind w:firstLineChars="200" w:firstLine="480"/>
        <w:jc w:val="both"/>
        <w:rPr>
          <w:rFonts w:ascii="Times New Roman" w:hAnsi="Times New Roman" w:cs="Times New Roman"/>
        </w:rPr>
      </w:pPr>
      <w:r w:rsidRPr="008A6048">
        <w:rPr>
          <w:rFonts w:ascii="Times New Roman" w:hAnsi="Times New Roman" w:cs="Times New Roman"/>
        </w:rPr>
        <w:t>In order to interrogate the assumptions, we have calculated a sensitivity parameter indicating the minimum strength of association on difference scale that an unmeasured confounder would need to have with both the exposure and the outcome, conditional on the measured covariates, could to diminish the nature indirect effects to zero</w:t>
      </w:r>
      <w:r w:rsidR="00637ACD">
        <w:rPr>
          <w:rFonts w:ascii="Times New Roman" w:hAnsi="Times New Roman" w:cs="Times New Roman"/>
        </w:rPr>
        <w:t xml:space="preserve"> </w:t>
      </w:r>
      <w:r w:rsidRPr="00637ACD">
        <w:rPr>
          <w:rFonts w:ascii="Times New Roman" w:hAnsi="Times New Roman" w:cs="Times New Roman"/>
          <w:vertAlign w:val="superscript"/>
        </w:rPr>
        <w:t>[</w:t>
      </w:r>
      <w:r w:rsidR="00637ACD" w:rsidRPr="00637ACD">
        <w:rPr>
          <w:rFonts w:ascii="Times New Roman" w:hAnsi="Times New Roman" w:cs="Times New Roman"/>
          <w:vertAlign w:val="superscript"/>
        </w:rPr>
        <w:fldChar w:fldCharType="begin">
          <w:fldData xml:space="preserve">PEVuZE5vdGU+PENpdGU+PEF1dGhvcj5WYW5kZXJXZWVsZTwvQXV0aG9yPjxZZWFyPjIwMTU8L1ll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</w:fldData>
        </w:fldChar>
      </w:r>
      <w:r w:rsidR="00637ACD" w:rsidRPr="00637ACD">
        <w:rPr>
          <w:rFonts w:ascii="Times New Roman" w:hAnsi="Times New Roman" w:cs="Times New Roman"/>
          <w:vertAlign w:val="superscript"/>
        </w:rPr>
        <w:instrText xml:space="preserve"> ADDIN EN.CITE </w:instrText>
      </w:r>
      <w:r w:rsidR="00637ACD" w:rsidRPr="00637ACD">
        <w:rPr>
          <w:rFonts w:ascii="Times New Roman" w:hAnsi="Times New Roman" w:cs="Times New Roman"/>
          <w:vertAlign w:val="superscript"/>
        </w:rPr>
        <w:fldChar w:fldCharType="begin">
          <w:fldData xml:space="preserve">PEVuZE5vdGU+PENpdGU+PEF1dGhvcj5WYW5kZXJXZWVsZTwvQXV0aG9yPjxZZWFyPjIwMTU8L1ll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</w:fldData>
        </w:fldChar>
      </w:r>
      <w:r w:rsidR="00637ACD" w:rsidRPr="00637ACD">
        <w:rPr>
          <w:rFonts w:ascii="Times New Roman" w:hAnsi="Times New Roman" w:cs="Times New Roman"/>
          <w:vertAlign w:val="superscript"/>
        </w:rPr>
        <w:instrText xml:space="preserve"> ADDIN EN.CITE.DATA </w:instrText>
      </w:r>
      <w:r w:rsidR="00637ACD" w:rsidRPr="00637ACD">
        <w:rPr>
          <w:rFonts w:ascii="Times New Roman" w:hAnsi="Times New Roman" w:cs="Times New Roman"/>
          <w:vertAlign w:val="superscript"/>
        </w:rPr>
      </w:r>
      <w:r w:rsidR="00637ACD" w:rsidRPr="00637ACD">
        <w:rPr>
          <w:rFonts w:ascii="Times New Roman" w:hAnsi="Times New Roman" w:cs="Times New Roman"/>
          <w:vertAlign w:val="superscript"/>
        </w:rPr>
        <w:fldChar w:fldCharType="end"/>
      </w:r>
      <w:r w:rsidR="00637ACD" w:rsidRPr="00637ACD">
        <w:rPr>
          <w:rFonts w:ascii="Times New Roman" w:hAnsi="Times New Roman" w:cs="Times New Roman"/>
          <w:vertAlign w:val="superscript"/>
        </w:rPr>
      </w:r>
      <w:r w:rsidR="00637ACD" w:rsidRPr="00637ACD">
        <w:rPr>
          <w:rFonts w:ascii="Times New Roman" w:hAnsi="Times New Roman" w:cs="Times New Roman"/>
          <w:vertAlign w:val="superscript"/>
        </w:rPr>
        <w:fldChar w:fldCharType="separate"/>
      </w:r>
      <w:r w:rsidR="00637ACD" w:rsidRPr="00637ACD">
        <w:rPr>
          <w:rFonts w:ascii="Times New Roman" w:hAnsi="Times New Roman" w:cs="Times New Roman"/>
          <w:noProof/>
          <w:vertAlign w:val="superscript"/>
        </w:rPr>
        <w:t>2 3</w:t>
      </w:r>
      <w:r w:rsidR="00637ACD" w:rsidRPr="00637ACD">
        <w:rPr>
          <w:rFonts w:ascii="Times New Roman" w:hAnsi="Times New Roman" w:cs="Times New Roman"/>
          <w:vertAlign w:val="superscript"/>
        </w:rPr>
        <w:fldChar w:fldCharType="end"/>
      </w:r>
      <w:r w:rsidRPr="00637ACD">
        <w:rPr>
          <w:rFonts w:ascii="Times New Roman" w:hAnsi="Times New Roman" w:cs="Times New Roman"/>
          <w:vertAlign w:val="superscript"/>
        </w:rPr>
        <w:t>]</w:t>
      </w:r>
      <w:r w:rsidRPr="008A6048">
        <w:rPr>
          <w:rFonts w:ascii="Times New Roman" w:hAnsi="Times New Roman" w:cs="Times New Roman"/>
        </w:rPr>
        <w:t xml:space="preserve">. </w:t>
      </w:r>
      <w:r w:rsidRPr="008A6048">
        <w:rPr>
          <w:rFonts w:ascii="Times New Roman" w:hAnsi="Times New Roman" w:cs="Times New Roman"/>
        </w:rPr>
        <w:lastRenderedPageBreak/>
        <w:t>Results shown in Table</w:t>
      </w:r>
      <w:r w:rsidR="002C5A08">
        <w:rPr>
          <w:rFonts w:ascii="Times New Roman" w:hAnsi="Times New Roman" w:cs="Times New Roman"/>
        </w:rPr>
        <w:t xml:space="preserve"> S1</w:t>
      </w:r>
      <w:r w:rsidRPr="008A6048">
        <w:rPr>
          <w:rFonts w:ascii="Times New Roman" w:hAnsi="Times New Roman" w:cs="Times New Roman"/>
        </w:rPr>
        <w:t>.</w:t>
      </w:r>
      <w:r w:rsidR="002C5A08" w:rsidRPr="002C5A08">
        <w:rPr>
          <w:rFonts w:ascii="Times New Roman" w:hAnsi="Times New Roman" w:cs="Times New Roman"/>
        </w:rPr>
        <w:t xml:space="preserve"> </w:t>
      </w:r>
      <w:r w:rsidR="002C5A08" w:rsidRPr="008A6048">
        <w:rPr>
          <w:rFonts w:ascii="Times New Roman" w:hAnsi="Times New Roman" w:cs="Times New Roman"/>
        </w:rPr>
        <w:t>Table</w:t>
      </w:r>
      <w:r w:rsidR="002C5A08">
        <w:rPr>
          <w:rFonts w:ascii="Times New Roman" w:hAnsi="Times New Roman" w:cs="Times New Roman"/>
        </w:rPr>
        <w:t xml:space="preserve"> S1 shows </w:t>
      </w:r>
      <w:r w:rsidR="002C5A08" w:rsidRPr="002C5A08">
        <w:rPr>
          <w:rFonts w:ascii="Times New Roman" w:hAnsi="Times New Roman" w:cs="Times New Roman"/>
        </w:rPr>
        <w:t>that, for example, to diminish mediating effects of PM</w:t>
      </w:r>
      <w:r w:rsidR="002C5A08" w:rsidRPr="00F744E8">
        <w:rPr>
          <w:rFonts w:ascii="Times New Roman" w:hAnsi="Times New Roman" w:cs="Times New Roman"/>
          <w:vertAlign w:val="subscript"/>
        </w:rPr>
        <w:t>1</w:t>
      </w:r>
      <w:r w:rsidR="002C5A08" w:rsidRPr="002C5A08">
        <w:rPr>
          <w:rFonts w:ascii="Times New Roman" w:hAnsi="Times New Roman" w:cs="Times New Roman"/>
        </w:rPr>
        <w:t xml:space="preserve"> between NDVI</w:t>
      </w:r>
      <w:r w:rsidR="002C5A08" w:rsidRPr="00F744E8">
        <w:rPr>
          <w:rFonts w:ascii="Times New Roman" w:hAnsi="Times New Roman" w:cs="Times New Roman"/>
          <w:vertAlign w:val="subscript"/>
        </w:rPr>
        <w:t>500m</w:t>
      </w:r>
      <w:r w:rsidR="002C5A08" w:rsidRPr="002C5A08">
        <w:rPr>
          <w:rFonts w:ascii="Times New Roman" w:hAnsi="Times New Roman" w:cs="Times New Roman"/>
        </w:rPr>
        <w:t xml:space="preserve"> and MAFLD, an unmeasured confounder would be need which have a risk difference of 0.125 in association with MAFLD and exposure conditional on observed confounder and mediator.</w:t>
      </w:r>
    </w:p>
    <w:p w14:paraId="6098B952" w14:textId="184FC86A" w:rsidR="008A6048" w:rsidRPr="008A6048" w:rsidRDefault="00EF1A60" w:rsidP="00EF1A60">
      <w:pPr>
        <w:rPr>
          <w:rFonts w:ascii="Times New Roman" w:hAnsi="Times New Roman" w:cs="Times New Roman"/>
        </w:rPr>
      </w:pPr>
      <w:r>
        <w:rPr>
          <w:rFonts w:ascii="Times New Roman" w:hAnsi="Times New Roman" w:cs="Times New Roman"/>
        </w:rPr>
        <w:br w:type="page"/>
      </w:r>
    </w:p>
    <w:p w14:paraId="2811B136" w14:textId="1FB6EC69" w:rsidR="008A6048" w:rsidRPr="008A6048" w:rsidRDefault="008A6048" w:rsidP="00EF1A60">
      <w:pPr>
        <w:spacing w:line="480" w:lineRule="auto"/>
        <w:jc w:val="both"/>
        <w:rPr>
          <w:rFonts w:ascii="Times New Roman" w:hAnsi="Times New Roman" w:cs="Times New Roman"/>
        </w:rPr>
      </w:pPr>
      <w:r w:rsidRPr="00EF1A60">
        <w:rPr>
          <w:rFonts w:ascii="Times New Roman" w:hAnsi="Times New Roman" w:cs="Times New Roman"/>
          <w:b/>
          <w:bCs/>
        </w:rPr>
        <w:lastRenderedPageBreak/>
        <w:t xml:space="preserve">Table </w:t>
      </w:r>
      <w:r w:rsidR="002C5A08" w:rsidRPr="00EF1A60">
        <w:rPr>
          <w:rFonts w:ascii="Times New Roman" w:hAnsi="Times New Roman" w:cs="Times New Roman"/>
          <w:b/>
          <w:bCs/>
        </w:rPr>
        <w:t>S1</w:t>
      </w:r>
      <w:r w:rsidRPr="00EF1A60">
        <w:rPr>
          <w:rFonts w:ascii="Times New Roman" w:hAnsi="Times New Roman" w:cs="Times New Roman"/>
          <w:b/>
          <w:bCs/>
        </w:rPr>
        <w:t>.</w:t>
      </w:r>
      <w:r w:rsidRPr="008A6048">
        <w:rPr>
          <w:rFonts w:ascii="Times New Roman" w:hAnsi="Times New Roman" w:cs="Times New Roman"/>
        </w:rPr>
        <w:t xml:space="preserve"> The sensitivity parameter for combination of exposure and mediator</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30"/>
        <w:gridCol w:w="990"/>
        <w:gridCol w:w="2265"/>
        <w:gridCol w:w="840"/>
        <w:gridCol w:w="2265"/>
      </w:tblGrid>
      <w:tr w:rsidR="008A6048" w:rsidRPr="00D9126A" w14:paraId="40E147A9" w14:textId="77777777" w:rsidTr="00CF1BAB">
        <w:trPr>
          <w:trHeight w:val="324"/>
        </w:trPr>
        <w:tc>
          <w:tcPr>
            <w:tcW w:w="1830" w:type="dxa"/>
            <w:vMerge w:val="restart"/>
            <w:tcBorders>
              <w:top w:val="single" w:sz="4" w:space="0" w:color="auto"/>
              <w:bottom w:val="nil"/>
            </w:tcBorders>
            <w:tcMar>
              <w:top w:w="0" w:type="dxa"/>
              <w:left w:w="108" w:type="dxa"/>
              <w:bottom w:w="0" w:type="dxa"/>
              <w:right w:w="108" w:type="dxa"/>
            </w:tcMar>
            <w:vAlign w:val="bottom"/>
            <w:hideMark/>
          </w:tcPr>
          <w:p w14:paraId="3C9D1151" w14:textId="77777777" w:rsidR="008A6048" w:rsidRPr="00D9126A" w:rsidRDefault="008A6048" w:rsidP="00C013BC"/>
        </w:tc>
        <w:tc>
          <w:tcPr>
            <w:tcW w:w="3255" w:type="dxa"/>
            <w:gridSpan w:val="2"/>
            <w:tcBorders>
              <w:top w:val="single" w:sz="4" w:space="0" w:color="auto"/>
              <w:bottom w:val="nil"/>
            </w:tcBorders>
            <w:tcMar>
              <w:top w:w="0" w:type="dxa"/>
              <w:left w:w="108" w:type="dxa"/>
              <w:bottom w:w="0" w:type="dxa"/>
              <w:right w:w="108" w:type="dxa"/>
            </w:tcMar>
            <w:vAlign w:val="bottom"/>
            <w:hideMark/>
          </w:tcPr>
          <w:p w14:paraId="70AE1BA7" w14:textId="77777777" w:rsidR="008A6048" w:rsidRPr="00D9126A" w:rsidRDefault="008A6048" w:rsidP="00C013BC">
            <w:pPr>
              <w:jc w:val="center"/>
            </w:pPr>
            <w:r w:rsidRPr="00D9126A">
              <w:rPr>
                <w:rFonts w:ascii="Verdana" w:hAnsi="Verdana"/>
                <w:color w:val="000000"/>
                <w:sz w:val="18"/>
                <w:szCs w:val="18"/>
              </w:rPr>
              <w:t>NDVI</w:t>
            </w:r>
            <w:r w:rsidRPr="009F1C0F">
              <w:rPr>
                <w:rFonts w:ascii="Verdana" w:hAnsi="Verdana"/>
                <w:color w:val="000000"/>
                <w:sz w:val="18"/>
                <w:szCs w:val="18"/>
                <w:vertAlign w:val="subscript"/>
              </w:rPr>
              <w:t>500</w:t>
            </w:r>
            <w:r w:rsidRPr="009F1C0F">
              <w:rPr>
                <w:rFonts w:ascii="Verdana" w:hAnsi="Verdana" w:hint="eastAsia"/>
                <w:color w:val="000000"/>
                <w:sz w:val="18"/>
                <w:szCs w:val="18"/>
                <w:vertAlign w:val="subscript"/>
              </w:rPr>
              <w:t>m</w:t>
            </w:r>
          </w:p>
        </w:tc>
        <w:tc>
          <w:tcPr>
            <w:tcW w:w="3105" w:type="dxa"/>
            <w:gridSpan w:val="2"/>
            <w:tcBorders>
              <w:top w:val="single" w:sz="4" w:space="0" w:color="auto"/>
              <w:bottom w:val="nil"/>
            </w:tcBorders>
            <w:tcMar>
              <w:top w:w="0" w:type="dxa"/>
              <w:left w:w="108" w:type="dxa"/>
              <w:bottom w:w="0" w:type="dxa"/>
              <w:right w:w="108" w:type="dxa"/>
            </w:tcMar>
            <w:vAlign w:val="bottom"/>
            <w:hideMark/>
          </w:tcPr>
          <w:p w14:paraId="6267BD97" w14:textId="77777777" w:rsidR="008A6048" w:rsidRPr="00D9126A" w:rsidRDefault="008A6048" w:rsidP="00C013BC">
            <w:pPr>
              <w:jc w:val="center"/>
            </w:pPr>
            <w:r w:rsidRPr="00D9126A">
              <w:rPr>
                <w:rFonts w:ascii="Verdana" w:hAnsi="Verdana"/>
                <w:color w:val="000000"/>
                <w:sz w:val="18"/>
                <w:szCs w:val="18"/>
              </w:rPr>
              <w:t>EVI</w:t>
            </w:r>
            <w:r w:rsidRPr="009F1C0F">
              <w:rPr>
                <w:rFonts w:ascii="Verdana" w:hAnsi="Verdana"/>
                <w:color w:val="000000"/>
                <w:sz w:val="18"/>
                <w:szCs w:val="18"/>
                <w:vertAlign w:val="subscript"/>
              </w:rPr>
              <w:t>500m</w:t>
            </w:r>
          </w:p>
        </w:tc>
      </w:tr>
      <w:tr w:rsidR="008A6048" w:rsidRPr="00D9126A" w14:paraId="19354EA4" w14:textId="77777777" w:rsidTr="00CF1BAB">
        <w:trPr>
          <w:trHeight w:val="288"/>
        </w:trPr>
        <w:tc>
          <w:tcPr>
            <w:tcW w:w="0" w:type="auto"/>
            <w:vMerge/>
            <w:tcBorders>
              <w:top w:val="nil"/>
              <w:bottom w:val="single" w:sz="4" w:space="0" w:color="auto"/>
            </w:tcBorders>
            <w:vAlign w:val="center"/>
            <w:hideMark/>
          </w:tcPr>
          <w:p w14:paraId="1D86F743" w14:textId="77777777" w:rsidR="008A6048" w:rsidRPr="00D9126A" w:rsidRDefault="008A6048" w:rsidP="00C013BC"/>
        </w:tc>
        <w:tc>
          <w:tcPr>
            <w:tcW w:w="990" w:type="dxa"/>
            <w:tcBorders>
              <w:top w:val="nil"/>
              <w:bottom w:val="single" w:sz="4" w:space="0" w:color="auto"/>
            </w:tcBorders>
            <w:tcMar>
              <w:top w:w="0" w:type="dxa"/>
              <w:left w:w="108" w:type="dxa"/>
              <w:bottom w:w="0" w:type="dxa"/>
              <w:right w:w="108" w:type="dxa"/>
            </w:tcMar>
            <w:vAlign w:val="bottom"/>
            <w:hideMark/>
          </w:tcPr>
          <w:p w14:paraId="5DC88926" w14:textId="77777777" w:rsidR="008A6048" w:rsidRPr="00D9126A" w:rsidRDefault="008A6048" w:rsidP="00C013BC">
            <w:pPr>
              <w:jc w:val="center"/>
            </w:pPr>
            <w:r w:rsidRPr="00D9126A">
              <w:rPr>
                <w:rFonts w:ascii="Verdana" w:hAnsi="Verdana"/>
                <w:color w:val="000000"/>
                <w:sz w:val="18"/>
                <w:szCs w:val="18"/>
              </w:rPr>
              <w:t>ACME</w:t>
            </w:r>
          </w:p>
        </w:tc>
        <w:tc>
          <w:tcPr>
            <w:tcW w:w="2265" w:type="dxa"/>
            <w:tcBorders>
              <w:top w:val="nil"/>
              <w:bottom w:val="single" w:sz="4" w:space="0" w:color="auto"/>
            </w:tcBorders>
            <w:tcMar>
              <w:top w:w="0" w:type="dxa"/>
              <w:left w:w="108" w:type="dxa"/>
              <w:bottom w:w="0" w:type="dxa"/>
              <w:right w:w="108" w:type="dxa"/>
            </w:tcMar>
            <w:vAlign w:val="bottom"/>
            <w:hideMark/>
          </w:tcPr>
          <w:p w14:paraId="71425F67" w14:textId="77777777" w:rsidR="008A6048" w:rsidRPr="00D9126A" w:rsidRDefault="008A6048" w:rsidP="00C013BC">
            <w:pPr>
              <w:jc w:val="center"/>
            </w:pPr>
            <w:r w:rsidRPr="00D9126A">
              <w:rPr>
                <w:rFonts w:ascii="Verdana" w:hAnsi="Verdana"/>
                <w:color w:val="000000"/>
                <w:sz w:val="18"/>
                <w:szCs w:val="18"/>
              </w:rPr>
              <w:t>sensitivity parameter</w:t>
            </w:r>
          </w:p>
        </w:tc>
        <w:tc>
          <w:tcPr>
            <w:tcW w:w="840" w:type="dxa"/>
            <w:tcBorders>
              <w:top w:val="nil"/>
              <w:bottom w:val="single" w:sz="4" w:space="0" w:color="auto"/>
            </w:tcBorders>
            <w:tcMar>
              <w:top w:w="0" w:type="dxa"/>
              <w:left w:w="108" w:type="dxa"/>
              <w:bottom w:w="0" w:type="dxa"/>
              <w:right w:w="108" w:type="dxa"/>
            </w:tcMar>
            <w:vAlign w:val="bottom"/>
            <w:hideMark/>
          </w:tcPr>
          <w:p w14:paraId="1A52E224" w14:textId="77777777" w:rsidR="008A6048" w:rsidRPr="00D9126A" w:rsidRDefault="008A6048" w:rsidP="00C013BC">
            <w:pPr>
              <w:jc w:val="center"/>
            </w:pPr>
            <w:r w:rsidRPr="00D9126A">
              <w:rPr>
                <w:rFonts w:ascii="Verdana" w:hAnsi="Verdana"/>
                <w:color w:val="000000"/>
                <w:sz w:val="18"/>
                <w:szCs w:val="18"/>
              </w:rPr>
              <w:t>ACME</w:t>
            </w:r>
          </w:p>
        </w:tc>
        <w:tc>
          <w:tcPr>
            <w:tcW w:w="2265" w:type="dxa"/>
            <w:tcBorders>
              <w:top w:val="nil"/>
              <w:bottom w:val="single" w:sz="4" w:space="0" w:color="auto"/>
            </w:tcBorders>
            <w:tcMar>
              <w:top w:w="0" w:type="dxa"/>
              <w:left w:w="108" w:type="dxa"/>
              <w:bottom w:w="0" w:type="dxa"/>
              <w:right w:w="108" w:type="dxa"/>
            </w:tcMar>
            <w:vAlign w:val="bottom"/>
            <w:hideMark/>
          </w:tcPr>
          <w:p w14:paraId="78BA2BF5" w14:textId="77777777" w:rsidR="008A6048" w:rsidRPr="00D9126A" w:rsidRDefault="008A6048" w:rsidP="00C013BC">
            <w:pPr>
              <w:jc w:val="center"/>
            </w:pPr>
            <w:r w:rsidRPr="00D9126A">
              <w:rPr>
                <w:rFonts w:ascii="Verdana" w:hAnsi="Verdana"/>
                <w:color w:val="000000"/>
                <w:sz w:val="18"/>
                <w:szCs w:val="18"/>
              </w:rPr>
              <w:t>sensitivity parameter</w:t>
            </w:r>
          </w:p>
        </w:tc>
      </w:tr>
      <w:tr w:rsidR="008A6048" w:rsidRPr="00D9126A" w14:paraId="7F3939B5" w14:textId="77777777" w:rsidTr="00CF1BAB">
        <w:trPr>
          <w:trHeight w:val="324"/>
        </w:trPr>
        <w:tc>
          <w:tcPr>
            <w:tcW w:w="1830" w:type="dxa"/>
            <w:tcBorders>
              <w:top w:val="single" w:sz="4" w:space="0" w:color="auto"/>
            </w:tcBorders>
            <w:tcMar>
              <w:top w:w="0" w:type="dxa"/>
              <w:left w:w="108" w:type="dxa"/>
              <w:bottom w:w="0" w:type="dxa"/>
              <w:right w:w="108" w:type="dxa"/>
            </w:tcMar>
            <w:vAlign w:val="center"/>
            <w:hideMark/>
          </w:tcPr>
          <w:p w14:paraId="2D16AE24" w14:textId="06C60CA3" w:rsidR="008A6048" w:rsidRPr="00D9126A" w:rsidRDefault="0049105E" w:rsidP="00C013BC">
            <w:pPr>
              <w:jc w:val="center"/>
            </w:pPr>
            <w:r>
              <w:rPr>
                <w:rFonts w:ascii="Verdana" w:hAnsi="Verdana"/>
                <w:color w:val="000000"/>
                <w:sz w:val="18"/>
                <w:szCs w:val="18"/>
              </w:rPr>
              <w:t>PM</w:t>
            </w:r>
            <w:r w:rsidRPr="0049105E">
              <w:rPr>
                <w:rFonts w:ascii="Verdana" w:hAnsi="Verdana"/>
                <w:color w:val="000000"/>
                <w:sz w:val="18"/>
                <w:szCs w:val="18"/>
                <w:vertAlign w:val="subscript"/>
              </w:rPr>
              <w:t>1</w:t>
            </w:r>
          </w:p>
        </w:tc>
        <w:tc>
          <w:tcPr>
            <w:tcW w:w="990" w:type="dxa"/>
            <w:tcBorders>
              <w:top w:val="single" w:sz="4" w:space="0" w:color="auto"/>
            </w:tcBorders>
            <w:tcMar>
              <w:top w:w="0" w:type="dxa"/>
              <w:left w:w="108" w:type="dxa"/>
              <w:bottom w:w="0" w:type="dxa"/>
              <w:right w:w="108" w:type="dxa"/>
            </w:tcMar>
            <w:vAlign w:val="bottom"/>
            <w:hideMark/>
          </w:tcPr>
          <w:p w14:paraId="5A235645" w14:textId="77777777" w:rsidR="008A6048" w:rsidRPr="00D9126A" w:rsidRDefault="008A6048" w:rsidP="00C013BC">
            <w:pPr>
              <w:jc w:val="center"/>
            </w:pPr>
            <w:r w:rsidRPr="00D9126A">
              <w:rPr>
                <w:rFonts w:ascii="Verdana" w:hAnsi="Verdana"/>
                <w:color w:val="000000"/>
                <w:sz w:val="18"/>
                <w:szCs w:val="18"/>
              </w:rPr>
              <w:t>-0.0155</w:t>
            </w:r>
          </w:p>
        </w:tc>
        <w:tc>
          <w:tcPr>
            <w:tcW w:w="2265" w:type="dxa"/>
            <w:tcBorders>
              <w:top w:val="single" w:sz="4" w:space="0" w:color="auto"/>
            </w:tcBorders>
            <w:tcMar>
              <w:top w:w="0" w:type="dxa"/>
              <w:left w:w="108" w:type="dxa"/>
              <w:bottom w:w="0" w:type="dxa"/>
              <w:right w:w="108" w:type="dxa"/>
            </w:tcMar>
            <w:vAlign w:val="bottom"/>
            <w:hideMark/>
          </w:tcPr>
          <w:p w14:paraId="18B181F1" w14:textId="77777777" w:rsidR="008A6048" w:rsidRPr="00D9126A" w:rsidRDefault="008A6048" w:rsidP="00C013BC">
            <w:pPr>
              <w:jc w:val="center"/>
            </w:pPr>
            <w:r w:rsidRPr="00D9126A">
              <w:rPr>
                <w:rFonts w:ascii="Verdana" w:hAnsi="Verdana"/>
                <w:color w:val="000000"/>
                <w:sz w:val="18"/>
                <w:szCs w:val="18"/>
              </w:rPr>
              <w:t>0.125</w:t>
            </w:r>
          </w:p>
        </w:tc>
        <w:tc>
          <w:tcPr>
            <w:tcW w:w="840" w:type="dxa"/>
            <w:tcBorders>
              <w:top w:val="single" w:sz="4" w:space="0" w:color="auto"/>
            </w:tcBorders>
            <w:tcMar>
              <w:top w:w="0" w:type="dxa"/>
              <w:left w:w="108" w:type="dxa"/>
              <w:bottom w:w="0" w:type="dxa"/>
              <w:right w:w="108" w:type="dxa"/>
            </w:tcMar>
            <w:vAlign w:val="bottom"/>
            <w:hideMark/>
          </w:tcPr>
          <w:p w14:paraId="6CD2AB1A" w14:textId="77777777" w:rsidR="008A6048" w:rsidRPr="00D9126A" w:rsidRDefault="008A6048" w:rsidP="00C013BC">
            <w:pPr>
              <w:jc w:val="center"/>
            </w:pPr>
            <w:r w:rsidRPr="00D9126A">
              <w:rPr>
                <w:rFonts w:ascii="Verdana" w:hAnsi="Verdana"/>
                <w:color w:val="000000"/>
                <w:sz w:val="18"/>
                <w:szCs w:val="18"/>
              </w:rPr>
              <w:t>-0.024</w:t>
            </w:r>
          </w:p>
        </w:tc>
        <w:tc>
          <w:tcPr>
            <w:tcW w:w="2265" w:type="dxa"/>
            <w:tcBorders>
              <w:top w:val="single" w:sz="4" w:space="0" w:color="auto"/>
            </w:tcBorders>
            <w:tcMar>
              <w:top w:w="0" w:type="dxa"/>
              <w:left w:w="108" w:type="dxa"/>
              <w:bottom w:w="0" w:type="dxa"/>
              <w:right w:w="108" w:type="dxa"/>
            </w:tcMar>
            <w:vAlign w:val="bottom"/>
            <w:hideMark/>
          </w:tcPr>
          <w:p w14:paraId="68FAF942" w14:textId="77777777" w:rsidR="008A6048" w:rsidRPr="00D9126A" w:rsidRDefault="008A6048" w:rsidP="00C013BC">
            <w:pPr>
              <w:jc w:val="center"/>
            </w:pPr>
            <w:r w:rsidRPr="00D9126A">
              <w:rPr>
                <w:rFonts w:ascii="Verdana" w:hAnsi="Verdana"/>
                <w:color w:val="000000"/>
                <w:sz w:val="18"/>
                <w:szCs w:val="18"/>
              </w:rPr>
              <w:t>0.155</w:t>
            </w:r>
          </w:p>
        </w:tc>
      </w:tr>
      <w:tr w:rsidR="008A6048" w:rsidRPr="00D9126A" w14:paraId="4CFE8B9A" w14:textId="77777777" w:rsidTr="00CF1BAB">
        <w:trPr>
          <w:trHeight w:val="324"/>
        </w:trPr>
        <w:tc>
          <w:tcPr>
            <w:tcW w:w="1830" w:type="dxa"/>
            <w:tcMar>
              <w:top w:w="0" w:type="dxa"/>
              <w:left w:w="108" w:type="dxa"/>
              <w:bottom w:w="0" w:type="dxa"/>
              <w:right w:w="108" w:type="dxa"/>
            </w:tcMar>
            <w:vAlign w:val="center"/>
            <w:hideMark/>
          </w:tcPr>
          <w:p w14:paraId="5167C1B3" w14:textId="6E7656E4" w:rsidR="008A6048" w:rsidRPr="00D9126A" w:rsidRDefault="008A6048" w:rsidP="00C013BC">
            <w:pPr>
              <w:jc w:val="center"/>
            </w:pPr>
            <w:r w:rsidRPr="00D9126A">
              <w:rPr>
                <w:rFonts w:ascii="Verdana" w:hAnsi="Verdana"/>
                <w:color w:val="000000"/>
                <w:sz w:val="18"/>
                <w:szCs w:val="18"/>
              </w:rPr>
              <w:t>PM</w:t>
            </w:r>
            <w:r w:rsidR="0049105E" w:rsidRPr="0049105E">
              <w:rPr>
                <w:rFonts w:ascii="Verdana" w:hAnsi="Verdana"/>
                <w:color w:val="000000"/>
                <w:sz w:val="18"/>
                <w:szCs w:val="18"/>
                <w:vertAlign w:val="subscript"/>
              </w:rPr>
              <w:t>2.5</w:t>
            </w:r>
          </w:p>
        </w:tc>
        <w:tc>
          <w:tcPr>
            <w:tcW w:w="990" w:type="dxa"/>
            <w:tcMar>
              <w:top w:w="0" w:type="dxa"/>
              <w:left w:w="108" w:type="dxa"/>
              <w:bottom w:w="0" w:type="dxa"/>
              <w:right w:w="108" w:type="dxa"/>
            </w:tcMar>
            <w:vAlign w:val="bottom"/>
            <w:hideMark/>
          </w:tcPr>
          <w:p w14:paraId="147ECE11" w14:textId="77777777" w:rsidR="008A6048" w:rsidRPr="00D9126A" w:rsidRDefault="008A6048" w:rsidP="00C013BC">
            <w:pPr>
              <w:jc w:val="center"/>
            </w:pPr>
            <w:r w:rsidRPr="00D9126A">
              <w:rPr>
                <w:rFonts w:ascii="Verdana" w:hAnsi="Verdana"/>
                <w:color w:val="000000"/>
                <w:sz w:val="18"/>
                <w:szCs w:val="18"/>
              </w:rPr>
              <w:t>-0.0323</w:t>
            </w:r>
          </w:p>
        </w:tc>
        <w:tc>
          <w:tcPr>
            <w:tcW w:w="2265" w:type="dxa"/>
            <w:tcMar>
              <w:top w:w="0" w:type="dxa"/>
              <w:left w:w="108" w:type="dxa"/>
              <w:bottom w:w="0" w:type="dxa"/>
              <w:right w:w="108" w:type="dxa"/>
            </w:tcMar>
            <w:vAlign w:val="bottom"/>
            <w:hideMark/>
          </w:tcPr>
          <w:p w14:paraId="5FB41414" w14:textId="77777777" w:rsidR="008A6048" w:rsidRPr="00D9126A" w:rsidRDefault="008A6048" w:rsidP="00C013BC">
            <w:pPr>
              <w:jc w:val="center"/>
            </w:pPr>
            <w:r w:rsidRPr="00D9126A">
              <w:rPr>
                <w:rFonts w:ascii="Verdana" w:hAnsi="Verdana"/>
                <w:color w:val="000000"/>
                <w:sz w:val="18"/>
                <w:szCs w:val="18"/>
              </w:rPr>
              <w:t>0.180</w:t>
            </w:r>
          </w:p>
        </w:tc>
        <w:tc>
          <w:tcPr>
            <w:tcW w:w="840" w:type="dxa"/>
            <w:tcMar>
              <w:top w:w="0" w:type="dxa"/>
              <w:left w:w="108" w:type="dxa"/>
              <w:bottom w:w="0" w:type="dxa"/>
              <w:right w:w="108" w:type="dxa"/>
            </w:tcMar>
            <w:vAlign w:val="bottom"/>
            <w:hideMark/>
          </w:tcPr>
          <w:p w14:paraId="1A731C0F" w14:textId="77777777" w:rsidR="008A6048" w:rsidRPr="00D9126A" w:rsidRDefault="008A6048" w:rsidP="00C013BC">
            <w:pPr>
              <w:jc w:val="center"/>
            </w:pPr>
            <w:r w:rsidRPr="00D9126A">
              <w:rPr>
                <w:rFonts w:ascii="Verdana" w:hAnsi="Verdana"/>
                <w:color w:val="000000"/>
                <w:sz w:val="18"/>
                <w:szCs w:val="18"/>
              </w:rPr>
              <w:t>-0.043</w:t>
            </w:r>
          </w:p>
        </w:tc>
        <w:tc>
          <w:tcPr>
            <w:tcW w:w="2265" w:type="dxa"/>
            <w:tcMar>
              <w:top w:w="0" w:type="dxa"/>
              <w:left w:w="108" w:type="dxa"/>
              <w:bottom w:w="0" w:type="dxa"/>
              <w:right w:w="108" w:type="dxa"/>
            </w:tcMar>
            <w:vAlign w:val="bottom"/>
            <w:hideMark/>
          </w:tcPr>
          <w:p w14:paraId="4D08284A" w14:textId="77777777" w:rsidR="008A6048" w:rsidRPr="00D9126A" w:rsidRDefault="008A6048" w:rsidP="00C013BC">
            <w:pPr>
              <w:jc w:val="center"/>
            </w:pPr>
            <w:r w:rsidRPr="00D9126A">
              <w:rPr>
                <w:rFonts w:ascii="Verdana" w:hAnsi="Verdana"/>
                <w:color w:val="000000"/>
                <w:sz w:val="18"/>
                <w:szCs w:val="18"/>
              </w:rPr>
              <w:t>0.206</w:t>
            </w:r>
          </w:p>
        </w:tc>
      </w:tr>
      <w:tr w:rsidR="008A6048" w:rsidRPr="00D9126A" w14:paraId="3F4D493C" w14:textId="77777777" w:rsidTr="00CF1BAB">
        <w:trPr>
          <w:trHeight w:val="324"/>
        </w:trPr>
        <w:tc>
          <w:tcPr>
            <w:tcW w:w="1830" w:type="dxa"/>
            <w:tcMar>
              <w:top w:w="0" w:type="dxa"/>
              <w:left w:w="108" w:type="dxa"/>
              <w:bottom w:w="0" w:type="dxa"/>
              <w:right w:w="108" w:type="dxa"/>
            </w:tcMar>
            <w:vAlign w:val="center"/>
            <w:hideMark/>
          </w:tcPr>
          <w:p w14:paraId="5C3E824A" w14:textId="3E614053" w:rsidR="008A6048" w:rsidRPr="00D9126A" w:rsidRDefault="008A6048" w:rsidP="00C013BC">
            <w:pPr>
              <w:jc w:val="center"/>
            </w:pPr>
            <w:r w:rsidRPr="00D9126A">
              <w:rPr>
                <w:rFonts w:ascii="Verdana" w:hAnsi="Verdana"/>
                <w:color w:val="000000"/>
                <w:sz w:val="18"/>
                <w:szCs w:val="18"/>
              </w:rPr>
              <w:t>P</w:t>
            </w:r>
            <w:r w:rsidR="0049105E">
              <w:rPr>
                <w:rFonts w:ascii="Verdana" w:hAnsi="Verdana"/>
                <w:color w:val="000000"/>
                <w:sz w:val="18"/>
                <w:szCs w:val="18"/>
              </w:rPr>
              <w:t>M</w:t>
            </w:r>
            <w:r w:rsidR="0049105E" w:rsidRPr="0049105E">
              <w:rPr>
                <w:rFonts w:ascii="Verdana" w:hAnsi="Verdana"/>
                <w:color w:val="000000"/>
                <w:sz w:val="18"/>
                <w:szCs w:val="18"/>
                <w:vertAlign w:val="subscript"/>
              </w:rPr>
              <w:t>10</w:t>
            </w:r>
          </w:p>
        </w:tc>
        <w:tc>
          <w:tcPr>
            <w:tcW w:w="990" w:type="dxa"/>
            <w:tcMar>
              <w:top w:w="0" w:type="dxa"/>
              <w:left w:w="108" w:type="dxa"/>
              <w:bottom w:w="0" w:type="dxa"/>
              <w:right w:w="108" w:type="dxa"/>
            </w:tcMar>
            <w:vAlign w:val="bottom"/>
            <w:hideMark/>
          </w:tcPr>
          <w:p w14:paraId="65192793" w14:textId="77777777" w:rsidR="008A6048" w:rsidRPr="00D9126A" w:rsidRDefault="008A6048" w:rsidP="00C013BC">
            <w:pPr>
              <w:jc w:val="center"/>
            </w:pPr>
            <w:r w:rsidRPr="00D9126A">
              <w:rPr>
                <w:rFonts w:ascii="Verdana" w:hAnsi="Verdana"/>
                <w:color w:val="000000"/>
                <w:sz w:val="18"/>
                <w:szCs w:val="18"/>
              </w:rPr>
              <w:t>-0.0243</w:t>
            </w:r>
          </w:p>
        </w:tc>
        <w:tc>
          <w:tcPr>
            <w:tcW w:w="2265" w:type="dxa"/>
            <w:tcMar>
              <w:top w:w="0" w:type="dxa"/>
              <w:left w:w="108" w:type="dxa"/>
              <w:bottom w:w="0" w:type="dxa"/>
              <w:right w:w="108" w:type="dxa"/>
            </w:tcMar>
            <w:vAlign w:val="bottom"/>
            <w:hideMark/>
          </w:tcPr>
          <w:p w14:paraId="11101250" w14:textId="77777777" w:rsidR="008A6048" w:rsidRPr="00D9126A" w:rsidRDefault="008A6048" w:rsidP="00C013BC">
            <w:pPr>
              <w:jc w:val="center"/>
            </w:pPr>
            <w:r w:rsidRPr="00D9126A">
              <w:rPr>
                <w:rFonts w:ascii="Verdana" w:hAnsi="Verdana"/>
                <w:color w:val="000000"/>
                <w:sz w:val="18"/>
                <w:szCs w:val="18"/>
              </w:rPr>
              <w:t>0.156</w:t>
            </w:r>
          </w:p>
        </w:tc>
        <w:tc>
          <w:tcPr>
            <w:tcW w:w="840" w:type="dxa"/>
            <w:tcMar>
              <w:top w:w="0" w:type="dxa"/>
              <w:left w:w="108" w:type="dxa"/>
              <w:bottom w:w="0" w:type="dxa"/>
              <w:right w:w="108" w:type="dxa"/>
            </w:tcMar>
            <w:vAlign w:val="bottom"/>
            <w:hideMark/>
          </w:tcPr>
          <w:p w14:paraId="309B4DB9" w14:textId="77777777" w:rsidR="008A6048" w:rsidRPr="00D9126A" w:rsidRDefault="008A6048" w:rsidP="00C013BC">
            <w:pPr>
              <w:jc w:val="center"/>
            </w:pPr>
            <w:r w:rsidRPr="00D9126A">
              <w:rPr>
                <w:rFonts w:ascii="Verdana" w:hAnsi="Verdana"/>
                <w:color w:val="000000"/>
                <w:sz w:val="18"/>
                <w:szCs w:val="18"/>
              </w:rPr>
              <w:t>-0.033</w:t>
            </w:r>
          </w:p>
        </w:tc>
        <w:tc>
          <w:tcPr>
            <w:tcW w:w="2265" w:type="dxa"/>
            <w:tcMar>
              <w:top w:w="0" w:type="dxa"/>
              <w:left w:w="108" w:type="dxa"/>
              <w:bottom w:w="0" w:type="dxa"/>
              <w:right w:w="108" w:type="dxa"/>
            </w:tcMar>
            <w:vAlign w:val="bottom"/>
            <w:hideMark/>
          </w:tcPr>
          <w:p w14:paraId="510170B2" w14:textId="77777777" w:rsidR="008A6048" w:rsidRPr="00D9126A" w:rsidRDefault="008A6048" w:rsidP="00C013BC">
            <w:pPr>
              <w:jc w:val="center"/>
            </w:pPr>
            <w:r w:rsidRPr="00D9126A">
              <w:rPr>
                <w:rFonts w:ascii="Verdana" w:hAnsi="Verdana"/>
                <w:color w:val="000000"/>
                <w:sz w:val="18"/>
                <w:szCs w:val="18"/>
              </w:rPr>
              <w:t>0.182</w:t>
            </w:r>
          </w:p>
        </w:tc>
      </w:tr>
      <w:tr w:rsidR="008A6048" w:rsidRPr="00D9126A" w14:paraId="65EED175" w14:textId="77777777" w:rsidTr="00CF1BAB">
        <w:trPr>
          <w:trHeight w:val="288"/>
        </w:trPr>
        <w:tc>
          <w:tcPr>
            <w:tcW w:w="1830" w:type="dxa"/>
            <w:tcMar>
              <w:top w:w="0" w:type="dxa"/>
              <w:left w:w="108" w:type="dxa"/>
              <w:bottom w:w="0" w:type="dxa"/>
              <w:right w:w="108" w:type="dxa"/>
            </w:tcMar>
            <w:vAlign w:val="center"/>
            <w:hideMark/>
          </w:tcPr>
          <w:p w14:paraId="12FF6435" w14:textId="77777777" w:rsidR="008A6048" w:rsidRPr="00D9126A" w:rsidRDefault="008A6048" w:rsidP="00C013BC">
            <w:pPr>
              <w:jc w:val="center"/>
            </w:pPr>
            <w:r w:rsidRPr="00D9126A">
              <w:rPr>
                <w:rFonts w:ascii="Verdana" w:hAnsi="Verdana"/>
                <w:color w:val="000000"/>
                <w:sz w:val="18"/>
                <w:szCs w:val="18"/>
              </w:rPr>
              <w:t>Physical activity</w:t>
            </w:r>
          </w:p>
        </w:tc>
        <w:tc>
          <w:tcPr>
            <w:tcW w:w="990" w:type="dxa"/>
            <w:tcMar>
              <w:top w:w="0" w:type="dxa"/>
              <w:left w:w="108" w:type="dxa"/>
              <w:bottom w:w="0" w:type="dxa"/>
              <w:right w:w="108" w:type="dxa"/>
            </w:tcMar>
            <w:vAlign w:val="bottom"/>
            <w:hideMark/>
          </w:tcPr>
          <w:p w14:paraId="6AB3FDD3" w14:textId="77777777" w:rsidR="008A6048" w:rsidRPr="00D9126A" w:rsidRDefault="008A6048" w:rsidP="00C013BC">
            <w:pPr>
              <w:jc w:val="center"/>
            </w:pPr>
            <w:r w:rsidRPr="00D9126A">
              <w:rPr>
                <w:rFonts w:ascii="Verdana" w:hAnsi="Verdana"/>
                <w:color w:val="000000"/>
                <w:sz w:val="18"/>
                <w:szCs w:val="18"/>
              </w:rPr>
              <w:t>-0.0143</w:t>
            </w:r>
          </w:p>
        </w:tc>
        <w:tc>
          <w:tcPr>
            <w:tcW w:w="2265" w:type="dxa"/>
            <w:tcMar>
              <w:top w:w="0" w:type="dxa"/>
              <w:left w:w="108" w:type="dxa"/>
              <w:bottom w:w="0" w:type="dxa"/>
              <w:right w:w="108" w:type="dxa"/>
            </w:tcMar>
            <w:vAlign w:val="bottom"/>
            <w:hideMark/>
          </w:tcPr>
          <w:p w14:paraId="161D66D0" w14:textId="77777777" w:rsidR="008A6048" w:rsidRPr="00D9126A" w:rsidRDefault="008A6048" w:rsidP="00C013BC">
            <w:pPr>
              <w:jc w:val="center"/>
            </w:pPr>
            <w:r w:rsidRPr="00D9126A">
              <w:rPr>
                <w:rFonts w:ascii="Verdana" w:hAnsi="Verdana"/>
                <w:color w:val="000000"/>
                <w:sz w:val="18"/>
                <w:szCs w:val="18"/>
              </w:rPr>
              <w:t>0.120</w:t>
            </w:r>
          </w:p>
        </w:tc>
        <w:tc>
          <w:tcPr>
            <w:tcW w:w="840" w:type="dxa"/>
            <w:tcMar>
              <w:top w:w="0" w:type="dxa"/>
              <w:left w:w="108" w:type="dxa"/>
              <w:bottom w:w="0" w:type="dxa"/>
              <w:right w:w="108" w:type="dxa"/>
            </w:tcMar>
            <w:vAlign w:val="bottom"/>
            <w:hideMark/>
          </w:tcPr>
          <w:p w14:paraId="00FE0744" w14:textId="77777777" w:rsidR="008A6048" w:rsidRPr="00D9126A" w:rsidRDefault="008A6048" w:rsidP="00C013BC">
            <w:pPr>
              <w:jc w:val="center"/>
            </w:pPr>
            <w:r w:rsidRPr="00D9126A">
              <w:rPr>
                <w:rFonts w:ascii="Verdana" w:hAnsi="Verdana"/>
                <w:color w:val="000000"/>
                <w:sz w:val="18"/>
                <w:szCs w:val="18"/>
              </w:rPr>
              <w:t>-0.018</w:t>
            </w:r>
          </w:p>
        </w:tc>
        <w:tc>
          <w:tcPr>
            <w:tcW w:w="2265" w:type="dxa"/>
            <w:tcMar>
              <w:top w:w="0" w:type="dxa"/>
              <w:left w:w="108" w:type="dxa"/>
              <w:bottom w:w="0" w:type="dxa"/>
              <w:right w:w="108" w:type="dxa"/>
            </w:tcMar>
            <w:vAlign w:val="bottom"/>
            <w:hideMark/>
          </w:tcPr>
          <w:p w14:paraId="2C697D0B" w14:textId="77777777" w:rsidR="008A6048" w:rsidRPr="00D9126A" w:rsidRDefault="008A6048" w:rsidP="00C013BC">
            <w:pPr>
              <w:jc w:val="center"/>
            </w:pPr>
            <w:r w:rsidRPr="00D9126A">
              <w:rPr>
                <w:rFonts w:ascii="Verdana" w:hAnsi="Verdana"/>
                <w:color w:val="000000"/>
                <w:sz w:val="18"/>
                <w:szCs w:val="18"/>
              </w:rPr>
              <w:t>0.135</w:t>
            </w:r>
          </w:p>
        </w:tc>
      </w:tr>
    </w:tbl>
    <w:p w14:paraId="308F0D53" w14:textId="13107E19" w:rsidR="008A6048" w:rsidRPr="008A6048" w:rsidRDefault="008A6048" w:rsidP="005C77A7">
      <w:pPr>
        <w:spacing w:line="480" w:lineRule="auto"/>
        <w:ind w:firstLineChars="200" w:firstLine="480"/>
        <w:jc w:val="both"/>
        <w:rPr>
          <w:rFonts w:ascii="Times New Roman" w:hAnsi="Times New Roman" w:cs="Times New Roman"/>
        </w:rPr>
      </w:pPr>
      <w:r w:rsidRPr="008A6048">
        <w:rPr>
          <w:rFonts w:ascii="Times New Roman" w:hAnsi="Times New Roman" w:cs="Times New Roman"/>
        </w:rPr>
        <w:t>Abbreviation: ACME: average causal mediating effect in difference scale</w:t>
      </w:r>
    </w:p>
    <w:p w14:paraId="62D94CF5" w14:textId="0198CF61" w:rsidR="00BE2BE6" w:rsidRPr="007119A5" w:rsidRDefault="00851AFD" w:rsidP="00DC0BA2">
      <w:pPr>
        <w:spacing w:line="480" w:lineRule="auto"/>
        <w:rPr>
          <w:rFonts w:ascii="Times New Roman" w:hAnsi="Times New Roman" w:cs="Times New Roman"/>
          <w:iCs/>
        </w:rPr>
      </w:pPr>
      <w:r w:rsidRPr="007119A5">
        <w:rPr>
          <w:rFonts w:ascii="Times New Roman" w:hAnsi="Times New Roman" w:cs="Times New Roman"/>
        </w:rPr>
        <w:br w:type="page"/>
      </w:r>
    </w:p>
    <w:p w14:paraId="4CC4C4C2" w14:textId="1E5A2344" w:rsidR="00FC14F3" w:rsidRPr="00FB53C9" w:rsidRDefault="00FC14F3"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r w:rsidR="00C333B6">
        <w:rPr>
          <w:rFonts w:ascii="Times New Roman" w:hAnsi="Times New Roman" w:cs="Times New Roman"/>
          <w:sz w:val="24"/>
          <w:szCs w:val="24"/>
        </w:rPr>
        <w:t>2</w:t>
      </w:r>
      <w:r w:rsidRPr="007119A5">
        <w:rPr>
          <w:rFonts w:ascii="Times New Roman" w:hAnsi="Times New Roman" w:cs="Times New Roman"/>
          <w:sz w:val="24"/>
          <w:szCs w:val="24"/>
        </w:rPr>
        <w:t xml:space="preserve"> </w:t>
      </w:r>
      <w:r w:rsidR="007B5E2F" w:rsidRPr="00FB53C9">
        <w:rPr>
          <w:rFonts w:ascii="Times New Roman" w:eastAsia="微软雅黑" w:hAnsi="Times New Roman" w:cs="Times New Roman"/>
          <w:b w:val="0"/>
          <w:bCs w:val="0"/>
          <w:color w:val="000000"/>
          <w:sz w:val="24"/>
          <w:szCs w:val="24"/>
        </w:rPr>
        <w:t>Distributions for NDVI, EVI with different buffers and exposure window.</w:t>
      </w:r>
    </w:p>
    <w:tbl>
      <w:tblPr>
        <w:tblW w:w="8963" w:type="dxa"/>
        <w:jc w:val="center"/>
        <w:tblBorders>
          <w:top w:val="single" w:sz="4" w:space="0" w:color="auto"/>
          <w:bottom w:val="single" w:sz="4" w:space="0" w:color="auto"/>
        </w:tblBorders>
        <w:tblLook w:val="04A0" w:firstRow="1" w:lastRow="0" w:firstColumn="1" w:lastColumn="0" w:noHBand="0" w:noVBand="1"/>
      </w:tblPr>
      <w:tblGrid>
        <w:gridCol w:w="2268"/>
        <w:gridCol w:w="819"/>
        <w:gridCol w:w="960"/>
        <w:gridCol w:w="960"/>
        <w:gridCol w:w="1076"/>
        <w:gridCol w:w="960"/>
        <w:gridCol w:w="960"/>
        <w:gridCol w:w="960"/>
      </w:tblGrid>
      <w:tr w:rsidR="004A70E8" w:rsidRPr="007119A5" w14:paraId="2BE0EC26" w14:textId="77777777" w:rsidTr="00EC30BB">
        <w:trPr>
          <w:trHeight w:val="276"/>
          <w:jc w:val="center"/>
        </w:trPr>
        <w:tc>
          <w:tcPr>
            <w:tcW w:w="2268" w:type="dxa"/>
            <w:tcBorders>
              <w:top w:val="single" w:sz="4" w:space="0" w:color="auto"/>
              <w:bottom w:val="single" w:sz="4" w:space="0" w:color="auto"/>
            </w:tcBorders>
            <w:shd w:val="clear" w:color="auto" w:fill="auto"/>
            <w:noWrap/>
            <w:vAlign w:val="center"/>
            <w:hideMark/>
          </w:tcPr>
          <w:p w14:paraId="02ECC7C1" w14:textId="77777777" w:rsidR="004A70E8" w:rsidRPr="007119A5" w:rsidRDefault="004A70E8" w:rsidP="00EC30BB">
            <w:pPr>
              <w:jc w:val="center"/>
              <w:rPr>
                <w:rFonts w:ascii="Times New Roman" w:hAnsi="Times New Roman" w:cs="Times New Roman"/>
                <w:sz w:val="20"/>
                <w:szCs w:val="20"/>
              </w:rPr>
            </w:pPr>
          </w:p>
        </w:tc>
        <w:tc>
          <w:tcPr>
            <w:tcW w:w="819" w:type="dxa"/>
            <w:tcBorders>
              <w:top w:val="single" w:sz="4" w:space="0" w:color="auto"/>
              <w:bottom w:val="single" w:sz="4" w:space="0" w:color="auto"/>
            </w:tcBorders>
            <w:shd w:val="clear" w:color="auto" w:fill="auto"/>
            <w:noWrap/>
            <w:vAlign w:val="center"/>
            <w:hideMark/>
          </w:tcPr>
          <w:p w14:paraId="50B7ED70"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Min.</w:t>
            </w:r>
          </w:p>
        </w:tc>
        <w:tc>
          <w:tcPr>
            <w:tcW w:w="960" w:type="dxa"/>
            <w:tcBorders>
              <w:top w:val="single" w:sz="4" w:space="0" w:color="auto"/>
              <w:bottom w:val="single" w:sz="4" w:space="0" w:color="auto"/>
            </w:tcBorders>
            <w:shd w:val="clear" w:color="auto" w:fill="auto"/>
            <w:noWrap/>
            <w:vAlign w:val="center"/>
            <w:hideMark/>
          </w:tcPr>
          <w:p w14:paraId="3B1CAF9E" w14:textId="35BD58BC"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w:t>
            </w:r>
            <w:r w:rsidRPr="007119A5">
              <w:rPr>
                <w:rFonts w:ascii="Times New Roman" w:eastAsia="等线" w:hAnsi="Times New Roman" w:cs="Times New Roman"/>
                <w:color w:val="000000"/>
                <w:sz w:val="20"/>
                <w:szCs w:val="20"/>
                <w:vertAlign w:val="subscript"/>
              </w:rPr>
              <w:t>25</w:t>
            </w:r>
          </w:p>
        </w:tc>
        <w:tc>
          <w:tcPr>
            <w:tcW w:w="960" w:type="dxa"/>
            <w:tcBorders>
              <w:top w:val="single" w:sz="4" w:space="0" w:color="auto"/>
              <w:bottom w:val="single" w:sz="4" w:space="0" w:color="auto"/>
            </w:tcBorders>
            <w:shd w:val="clear" w:color="auto" w:fill="auto"/>
            <w:noWrap/>
            <w:vAlign w:val="center"/>
            <w:hideMark/>
          </w:tcPr>
          <w:p w14:paraId="568A0748"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Median</w:t>
            </w:r>
          </w:p>
        </w:tc>
        <w:tc>
          <w:tcPr>
            <w:tcW w:w="1076" w:type="dxa"/>
            <w:tcBorders>
              <w:top w:val="single" w:sz="4" w:space="0" w:color="auto"/>
              <w:bottom w:val="single" w:sz="4" w:space="0" w:color="auto"/>
            </w:tcBorders>
            <w:shd w:val="clear" w:color="auto" w:fill="auto"/>
            <w:noWrap/>
            <w:vAlign w:val="center"/>
            <w:hideMark/>
          </w:tcPr>
          <w:p w14:paraId="0846288E"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Mean</w:t>
            </w:r>
          </w:p>
        </w:tc>
        <w:tc>
          <w:tcPr>
            <w:tcW w:w="960" w:type="dxa"/>
            <w:tcBorders>
              <w:top w:val="single" w:sz="4" w:space="0" w:color="auto"/>
              <w:bottom w:val="single" w:sz="4" w:space="0" w:color="auto"/>
            </w:tcBorders>
            <w:shd w:val="clear" w:color="auto" w:fill="auto"/>
            <w:noWrap/>
            <w:vAlign w:val="center"/>
            <w:hideMark/>
          </w:tcPr>
          <w:p w14:paraId="068E896F" w14:textId="0CB22993"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w:t>
            </w:r>
            <w:r w:rsidRPr="007119A5">
              <w:rPr>
                <w:rFonts w:ascii="Times New Roman" w:eastAsia="等线" w:hAnsi="Times New Roman" w:cs="Times New Roman"/>
                <w:color w:val="000000"/>
                <w:sz w:val="20"/>
                <w:szCs w:val="20"/>
                <w:vertAlign w:val="subscript"/>
              </w:rPr>
              <w:t>75</w:t>
            </w:r>
          </w:p>
        </w:tc>
        <w:tc>
          <w:tcPr>
            <w:tcW w:w="960" w:type="dxa"/>
            <w:tcBorders>
              <w:top w:val="single" w:sz="4" w:space="0" w:color="auto"/>
              <w:bottom w:val="single" w:sz="4" w:space="0" w:color="auto"/>
            </w:tcBorders>
            <w:shd w:val="clear" w:color="auto" w:fill="auto"/>
            <w:noWrap/>
            <w:vAlign w:val="center"/>
            <w:hideMark/>
          </w:tcPr>
          <w:p w14:paraId="253B237E"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Max.</w:t>
            </w:r>
          </w:p>
        </w:tc>
        <w:tc>
          <w:tcPr>
            <w:tcW w:w="960" w:type="dxa"/>
            <w:tcBorders>
              <w:top w:val="single" w:sz="4" w:space="0" w:color="auto"/>
              <w:bottom w:val="single" w:sz="4" w:space="0" w:color="auto"/>
            </w:tcBorders>
            <w:shd w:val="clear" w:color="auto" w:fill="auto"/>
            <w:noWrap/>
            <w:vAlign w:val="center"/>
            <w:hideMark/>
          </w:tcPr>
          <w:p w14:paraId="68CD6D24"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IQR</w:t>
            </w:r>
          </w:p>
        </w:tc>
      </w:tr>
      <w:tr w:rsidR="00CA4DDA" w:rsidRPr="007119A5" w14:paraId="6F5D94DC" w14:textId="77777777" w:rsidTr="00EC30BB">
        <w:trPr>
          <w:trHeight w:val="276"/>
          <w:jc w:val="center"/>
        </w:trPr>
        <w:tc>
          <w:tcPr>
            <w:tcW w:w="2268" w:type="dxa"/>
            <w:tcBorders>
              <w:top w:val="single" w:sz="4" w:space="0" w:color="auto"/>
            </w:tcBorders>
            <w:shd w:val="clear" w:color="auto" w:fill="auto"/>
            <w:noWrap/>
            <w:vAlign w:val="center"/>
          </w:tcPr>
          <w:p w14:paraId="0761365A" w14:textId="35092398"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One-year average</w:t>
            </w:r>
          </w:p>
        </w:tc>
        <w:tc>
          <w:tcPr>
            <w:tcW w:w="819" w:type="dxa"/>
            <w:tcBorders>
              <w:top w:val="single" w:sz="4" w:space="0" w:color="auto"/>
            </w:tcBorders>
            <w:shd w:val="clear" w:color="auto" w:fill="auto"/>
            <w:noWrap/>
            <w:vAlign w:val="center"/>
          </w:tcPr>
          <w:p w14:paraId="376ED045"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3138BC09"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68927E5B" w14:textId="77777777" w:rsidR="00CA4DDA" w:rsidRPr="007119A5" w:rsidRDefault="00CA4DDA" w:rsidP="00EC30BB">
            <w:pPr>
              <w:jc w:val="center"/>
              <w:rPr>
                <w:rFonts w:ascii="Times New Roman" w:eastAsia="等线" w:hAnsi="Times New Roman" w:cs="Times New Roman"/>
                <w:color w:val="000000"/>
                <w:sz w:val="20"/>
                <w:szCs w:val="20"/>
              </w:rPr>
            </w:pPr>
          </w:p>
        </w:tc>
        <w:tc>
          <w:tcPr>
            <w:tcW w:w="1076" w:type="dxa"/>
            <w:tcBorders>
              <w:top w:val="single" w:sz="4" w:space="0" w:color="auto"/>
            </w:tcBorders>
            <w:shd w:val="clear" w:color="auto" w:fill="auto"/>
            <w:noWrap/>
            <w:vAlign w:val="center"/>
          </w:tcPr>
          <w:p w14:paraId="57066823"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2BD5E2F4"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4770751F"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4049EEDE" w14:textId="77777777" w:rsidR="00CA4DDA" w:rsidRPr="007119A5" w:rsidRDefault="00CA4DDA" w:rsidP="00EC30BB">
            <w:pPr>
              <w:jc w:val="center"/>
              <w:rPr>
                <w:rFonts w:ascii="Times New Roman" w:eastAsia="等线" w:hAnsi="Times New Roman" w:cs="Times New Roman"/>
                <w:color w:val="000000"/>
                <w:sz w:val="20"/>
                <w:szCs w:val="20"/>
              </w:rPr>
            </w:pPr>
          </w:p>
        </w:tc>
      </w:tr>
      <w:tr w:rsidR="004A70E8" w:rsidRPr="007119A5" w14:paraId="725AB2EF" w14:textId="77777777" w:rsidTr="00EC30BB">
        <w:trPr>
          <w:trHeight w:val="276"/>
          <w:jc w:val="center"/>
        </w:trPr>
        <w:tc>
          <w:tcPr>
            <w:tcW w:w="2268" w:type="dxa"/>
            <w:shd w:val="clear" w:color="auto" w:fill="auto"/>
            <w:noWrap/>
            <w:vAlign w:val="center"/>
            <w:hideMark/>
          </w:tcPr>
          <w:p w14:paraId="6ED0411F" w14:textId="24FDC8FA"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w:t>
            </w:r>
            <w:r w:rsidR="00CA4DDA" w:rsidRPr="007119A5">
              <w:rPr>
                <w:rFonts w:ascii="Times New Roman" w:eastAsia="等线" w:hAnsi="Times New Roman" w:cs="Times New Roman"/>
                <w:color w:val="000000"/>
                <w:sz w:val="20"/>
                <w:szCs w:val="20"/>
                <w:vertAlign w:val="subscript"/>
              </w:rPr>
              <w:t>m</w:t>
            </w:r>
          </w:p>
        </w:tc>
        <w:tc>
          <w:tcPr>
            <w:tcW w:w="819" w:type="dxa"/>
            <w:shd w:val="clear" w:color="auto" w:fill="auto"/>
            <w:noWrap/>
            <w:vAlign w:val="center"/>
            <w:hideMark/>
          </w:tcPr>
          <w:p w14:paraId="465F41DD"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hideMark/>
          </w:tcPr>
          <w:p w14:paraId="4F6EA203"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hideMark/>
          </w:tcPr>
          <w:p w14:paraId="624A280D"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w:t>
            </w:r>
          </w:p>
        </w:tc>
        <w:tc>
          <w:tcPr>
            <w:tcW w:w="1076" w:type="dxa"/>
            <w:shd w:val="clear" w:color="auto" w:fill="auto"/>
            <w:noWrap/>
            <w:vAlign w:val="center"/>
            <w:hideMark/>
          </w:tcPr>
          <w:p w14:paraId="51EF6831"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0.399469</w:t>
            </w:r>
          </w:p>
        </w:tc>
        <w:tc>
          <w:tcPr>
            <w:tcW w:w="960" w:type="dxa"/>
            <w:shd w:val="clear" w:color="auto" w:fill="auto"/>
            <w:noWrap/>
            <w:vAlign w:val="center"/>
            <w:hideMark/>
          </w:tcPr>
          <w:p w14:paraId="687D0819"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hideMark/>
          </w:tcPr>
          <w:p w14:paraId="1FACA14B"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0.75</w:t>
            </w:r>
          </w:p>
        </w:tc>
        <w:tc>
          <w:tcPr>
            <w:tcW w:w="960" w:type="dxa"/>
            <w:shd w:val="clear" w:color="auto" w:fill="auto"/>
            <w:noWrap/>
            <w:vAlign w:val="center"/>
            <w:hideMark/>
          </w:tcPr>
          <w:p w14:paraId="3CB4778A"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w:t>
            </w:r>
          </w:p>
        </w:tc>
      </w:tr>
      <w:tr w:rsidR="00CA4DDA" w:rsidRPr="007119A5" w14:paraId="32352921" w14:textId="77777777" w:rsidTr="00EC30BB">
        <w:trPr>
          <w:trHeight w:val="276"/>
          <w:jc w:val="center"/>
        </w:trPr>
        <w:tc>
          <w:tcPr>
            <w:tcW w:w="2268" w:type="dxa"/>
            <w:shd w:val="clear" w:color="auto" w:fill="auto"/>
            <w:noWrap/>
            <w:vAlign w:val="center"/>
          </w:tcPr>
          <w:p w14:paraId="127AEFA5" w14:textId="0870F1D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114840DF" w14:textId="4B6E9D7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1BED59C5" w14:textId="6D9AD6A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B999B3A" w14:textId="682AE13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4EE4F6E8" w14:textId="500F260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0.403642</w:t>
            </w:r>
          </w:p>
        </w:tc>
        <w:tc>
          <w:tcPr>
            <w:tcW w:w="960" w:type="dxa"/>
            <w:shd w:val="clear" w:color="auto" w:fill="auto"/>
            <w:noWrap/>
            <w:vAlign w:val="center"/>
          </w:tcPr>
          <w:p w14:paraId="40E0FF6B" w14:textId="703341C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12B37D3F" w14:textId="796F113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0.73</w:t>
            </w:r>
          </w:p>
        </w:tc>
        <w:tc>
          <w:tcPr>
            <w:tcW w:w="960" w:type="dxa"/>
            <w:shd w:val="clear" w:color="auto" w:fill="auto"/>
            <w:noWrap/>
            <w:vAlign w:val="center"/>
          </w:tcPr>
          <w:p w14:paraId="0AD89768" w14:textId="34F50F9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w:t>
            </w:r>
          </w:p>
        </w:tc>
      </w:tr>
      <w:tr w:rsidR="00CA4DDA" w:rsidRPr="007119A5" w14:paraId="709378CA" w14:textId="77777777" w:rsidTr="00EC30BB">
        <w:trPr>
          <w:trHeight w:val="276"/>
          <w:jc w:val="center"/>
        </w:trPr>
        <w:tc>
          <w:tcPr>
            <w:tcW w:w="2268" w:type="dxa"/>
            <w:shd w:val="clear" w:color="auto" w:fill="auto"/>
            <w:noWrap/>
            <w:vAlign w:val="center"/>
          </w:tcPr>
          <w:p w14:paraId="4CC003AD" w14:textId="6FFB575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7D59D331" w14:textId="1763E6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7A080CB6" w14:textId="6E976C4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21DCA385" w14:textId="4221993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2879F378" w14:textId="1DFEA5A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0.416112</w:t>
            </w:r>
          </w:p>
        </w:tc>
        <w:tc>
          <w:tcPr>
            <w:tcW w:w="960" w:type="dxa"/>
            <w:shd w:val="clear" w:color="auto" w:fill="auto"/>
            <w:noWrap/>
            <w:vAlign w:val="center"/>
          </w:tcPr>
          <w:p w14:paraId="697E0760" w14:textId="4D268C2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0.51</w:t>
            </w:r>
          </w:p>
        </w:tc>
        <w:tc>
          <w:tcPr>
            <w:tcW w:w="960" w:type="dxa"/>
            <w:shd w:val="clear" w:color="auto" w:fill="auto"/>
            <w:noWrap/>
            <w:vAlign w:val="center"/>
          </w:tcPr>
          <w:p w14:paraId="22EDE457" w14:textId="5ADB97B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1B5D97C1" w14:textId="3559639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0D27AD0C" w14:textId="77777777" w:rsidTr="00EC30BB">
        <w:trPr>
          <w:trHeight w:val="276"/>
          <w:jc w:val="center"/>
        </w:trPr>
        <w:tc>
          <w:tcPr>
            <w:tcW w:w="2268" w:type="dxa"/>
            <w:shd w:val="clear" w:color="auto" w:fill="auto"/>
            <w:noWrap/>
            <w:vAlign w:val="center"/>
          </w:tcPr>
          <w:p w14:paraId="6A7D9F30" w14:textId="18529D5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7050D52B" w14:textId="18158ED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-0.04</w:t>
            </w:r>
          </w:p>
        </w:tc>
        <w:tc>
          <w:tcPr>
            <w:tcW w:w="960" w:type="dxa"/>
            <w:shd w:val="clear" w:color="auto" w:fill="auto"/>
            <w:noWrap/>
            <w:vAlign w:val="center"/>
          </w:tcPr>
          <w:p w14:paraId="680EBF91" w14:textId="0E1687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8D7FBB7" w14:textId="11547EF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w:t>
            </w:r>
          </w:p>
        </w:tc>
        <w:tc>
          <w:tcPr>
            <w:tcW w:w="1076" w:type="dxa"/>
            <w:shd w:val="clear" w:color="auto" w:fill="auto"/>
            <w:noWrap/>
            <w:vAlign w:val="center"/>
          </w:tcPr>
          <w:p w14:paraId="30E04D62" w14:textId="719689D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0.236963</w:t>
            </w:r>
          </w:p>
        </w:tc>
        <w:tc>
          <w:tcPr>
            <w:tcW w:w="960" w:type="dxa"/>
            <w:shd w:val="clear" w:color="auto" w:fill="auto"/>
            <w:noWrap/>
            <w:vAlign w:val="center"/>
          </w:tcPr>
          <w:p w14:paraId="28058165" w14:textId="3732CFF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641BC88" w14:textId="33617FC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52EA9A20" w14:textId="3E6F42C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0E04FAB4" w14:textId="77777777" w:rsidTr="00EC30BB">
        <w:trPr>
          <w:trHeight w:val="276"/>
          <w:jc w:val="center"/>
        </w:trPr>
        <w:tc>
          <w:tcPr>
            <w:tcW w:w="2268" w:type="dxa"/>
            <w:shd w:val="clear" w:color="auto" w:fill="auto"/>
            <w:noWrap/>
            <w:vAlign w:val="center"/>
          </w:tcPr>
          <w:p w14:paraId="46265CA8" w14:textId="3469F7E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48BD74D1" w14:textId="693C75A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27376353" w14:textId="4F7ACC2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2EA2220" w14:textId="34F5F1D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3B2BD73A" w14:textId="5A4CB05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0.239708</w:t>
            </w:r>
          </w:p>
        </w:tc>
        <w:tc>
          <w:tcPr>
            <w:tcW w:w="960" w:type="dxa"/>
            <w:shd w:val="clear" w:color="auto" w:fill="auto"/>
            <w:noWrap/>
            <w:vAlign w:val="center"/>
          </w:tcPr>
          <w:p w14:paraId="1BECAF5A" w14:textId="4B1683A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620FDD05" w14:textId="39C65D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159EF40B" w14:textId="0A0D9A3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3E3C632B" w14:textId="77777777" w:rsidTr="00EC30BB">
        <w:trPr>
          <w:trHeight w:val="276"/>
          <w:jc w:val="center"/>
        </w:trPr>
        <w:tc>
          <w:tcPr>
            <w:tcW w:w="2268" w:type="dxa"/>
            <w:shd w:val="clear" w:color="auto" w:fill="auto"/>
            <w:noWrap/>
            <w:vAlign w:val="center"/>
          </w:tcPr>
          <w:p w14:paraId="70128169" w14:textId="6057493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10FB97ED" w14:textId="797A2C4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1F001F77" w14:textId="5F01C4C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62C3CCD4" w14:textId="61E72BF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0.27</w:t>
            </w:r>
          </w:p>
        </w:tc>
        <w:tc>
          <w:tcPr>
            <w:tcW w:w="1076" w:type="dxa"/>
            <w:shd w:val="clear" w:color="auto" w:fill="auto"/>
            <w:noWrap/>
            <w:vAlign w:val="center"/>
          </w:tcPr>
          <w:p w14:paraId="0C95CE7D" w14:textId="7C8E472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0.247274</w:t>
            </w:r>
          </w:p>
        </w:tc>
        <w:tc>
          <w:tcPr>
            <w:tcW w:w="960" w:type="dxa"/>
            <w:shd w:val="clear" w:color="auto" w:fill="auto"/>
            <w:noWrap/>
            <w:vAlign w:val="center"/>
          </w:tcPr>
          <w:p w14:paraId="6A1F5358" w14:textId="794C3A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4ECD512D" w14:textId="7C7D398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0.43</w:t>
            </w:r>
          </w:p>
        </w:tc>
        <w:tc>
          <w:tcPr>
            <w:tcW w:w="960" w:type="dxa"/>
            <w:shd w:val="clear" w:color="auto" w:fill="auto"/>
            <w:noWrap/>
            <w:vAlign w:val="center"/>
          </w:tcPr>
          <w:p w14:paraId="35B00F01" w14:textId="6B1539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0CEDDB23" w14:textId="77777777" w:rsidTr="00EC30BB">
        <w:trPr>
          <w:trHeight w:val="276"/>
          <w:jc w:val="center"/>
        </w:trPr>
        <w:tc>
          <w:tcPr>
            <w:tcW w:w="2268" w:type="dxa"/>
            <w:shd w:val="clear" w:color="auto" w:fill="auto"/>
            <w:noWrap/>
            <w:vAlign w:val="center"/>
          </w:tcPr>
          <w:p w14:paraId="4DC762E7" w14:textId="45704B7B"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Two-year average</w:t>
            </w:r>
          </w:p>
        </w:tc>
        <w:tc>
          <w:tcPr>
            <w:tcW w:w="819" w:type="dxa"/>
            <w:shd w:val="clear" w:color="auto" w:fill="auto"/>
            <w:noWrap/>
            <w:vAlign w:val="center"/>
          </w:tcPr>
          <w:p w14:paraId="752A1BA5"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6B738013"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490551E9" w14:textId="77777777" w:rsidR="00CA4DDA" w:rsidRPr="007119A5" w:rsidRDefault="00CA4DDA" w:rsidP="00EC30BB">
            <w:pPr>
              <w:jc w:val="center"/>
              <w:rPr>
                <w:rFonts w:ascii="Times New Roman" w:eastAsia="等线" w:hAnsi="Times New Roman" w:cs="Times New Roman"/>
                <w:color w:val="000000"/>
                <w:sz w:val="20"/>
                <w:szCs w:val="20"/>
              </w:rPr>
            </w:pPr>
          </w:p>
        </w:tc>
        <w:tc>
          <w:tcPr>
            <w:tcW w:w="1076" w:type="dxa"/>
            <w:shd w:val="clear" w:color="auto" w:fill="auto"/>
            <w:noWrap/>
            <w:vAlign w:val="center"/>
          </w:tcPr>
          <w:p w14:paraId="6C243EF8"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45909C71"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57CE67B4"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246D3743" w14:textId="77777777" w:rsidR="00CA4DDA" w:rsidRPr="007119A5" w:rsidRDefault="00CA4DDA" w:rsidP="00EC30BB">
            <w:pPr>
              <w:jc w:val="center"/>
              <w:rPr>
                <w:rFonts w:ascii="Times New Roman" w:eastAsia="等线" w:hAnsi="Times New Roman" w:cs="Times New Roman"/>
                <w:color w:val="000000"/>
                <w:sz w:val="20"/>
                <w:szCs w:val="20"/>
              </w:rPr>
            </w:pPr>
          </w:p>
        </w:tc>
      </w:tr>
      <w:tr w:rsidR="00CA4DDA" w:rsidRPr="007119A5" w14:paraId="7AE97284" w14:textId="77777777" w:rsidTr="00EC30BB">
        <w:trPr>
          <w:trHeight w:val="276"/>
          <w:jc w:val="center"/>
        </w:trPr>
        <w:tc>
          <w:tcPr>
            <w:tcW w:w="2268" w:type="dxa"/>
            <w:shd w:val="clear" w:color="auto" w:fill="auto"/>
            <w:noWrap/>
            <w:vAlign w:val="center"/>
            <w:hideMark/>
          </w:tcPr>
          <w:p w14:paraId="1C8F77CF" w14:textId="0FA0414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hideMark/>
          </w:tcPr>
          <w:p w14:paraId="46F3F2C7"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-0.08</w:t>
            </w:r>
          </w:p>
        </w:tc>
        <w:tc>
          <w:tcPr>
            <w:tcW w:w="960" w:type="dxa"/>
            <w:shd w:val="clear" w:color="auto" w:fill="auto"/>
            <w:noWrap/>
            <w:vAlign w:val="center"/>
            <w:hideMark/>
          </w:tcPr>
          <w:p w14:paraId="17B58713"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hideMark/>
          </w:tcPr>
          <w:p w14:paraId="2A0BA205"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hideMark/>
          </w:tcPr>
          <w:p w14:paraId="1B53638C"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0.397718</w:t>
            </w:r>
          </w:p>
        </w:tc>
        <w:tc>
          <w:tcPr>
            <w:tcW w:w="960" w:type="dxa"/>
            <w:shd w:val="clear" w:color="auto" w:fill="auto"/>
            <w:noWrap/>
            <w:vAlign w:val="center"/>
            <w:hideMark/>
          </w:tcPr>
          <w:p w14:paraId="691EC182"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hideMark/>
          </w:tcPr>
          <w:p w14:paraId="5BF27549"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0.73</w:t>
            </w:r>
          </w:p>
        </w:tc>
        <w:tc>
          <w:tcPr>
            <w:tcW w:w="960" w:type="dxa"/>
            <w:shd w:val="clear" w:color="auto" w:fill="auto"/>
            <w:noWrap/>
            <w:vAlign w:val="center"/>
            <w:hideMark/>
          </w:tcPr>
          <w:p w14:paraId="7F8A6248"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1AF49860" w14:textId="77777777" w:rsidTr="00EC30BB">
        <w:trPr>
          <w:trHeight w:val="276"/>
          <w:jc w:val="center"/>
        </w:trPr>
        <w:tc>
          <w:tcPr>
            <w:tcW w:w="2268" w:type="dxa"/>
            <w:shd w:val="clear" w:color="auto" w:fill="auto"/>
            <w:noWrap/>
            <w:vAlign w:val="center"/>
          </w:tcPr>
          <w:p w14:paraId="68DB36A6" w14:textId="11F4540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3CCC7285" w14:textId="754A0C4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0A522798" w14:textId="34C71D6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tcPr>
          <w:p w14:paraId="0CC5AC71" w14:textId="55BF9EB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167523B3" w14:textId="333858A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0.401516</w:t>
            </w:r>
          </w:p>
        </w:tc>
        <w:tc>
          <w:tcPr>
            <w:tcW w:w="960" w:type="dxa"/>
            <w:shd w:val="clear" w:color="auto" w:fill="auto"/>
            <w:noWrap/>
            <w:vAlign w:val="center"/>
          </w:tcPr>
          <w:p w14:paraId="26E749CB" w14:textId="13ACC7E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1206BA54" w14:textId="667E5B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2726EA3B" w14:textId="1884B6B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17548F0E" w14:textId="77777777" w:rsidTr="00EC30BB">
        <w:trPr>
          <w:trHeight w:val="276"/>
          <w:jc w:val="center"/>
        </w:trPr>
        <w:tc>
          <w:tcPr>
            <w:tcW w:w="2268" w:type="dxa"/>
            <w:shd w:val="clear" w:color="auto" w:fill="auto"/>
            <w:noWrap/>
            <w:vAlign w:val="center"/>
          </w:tcPr>
          <w:p w14:paraId="34866488" w14:textId="6547415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22CB7E17" w14:textId="4A7F3F8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-0.01</w:t>
            </w:r>
          </w:p>
        </w:tc>
        <w:tc>
          <w:tcPr>
            <w:tcW w:w="960" w:type="dxa"/>
            <w:shd w:val="clear" w:color="auto" w:fill="auto"/>
            <w:noWrap/>
            <w:vAlign w:val="center"/>
          </w:tcPr>
          <w:p w14:paraId="73B0F32C" w14:textId="0EB5D16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666DCF60" w14:textId="702F135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1DB98166" w14:textId="5905CF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0.414397</w:t>
            </w:r>
          </w:p>
        </w:tc>
        <w:tc>
          <w:tcPr>
            <w:tcW w:w="960" w:type="dxa"/>
            <w:shd w:val="clear" w:color="auto" w:fill="auto"/>
            <w:noWrap/>
            <w:vAlign w:val="center"/>
          </w:tcPr>
          <w:p w14:paraId="70A5F2A1" w14:textId="4F061FA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0.51</w:t>
            </w:r>
          </w:p>
        </w:tc>
        <w:tc>
          <w:tcPr>
            <w:tcW w:w="960" w:type="dxa"/>
            <w:shd w:val="clear" w:color="auto" w:fill="auto"/>
            <w:noWrap/>
            <w:vAlign w:val="center"/>
          </w:tcPr>
          <w:p w14:paraId="2959FCC1" w14:textId="38F8DC6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7C425219" w14:textId="3E2C1EA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2AE835EE" w14:textId="77777777" w:rsidTr="00EC30BB">
        <w:trPr>
          <w:trHeight w:val="276"/>
          <w:jc w:val="center"/>
        </w:trPr>
        <w:tc>
          <w:tcPr>
            <w:tcW w:w="2268" w:type="dxa"/>
            <w:shd w:val="clear" w:color="auto" w:fill="auto"/>
            <w:noWrap/>
            <w:vAlign w:val="center"/>
          </w:tcPr>
          <w:p w14:paraId="2200DD3C" w14:textId="79A383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163415C6" w14:textId="1FB4D74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tcPr>
          <w:p w14:paraId="673411A3" w14:textId="77B3DE6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539589B5" w14:textId="4A67781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2AD0C962" w14:textId="7E78165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0.238218</w:t>
            </w:r>
          </w:p>
        </w:tc>
        <w:tc>
          <w:tcPr>
            <w:tcW w:w="960" w:type="dxa"/>
            <w:shd w:val="clear" w:color="auto" w:fill="auto"/>
            <w:noWrap/>
            <w:vAlign w:val="center"/>
          </w:tcPr>
          <w:p w14:paraId="26CA8C45" w14:textId="5FFE536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4373FA79" w14:textId="3AD2BF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0.49</w:t>
            </w:r>
          </w:p>
        </w:tc>
        <w:tc>
          <w:tcPr>
            <w:tcW w:w="960" w:type="dxa"/>
            <w:shd w:val="clear" w:color="auto" w:fill="auto"/>
            <w:noWrap/>
            <w:vAlign w:val="center"/>
          </w:tcPr>
          <w:p w14:paraId="535CD1C4" w14:textId="4204DD1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47CDC4E9" w14:textId="77777777" w:rsidTr="00EC30BB">
        <w:trPr>
          <w:trHeight w:val="276"/>
          <w:jc w:val="center"/>
        </w:trPr>
        <w:tc>
          <w:tcPr>
            <w:tcW w:w="2268" w:type="dxa"/>
            <w:shd w:val="clear" w:color="auto" w:fill="auto"/>
            <w:noWrap/>
            <w:vAlign w:val="center"/>
          </w:tcPr>
          <w:p w14:paraId="2969AA41" w14:textId="1108C73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55B53B55" w14:textId="68D5FAF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tcPr>
          <w:p w14:paraId="24B1FCCE" w14:textId="7409248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5B3C24E7" w14:textId="1DCA35B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2D60A95B" w14:textId="717C7B9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0.240673</w:t>
            </w:r>
          </w:p>
        </w:tc>
        <w:tc>
          <w:tcPr>
            <w:tcW w:w="960" w:type="dxa"/>
            <w:shd w:val="clear" w:color="auto" w:fill="auto"/>
            <w:noWrap/>
            <w:vAlign w:val="center"/>
          </w:tcPr>
          <w:p w14:paraId="704DD010" w14:textId="4F9E00D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433E501" w14:textId="7B93C9F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05E5467C" w14:textId="6FB804F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590B5F62" w14:textId="77777777" w:rsidTr="00EC30BB">
        <w:trPr>
          <w:trHeight w:val="276"/>
          <w:jc w:val="center"/>
        </w:trPr>
        <w:tc>
          <w:tcPr>
            <w:tcW w:w="2268" w:type="dxa"/>
            <w:shd w:val="clear" w:color="auto" w:fill="auto"/>
            <w:noWrap/>
            <w:vAlign w:val="center"/>
          </w:tcPr>
          <w:p w14:paraId="3C07EB86" w14:textId="18CFFB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16E33518" w14:textId="12139EB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2578A327" w14:textId="15BCC1E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2017C2F2" w14:textId="0567723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0.26</w:t>
            </w:r>
          </w:p>
        </w:tc>
        <w:tc>
          <w:tcPr>
            <w:tcW w:w="1076" w:type="dxa"/>
            <w:shd w:val="clear" w:color="auto" w:fill="auto"/>
            <w:noWrap/>
            <w:vAlign w:val="center"/>
          </w:tcPr>
          <w:p w14:paraId="4A9E8518" w14:textId="6C9583C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0.248662</w:t>
            </w:r>
          </w:p>
        </w:tc>
        <w:tc>
          <w:tcPr>
            <w:tcW w:w="960" w:type="dxa"/>
            <w:shd w:val="clear" w:color="auto" w:fill="auto"/>
            <w:noWrap/>
            <w:vAlign w:val="center"/>
          </w:tcPr>
          <w:p w14:paraId="3E64D8FD" w14:textId="3EECE39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3DE531A2" w14:textId="20E445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960" w:type="dxa"/>
            <w:shd w:val="clear" w:color="auto" w:fill="auto"/>
            <w:noWrap/>
            <w:vAlign w:val="center"/>
          </w:tcPr>
          <w:p w14:paraId="1CADF7E2" w14:textId="705AF9F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33FAF424" w14:textId="77777777" w:rsidTr="00EC30BB">
        <w:trPr>
          <w:trHeight w:val="276"/>
          <w:jc w:val="center"/>
        </w:trPr>
        <w:tc>
          <w:tcPr>
            <w:tcW w:w="2268" w:type="dxa"/>
            <w:shd w:val="clear" w:color="auto" w:fill="auto"/>
            <w:noWrap/>
            <w:vAlign w:val="center"/>
          </w:tcPr>
          <w:p w14:paraId="24571AFB" w14:textId="068B75AF"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Three-year</w:t>
            </w:r>
            <w:r w:rsidR="00EC30BB" w:rsidRPr="007119A5">
              <w:rPr>
                <w:rFonts w:ascii="Times New Roman" w:eastAsia="等线" w:hAnsi="Times New Roman" w:cs="Times New Roman"/>
                <w:b/>
                <w:bCs/>
                <w:color w:val="000000"/>
                <w:sz w:val="20"/>
                <w:szCs w:val="20"/>
              </w:rPr>
              <w:t xml:space="preserve"> </w:t>
            </w:r>
            <w:r w:rsidRPr="007119A5">
              <w:rPr>
                <w:rFonts w:ascii="Times New Roman" w:eastAsia="等线" w:hAnsi="Times New Roman" w:cs="Times New Roman"/>
                <w:b/>
                <w:bCs/>
                <w:color w:val="000000"/>
                <w:sz w:val="20"/>
                <w:szCs w:val="20"/>
              </w:rPr>
              <w:t>average</w:t>
            </w:r>
          </w:p>
        </w:tc>
        <w:tc>
          <w:tcPr>
            <w:tcW w:w="819" w:type="dxa"/>
            <w:shd w:val="clear" w:color="auto" w:fill="auto"/>
            <w:noWrap/>
            <w:vAlign w:val="center"/>
          </w:tcPr>
          <w:p w14:paraId="3CB2C3A2" w14:textId="0984CBC0"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3107FD63" w14:textId="5F959BBF"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1A908925" w14:textId="38BDACA9" w:rsidR="00CA4DDA" w:rsidRPr="007119A5" w:rsidRDefault="00CA4DDA" w:rsidP="00EC30BB">
            <w:pPr>
              <w:jc w:val="center"/>
              <w:rPr>
                <w:rFonts w:ascii="Times New Roman" w:eastAsia="等线" w:hAnsi="Times New Roman" w:cs="Times New Roman"/>
                <w:color w:val="000000"/>
                <w:sz w:val="20"/>
                <w:szCs w:val="20"/>
              </w:rPr>
            </w:pPr>
          </w:p>
        </w:tc>
        <w:tc>
          <w:tcPr>
            <w:tcW w:w="1076" w:type="dxa"/>
            <w:shd w:val="clear" w:color="auto" w:fill="auto"/>
            <w:noWrap/>
            <w:vAlign w:val="center"/>
          </w:tcPr>
          <w:p w14:paraId="35EA238A" w14:textId="30293AB3"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72622977" w14:textId="412E8175"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3ADDAD3F" w14:textId="0C7A0C1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654C1CD5" w14:textId="314A5A61" w:rsidR="00CA4DDA" w:rsidRPr="007119A5" w:rsidRDefault="00CA4DDA" w:rsidP="00EC30BB">
            <w:pPr>
              <w:jc w:val="center"/>
              <w:rPr>
                <w:rFonts w:ascii="Times New Roman" w:eastAsia="等线" w:hAnsi="Times New Roman" w:cs="Times New Roman"/>
                <w:color w:val="000000"/>
                <w:sz w:val="20"/>
                <w:szCs w:val="20"/>
              </w:rPr>
            </w:pPr>
          </w:p>
        </w:tc>
      </w:tr>
      <w:tr w:rsidR="00CA4DDA" w:rsidRPr="007119A5" w14:paraId="7014E13D" w14:textId="77777777" w:rsidTr="00EC30BB">
        <w:trPr>
          <w:trHeight w:val="276"/>
          <w:jc w:val="center"/>
        </w:trPr>
        <w:tc>
          <w:tcPr>
            <w:tcW w:w="2268" w:type="dxa"/>
            <w:shd w:val="clear" w:color="auto" w:fill="auto"/>
            <w:noWrap/>
            <w:vAlign w:val="center"/>
          </w:tcPr>
          <w:p w14:paraId="40DE335D" w14:textId="7DFC9BE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27654529" w14:textId="546B41F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-0.08</w:t>
            </w:r>
          </w:p>
        </w:tc>
        <w:tc>
          <w:tcPr>
            <w:tcW w:w="960" w:type="dxa"/>
            <w:shd w:val="clear" w:color="auto" w:fill="auto"/>
            <w:noWrap/>
            <w:vAlign w:val="center"/>
          </w:tcPr>
          <w:p w14:paraId="731B0F95" w14:textId="31CDCF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0.28</w:t>
            </w:r>
          </w:p>
        </w:tc>
        <w:tc>
          <w:tcPr>
            <w:tcW w:w="960" w:type="dxa"/>
            <w:shd w:val="clear" w:color="auto" w:fill="auto"/>
            <w:noWrap/>
            <w:vAlign w:val="center"/>
          </w:tcPr>
          <w:p w14:paraId="7031B13A" w14:textId="3FA72B9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3D68DFB4" w14:textId="0B3F7CC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0.399111</w:t>
            </w:r>
          </w:p>
        </w:tc>
        <w:tc>
          <w:tcPr>
            <w:tcW w:w="960" w:type="dxa"/>
            <w:shd w:val="clear" w:color="auto" w:fill="auto"/>
            <w:noWrap/>
            <w:vAlign w:val="center"/>
          </w:tcPr>
          <w:p w14:paraId="7B5AC9F0" w14:textId="1DA3622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6501FC50" w14:textId="1FF8FC9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0.74</w:t>
            </w:r>
          </w:p>
        </w:tc>
        <w:tc>
          <w:tcPr>
            <w:tcW w:w="960" w:type="dxa"/>
            <w:shd w:val="clear" w:color="auto" w:fill="auto"/>
            <w:noWrap/>
            <w:vAlign w:val="center"/>
          </w:tcPr>
          <w:p w14:paraId="18397A48" w14:textId="2DFEC37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0.22</w:t>
            </w:r>
          </w:p>
        </w:tc>
      </w:tr>
      <w:tr w:rsidR="00CA4DDA" w:rsidRPr="007119A5" w14:paraId="53593544" w14:textId="77777777" w:rsidTr="00EC30BB">
        <w:trPr>
          <w:trHeight w:val="276"/>
          <w:jc w:val="center"/>
        </w:trPr>
        <w:tc>
          <w:tcPr>
            <w:tcW w:w="2268" w:type="dxa"/>
            <w:shd w:val="clear" w:color="auto" w:fill="auto"/>
            <w:noWrap/>
            <w:vAlign w:val="center"/>
          </w:tcPr>
          <w:p w14:paraId="6C11CD21" w14:textId="5EF4D27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01F76174" w14:textId="0D4E687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0A62595D" w14:textId="140AAD8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tcPr>
          <w:p w14:paraId="7A0AFD6E" w14:textId="78B08CB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12A96216" w14:textId="281246A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0.403503</w:t>
            </w:r>
          </w:p>
        </w:tc>
        <w:tc>
          <w:tcPr>
            <w:tcW w:w="960" w:type="dxa"/>
            <w:shd w:val="clear" w:color="auto" w:fill="auto"/>
            <w:noWrap/>
            <w:vAlign w:val="center"/>
          </w:tcPr>
          <w:p w14:paraId="07249760" w14:textId="602DE09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21CFE5E4" w14:textId="5B0EE6B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3FB30F28" w14:textId="65B5C1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7B0D60F2" w14:textId="77777777" w:rsidTr="00EC30BB">
        <w:trPr>
          <w:trHeight w:val="276"/>
          <w:jc w:val="center"/>
        </w:trPr>
        <w:tc>
          <w:tcPr>
            <w:tcW w:w="2268" w:type="dxa"/>
            <w:shd w:val="clear" w:color="auto" w:fill="auto"/>
            <w:noWrap/>
            <w:vAlign w:val="center"/>
          </w:tcPr>
          <w:p w14:paraId="205D5356" w14:textId="713BF7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3752D7B8" w14:textId="548C487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-0.01</w:t>
            </w:r>
          </w:p>
        </w:tc>
        <w:tc>
          <w:tcPr>
            <w:tcW w:w="960" w:type="dxa"/>
            <w:shd w:val="clear" w:color="auto" w:fill="auto"/>
            <w:noWrap/>
            <w:vAlign w:val="center"/>
          </w:tcPr>
          <w:p w14:paraId="002A80A5" w14:textId="24C623E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995E266" w14:textId="605C20B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061B668F" w14:textId="4961125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0.416092</w:t>
            </w:r>
          </w:p>
        </w:tc>
        <w:tc>
          <w:tcPr>
            <w:tcW w:w="960" w:type="dxa"/>
            <w:shd w:val="clear" w:color="auto" w:fill="auto"/>
            <w:noWrap/>
            <w:vAlign w:val="center"/>
          </w:tcPr>
          <w:p w14:paraId="643A356B" w14:textId="2C0923A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0.52</w:t>
            </w:r>
          </w:p>
        </w:tc>
        <w:tc>
          <w:tcPr>
            <w:tcW w:w="960" w:type="dxa"/>
            <w:shd w:val="clear" w:color="auto" w:fill="auto"/>
            <w:noWrap/>
            <w:vAlign w:val="center"/>
          </w:tcPr>
          <w:p w14:paraId="28202FED" w14:textId="75A91F7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0.72</w:t>
            </w:r>
          </w:p>
        </w:tc>
        <w:tc>
          <w:tcPr>
            <w:tcW w:w="960" w:type="dxa"/>
            <w:shd w:val="clear" w:color="auto" w:fill="auto"/>
            <w:noWrap/>
            <w:vAlign w:val="center"/>
          </w:tcPr>
          <w:p w14:paraId="75DB59B5" w14:textId="7429371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0.22</w:t>
            </w:r>
          </w:p>
        </w:tc>
      </w:tr>
      <w:tr w:rsidR="00CA4DDA" w:rsidRPr="007119A5" w14:paraId="0206D81C" w14:textId="77777777" w:rsidTr="00EC30BB">
        <w:trPr>
          <w:trHeight w:val="276"/>
          <w:jc w:val="center"/>
        </w:trPr>
        <w:tc>
          <w:tcPr>
            <w:tcW w:w="2268" w:type="dxa"/>
            <w:shd w:val="clear" w:color="auto" w:fill="auto"/>
            <w:noWrap/>
            <w:vAlign w:val="center"/>
          </w:tcPr>
          <w:p w14:paraId="4B4D2F35" w14:textId="249F418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6B18D181" w14:textId="6E06911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-0.04</w:t>
            </w:r>
          </w:p>
        </w:tc>
        <w:tc>
          <w:tcPr>
            <w:tcW w:w="960" w:type="dxa"/>
            <w:shd w:val="clear" w:color="auto" w:fill="auto"/>
            <w:noWrap/>
            <w:vAlign w:val="center"/>
          </w:tcPr>
          <w:p w14:paraId="322A261E" w14:textId="0CF807D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605283D" w14:textId="2252058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5EE56FBE" w14:textId="3FAB8D0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0.241064</w:t>
            </w:r>
          </w:p>
        </w:tc>
        <w:tc>
          <w:tcPr>
            <w:tcW w:w="960" w:type="dxa"/>
            <w:shd w:val="clear" w:color="auto" w:fill="auto"/>
            <w:noWrap/>
            <w:vAlign w:val="center"/>
          </w:tcPr>
          <w:p w14:paraId="22FCC615" w14:textId="334EE04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5647E959" w14:textId="73FDB76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0.49</w:t>
            </w:r>
          </w:p>
        </w:tc>
        <w:tc>
          <w:tcPr>
            <w:tcW w:w="960" w:type="dxa"/>
            <w:shd w:val="clear" w:color="auto" w:fill="auto"/>
            <w:noWrap/>
            <w:vAlign w:val="center"/>
          </w:tcPr>
          <w:p w14:paraId="1FCFCD61" w14:textId="67713D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r w:rsidR="00CA4DDA" w:rsidRPr="007119A5" w14:paraId="6360C4A9" w14:textId="77777777" w:rsidTr="00EC30BB">
        <w:trPr>
          <w:trHeight w:val="276"/>
          <w:jc w:val="center"/>
        </w:trPr>
        <w:tc>
          <w:tcPr>
            <w:tcW w:w="2268" w:type="dxa"/>
            <w:shd w:val="clear" w:color="auto" w:fill="auto"/>
            <w:noWrap/>
            <w:vAlign w:val="center"/>
            <w:hideMark/>
          </w:tcPr>
          <w:p w14:paraId="5B9D63CA" w14:textId="0CA0C26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hideMark/>
          </w:tcPr>
          <w:p w14:paraId="400A3060"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hideMark/>
          </w:tcPr>
          <w:p w14:paraId="61EEA43F"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hideMark/>
          </w:tcPr>
          <w:p w14:paraId="1B1FE8C5"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0.26</w:t>
            </w:r>
          </w:p>
        </w:tc>
        <w:tc>
          <w:tcPr>
            <w:tcW w:w="1076" w:type="dxa"/>
            <w:shd w:val="clear" w:color="auto" w:fill="auto"/>
            <w:noWrap/>
            <w:vAlign w:val="center"/>
            <w:hideMark/>
          </w:tcPr>
          <w:p w14:paraId="323185EA"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0.244154</w:t>
            </w:r>
          </w:p>
        </w:tc>
        <w:tc>
          <w:tcPr>
            <w:tcW w:w="960" w:type="dxa"/>
            <w:shd w:val="clear" w:color="auto" w:fill="auto"/>
            <w:noWrap/>
            <w:vAlign w:val="center"/>
            <w:hideMark/>
          </w:tcPr>
          <w:p w14:paraId="30EB2C43"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hideMark/>
          </w:tcPr>
          <w:p w14:paraId="490DE067"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0.46</w:t>
            </w:r>
          </w:p>
        </w:tc>
        <w:tc>
          <w:tcPr>
            <w:tcW w:w="960" w:type="dxa"/>
            <w:shd w:val="clear" w:color="auto" w:fill="auto"/>
            <w:noWrap/>
            <w:vAlign w:val="center"/>
            <w:hideMark/>
          </w:tcPr>
          <w:p w14:paraId="3466B5FF"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r w:rsidR="00CA4DDA" w:rsidRPr="007119A5" w14:paraId="5F3E4BBB" w14:textId="77777777" w:rsidTr="00EC30BB">
        <w:trPr>
          <w:trHeight w:val="276"/>
          <w:jc w:val="center"/>
        </w:trPr>
        <w:tc>
          <w:tcPr>
            <w:tcW w:w="2268" w:type="dxa"/>
            <w:shd w:val="clear" w:color="auto" w:fill="auto"/>
            <w:noWrap/>
            <w:vAlign w:val="center"/>
          </w:tcPr>
          <w:p w14:paraId="12657D1C" w14:textId="0E4F1A1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5A7D5C5C" w14:textId="0A8217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164D1050" w14:textId="3BDC26F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25778D34" w14:textId="07D01CC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0.27</w:t>
            </w:r>
          </w:p>
        </w:tc>
        <w:tc>
          <w:tcPr>
            <w:tcW w:w="1076" w:type="dxa"/>
            <w:shd w:val="clear" w:color="auto" w:fill="auto"/>
            <w:noWrap/>
            <w:vAlign w:val="center"/>
          </w:tcPr>
          <w:p w14:paraId="7670C9F2" w14:textId="55ED2E4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0.251988</w:t>
            </w:r>
          </w:p>
        </w:tc>
        <w:tc>
          <w:tcPr>
            <w:tcW w:w="960" w:type="dxa"/>
            <w:shd w:val="clear" w:color="auto" w:fill="auto"/>
            <w:noWrap/>
            <w:vAlign w:val="center"/>
          </w:tcPr>
          <w:p w14:paraId="600042BF" w14:textId="07160D4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0.32</w:t>
            </w:r>
          </w:p>
        </w:tc>
        <w:tc>
          <w:tcPr>
            <w:tcW w:w="960" w:type="dxa"/>
            <w:shd w:val="clear" w:color="auto" w:fill="auto"/>
            <w:noWrap/>
            <w:vAlign w:val="center"/>
          </w:tcPr>
          <w:p w14:paraId="050D80B7" w14:textId="740907D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960" w:type="dxa"/>
            <w:shd w:val="clear" w:color="auto" w:fill="auto"/>
            <w:noWrap/>
            <w:vAlign w:val="center"/>
          </w:tcPr>
          <w:p w14:paraId="720FB276" w14:textId="197E4D7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bl>
    <w:p w14:paraId="4926B25B" w14:textId="656AE6D4" w:rsidR="00E3651C" w:rsidRPr="007119A5" w:rsidRDefault="008F3034" w:rsidP="008F3034">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 P</w:t>
      </w:r>
      <w:r w:rsidRPr="007119A5">
        <w:rPr>
          <w:rFonts w:ascii="Times New Roman" w:hAnsi="Times New Roman" w:cs="Times New Roman"/>
          <w:vertAlign w:val="subscript"/>
        </w:rPr>
        <w:t xml:space="preserve">25: 25th </w:t>
      </w:r>
      <w:r w:rsidRPr="007119A5">
        <w:rPr>
          <w:rFonts w:ascii="Times New Roman" w:hAnsi="Times New Roman" w:cs="Times New Roman"/>
        </w:rPr>
        <w:t>percentile. P</w:t>
      </w:r>
      <w:r w:rsidRPr="007119A5">
        <w:rPr>
          <w:rFonts w:ascii="Times New Roman" w:hAnsi="Times New Roman" w:cs="Times New Roman"/>
          <w:vertAlign w:val="subscript"/>
        </w:rPr>
        <w:t xml:space="preserve">75: 75th </w:t>
      </w:r>
      <w:r w:rsidRPr="007119A5">
        <w:rPr>
          <w:rFonts w:ascii="Times New Roman" w:hAnsi="Times New Roman" w:cs="Times New Roman"/>
        </w:rPr>
        <w:t>percentile</w:t>
      </w:r>
    </w:p>
    <w:p w14:paraId="51263D7D" w14:textId="0DC65413" w:rsidR="00567720" w:rsidRPr="007119A5" w:rsidRDefault="00567720">
      <w:pPr>
        <w:rPr>
          <w:rFonts w:ascii="Times New Roman" w:hAnsi="Times New Roman" w:cs="Times New Roman"/>
        </w:rPr>
      </w:pPr>
      <w:r w:rsidRPr="007119A5">
        <w:rPr>
          <w:rFonts w:ascii="Times New Roman" w:hAnsi="Times New Roman" w:cs="Times New Roman"/>
        </w:rPr>
        <w:br w:type="page"/>
      </w:r>
    </w:p>
    <w:p w14:paraId="0EA61965" w14:textId="5AE3AB50" w:rsidR="00D301E6" w:rsidRPr="007119A5" w:rsidRDefault="00BE7486"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r w:rsidR="00C333B6">
        <w:rPr>
          <w:rFonts w:ascii="Times New Roman" w:hAnsi="Times New Roman" w:cs="Times New Roman"/>
          <w:sz w:val="24"/>
          <w:szCs w:val="24"/>
        </w:rPr>
        <w:t>3</w:t>
      </w:r>
      <w:r w:rsidR="007A6C17" w:rsidRPr="007119A5">
        <w:rPr>
          <w:rFonts w:ascii="Times New Roman" w:hAnsi="Times New Roman" w:cs="Times New Roman"/>
          <w:sz w:val="24"/>
          <w:szCs w:val="24"/>
        </w:rPr>
        <w:t xml:space="preserve"> </w:t>
      </w:r>
      <w:r w:rsidR="00D301E6" w:rsidRPr="007119A5">
        <w:rPr>
          <w:rFonts w:ascii="Times New Roman" w:hAnsi="Times New Roman" w:cs="Times New Roman"/>
          <w:b w:val="0"/>
          <w:bCs w:val="0"/>
          <w:sz w:val="24"/>
          <w:szCs w:val="24"/>
        </w:rPr>
        <w:t xml:space="preserve">Associations between per IQR increase in </w:t>
      </w:r>
      <w:r w:rsidRPr="007119A5">
        <w:rPr>
          <w:rFonts w:ascii="Times New Roman" w:hAnsi="Times New Roman" w:cs="Times New Roman"/>
          <w:b w:val="0"/>
          <w:bCs w:val="0"/>
          <w:sz w:val="24"/>
          <w:szCs w:val="24"/>
        </w:rPr>
        <w:t>one-year</w:t>
      </w:r>
      <w:r w:rsidR="00B405A4" w:rsidRPr="007119A5">
        <w:rPr>
          <w:rFonts w:ascii="Times New Roman" w:hAnsi="Times New Roman" w:cs="Times New Roman"/>
          <w:b w:val="0"/>
          <w:bCs w:val="0"/>
          <w:sz w:val="24"/>
          <w:szCs w:val="24"/>
        </w:rPr>
        <w:t xml:space="preserve"> and two -year</w:t>
      </w:r>
      <w:r w:rsidR="00D301E6" w:rsidRPr="007119A5">
        <w:rPr>
          <w:rFonts w:ascii="Times New Roman" w:hAnsi="Times New Roman" w:cs="Times New Roman"/>
          <w:b w:val="0"/>
          <w:bCs w:val="0"/>
          <w:sz w:val="24"/>
          <w:szCs w:val="24"/>
        </w:rPr>
        <w:t xml:space="preserve"> average value of greenness metrics within different buffers and MAFLD prevalence.</w:t>
      </w:r>
    </w:p>
    <w:tbl>
      <w:tblPr>
        <w:tblW w:w="6688" w:type="dxa"/>
        <w:jc w:val="center"/>
        <w:tblBorders>
          <w:top w:val="single" w:sz="4" w:space="0" w:color="auto"/>
          <w:bottom w:val="single" w:sz="4" w:space="0" w:color="auto"/>
        </w:tblBorders>
        <w:tblLook w:val="04A0" w:firstRow="1" w:lastRow="0" w:firstColumn="1" w:lastColumn="0" w:noHBand="0" w:noVBand="1"/>
      </w:tblPr>
      <w:tblGrid>
        <w:gridCol w:w="2004"/>
        <w:gridCol w:w="2249"/>
        <w:gridCol w:w="2435"/>
      </w:tblGrid>
      <w:tr w:rsidR="0086777E" w:rsidRPr="007119A5" w14:paraId="268CA274" w14:textId="77777777" w:rsidTr="0086777E">
        <w:trPr>
          <w:trHeight w:val="276"/>
          <w:jc w:val="center"/>
        </w:trPr>
        <w:tc>
          <w:tcPr>
            <w:tcW w:w="2004" w:type="dxa"/>
            <w:tcBorders>
              <w:top w:val="single" w:sz="4" w:space="0" w:color="auto"/>
              <w:bottom w:val="single" w:sz="4" w:space="0" w:color="auto"/>
            </w:tcBorders>
            <w:shd w:val="clear" w:color="auto" w:fill="auto"/>
            <w:noWrap/>
            <w:vAlign w:val="center"/>
          </w:tcPr>
          <w:p w14:paraId="47F2DA8D" w14:textId="7777777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2249" w:type="dxa"/>
            <w:tcBorders>
              <w:top w:val="single" w:sz="4" w:space="0" w:color="auto"/>
              <w:bottom w:val="single" w:sz="4" w:space="0" w:color="auto"/>
            </w:tcBorders>
            <w:shd w:val="clear" w:color="auto" w:fill="auto"/>
            <w:noWrap/>
            <w:vAlign w:val="center"/>
          </w:tcPr>
          <w:p w14:paraId="4AB73EE5" w14:textId="77777777" w:rsidR="0086777E" w:rsidRPr="007119A5" w:rsidRDefault="0086777E" w:rsidP="007B5E2F">
            <w:pPr>
              <w:pStyle w:val="a7"/>
              <w:jc w:val="center"/>
              <w:rPr>
                <w:rFonts w:ascii="Times New Roman" w:hAnsi="Times New Roman" w:cs="Times New Roman"/>
                <w:sz w:val="20"/>
                <w:szCs w:val="20"/>
              </w:rPr>
            </w:pPr>
            <w:r w:rsidRPr="007119A5">
              <w:rPr>
                <w:rFonts w:ascii="Times New Roman" w:hAnsi="Times New Roman" w:cs="Times New Roman"/>
                <w:sz w:val="20"/>
                <w:szCs w:val="20"/>
              </w:rPr>
              <w:t xml:space="preserve">Crude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a</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2435" w:type="dxa"/>
            <w:tcBorders>
              <w:top w:val="single" w:sz="4" w:space="0" w:color="auto"/>
              <w:bottom w:val="single" w:sz="4" w:space="0" w:color="auto"/>
            </w:tcBorders>
            <w:vAlign w:val="center"/>
          </w:tcPr>
          <w:p w14:paraId="3052306A" w14:textId="7777777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Adjusted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b</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r>
      <w:tr w:rsidR="0086777E" w:rsidRPr="007119A5" w14:paraId="55485450" w14:textId="77777777" w:rsidTr="0086777E">
        <w:trPr>
          <w:trHeight w:val="276"/>
          <w:jc w:val="center"/>
        </w:trPr>
        <w:tc>
          <w:tcPr>
            <w:tcW w:w="2004" w:type="dxa"/>
            <w:shd w:val="clear" w:color="auto" w:fill="auto"/>
            <w:noWrap/>
            <w:vAlign w:val="center"/>
          </w:tcPr>
          <w:p w14:paraId="64CA488B" w14:textId="3D1A1837" w:rsidR="0086777E" w:rsidRPr="007119A5" w:rsidRDefault="0086777E" w:rsidP="007B5E2F">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One-year</w:t>
            </w:r>
            <w:r w:rsidRPr="007119A5">
              <w:rPr>
                <w:rFonts w:ascii="Times New Roman" w:hAnsi="Times New Roman" w:cs="Times New Roman"/>
                <w:b/>
                <w:bCs/>
                <w:sz w:val="20"/>
                <w:szCs w:val="20"/>
              </w:rPr>
              <w:t xml:space="preserve"> </w:t>
            </w:r>
            <w:r w:rsidRPr="007119A5">
              <w:rPr>
                <w:rFonts w:ascii="Times New Roman" w:eastAsia="等线" w:hAnsi="Times New Roman" w:cs="Times New Roman"/>
                <w:b/>
                <w:bCs/>
                <w:color w:val="000000"/>
                <w:sz w:val="20"/>
                <w:szCs w:val="20"/>
              </w:rPr>
              <w:t>average</w:t>
            </w:r>
          </w:p>
        </w:tc>
        <w:tc>
          <w:tcPr>
            <w:tcW w:w="2249" w:type="dxa"/>
            <w:shd w:val="clear" w:color="auto" w:fill="auto"/>
            <w:noWrap/>
          </w:tcPr>
          <w:p w14:paraId="3F4DF6B4" w14:textId="77777777" w:rsidR="0086777E" w:rsidRPr="007119A5" w:rsidRDefault="0086777E" w:rsidP="007B5E2F">
            <w:pPr>
              <w:jc w:val="center"/>
              <w:rPr>
                <w:rFonts w:ascii="Times New Roman" w:hAnsi="Times New Roman" w:cs="Times New Roman"/>
                <w:sz w:val="20"/>
                <w:szCs w:val="20"/>
              </w:rPr>
            </w:pPr>
          </w:p>
        </w:tc>
        <w:tc>
          <w:tcPr>
            <w:tcW w:w="2435" w:type="dxa"/>
            <w:vAlign w:val="center"/>
          </w:tcPr>
          <w:p w14:paraId="302C052A" w14:textId="77777777" w:rsidR="0086777E" w:rsidRPr="007119A5" w:rsidRDefault="0086777E" w:rsidP="007B5E2F">
            <w:pPr>
              <w:jc w:val="center"/>
              <w:rPr>
                <w:rFonts w:ascii="Times New Roman" w:eastAsia="等线" w:hAnsi="Times New Roman" w:cs="Times New Roman"/>
                <w:color w:val="000000"/>
                <w:sz w:val="20"/>
                <w:szCs w:val="20"/>
              </w:rPr>
            </w:pPr>
          </w:p>
        </w:tc>
      </w:tr>
      <w:tr w:rsidR="0086777E" w:rsidRPr="007119A5" w14:paraId="4FD762C9" w14:textId="77777777" w:rsidTr="0086777E">
        <w:trPr>
          <w:trHeight w:val="276"/>
          <w:jc w:val="center"/>
        </w:trPr>
        <w:tc>
          <w:tcPr>
            <w:tcW w:w="2004" w:type="dxa"/>
            <w:shd w:val="clear" w:color="auto" w:fill="auto"/>
            <w:noWrap/>
            <w:vAlign w:val="center"/>
          </w:tcPr>
          <w:p w14:paraId="7C410A70" w14:textId="541E719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663A63C5" w14:textId="706C9EA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0.70 (0.68, 0.73)</w:t>
            </w:r>
          </w:p>
        </w:tc>
        <w:tc>
          <w:tcPr>
            <w:tcW w:w="2435" w:type="dxa"/>
            <w:vAlign w:val="center"/>
          </w:tcPr>
          <w:p w14:paraId="02978248" w14:textId="77104141"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0.75 (0.72, 0.78)</w:t>
            </w:r>
          </w:p>
        </w:tc>
      </w:tr>
      <w:tr w:rsidR="0086777E" w:rsidRPr="007119A5" w14:paraId="2C7AA9EC" w14:textId="77777777" w:rsidTr="0086777E">
        <w:trPr>
          <w:trHeight w:val="276"/>
          <w:jc w:val="center"/>
        </w:trPr>
        <w:tc>
          <w:tcPr>
            <w:tcW w:w="2004" w:type="dxa"/>
            <w:shd w:val="clear" w:color="auto" w:fill="auto"/>
            <w:noWrap/>
            <w:vAlign w:val="center"/>
            <w:hideMark/>
          </w:tcPr>
          <w:p w14:paraId="14F59CF8" w14:textId="3648CA63"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hideMark/>
          </w:tcPr>
          <w:p w14:paraId="2D938620" w14:textId="36F6DC1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0.71 (0.69, 0.73)</w:t>
            </w:r>
          </w:p>
        </w:tc>
        <w:tc>
          <w:tcPr>
            <w:tcW w:w="2435" w:type="dxa"/>
            <w:vAlign w:val="center"/>
          </w:tcPr>
          <w:p w14:paraId="38835389" w14:textId="4A0418EA"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0.76 (0.74, 0.79)</w:t>
            </w:r>
          </w:p>
        </w:tc>
      </w:tr>
      <w:tr w:rsidR="0086777E" w:rsidRPr="007119A5" w14:paraId="1E7E9FA4" w14:textId="77777777" w:rsidTr="0086777E">
        <w:trPr>
          <w:trHeight w:val="276"/>
          <w:jc w:val="center"/>
        </w:trPr>
        <w:tc>
          <w:tcPr>
            <w:tcW w:w="2004" w:type="dxa"/>
            <w:shd w:val="clear" w:color="auto" w:fill="auto"/>
            <w:noWrap/>
            <w:vAlign w:val="center"/>
            <w:hideMark/>
          </w:tcPr>
          <w:p w14:paraId="78D58378" w14:textId="20FBAED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hideMark/>
          </w:tcPr>
          <w:p w14:paraId="32219066" w14:textId="2B6A8E4C"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0.68 (0.66, 0.71)</w:t>
            </w:r>
          </w:p>
        </w:tc>
        <w:tc>
          <w:tcPr>
            <w:tcW w:w="2435" w:type="dxa"/>
            <w:vAlign w:val="center"/>
          </w:tcPr>
          <w:p w14:paraId="34FB0E6B" w14:textId="4B378DF8"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0.73 (0.70, 0.76)</w:t>
            </w:r>
          </w:p>
        </w:tc>
      </w:tr>
      <w:tr w:rsidR="0086777E" w:rsidRPr="007119A5" w14:paraId="0BEF30F0" w14:textId="77777777" w:rsidTr="0086777E">
        <w:trPr>
          <w:trHeight w:val="276"/>
          <w:jc w:val="center"/>
        </w:trPr>
        <w:tc>
          <w:tcPr>
            <w:tcW w:w="2004" w:type="dxa"/>
            <w:shd w:val="clear" w:color="auto" w:fill="auto"/>
            <w:noWrap/>
            <w:vAlign w:val="center"/>
          </w:tcPr>
          <w:p w14:paraId="7ABF2639" w14:textId="2E9B8974"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122A5C22" w14:textId="17F6A446"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0.72 (0.70, 0.74)</w:t>
            </w:r>
          </w:p>
        </w:tc>
        <w:tc>
          <w:tcPr>
            <w:tcW w:w="2435" w:type="dxa"/>
            <w:vAlign w:val="center"/>
          </w:tcPr>
          <w:p w14:paraId="4568E9DB" w14:textId="59FF3114"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0.79 (0.76, 0.81)</w:t>
            </w:r>
          </w:p>
        </w:tc>
      </w:tr>
      <w:tr w:rsidR="0086777E" w:rsidRPr="007119A5" w14:paraId="3D7C3D81" w14:textId="77777777" w:rsidTr="0086777E">
        <w:trPr>
          <w:trHeight w:val="276"/>
          <w:jc w:val="center"/>
        </w:trPr>
        <w:tc>
          <w:tcPr>
            <w:tcW w:w="2004" w:type="dxa"/>
            <w:shd w:val="clear" w:color="auto" w:fill="auto"/>
            <w:noWrap/>
            <w:vAlign w:val="center"/>
            <w:hideMark/>
          </w:tcPr>
          <w:p w14:paraId="72352035" w14:textId="14D772FF"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hideMark/>
          </w:tcPr>
          <w:p w14:paraId="7B2173DB" w14:textId="38C6B9AD"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0.72 (0.70, 0.74)</w:t>
            </w:r>
          </w:p>
        </w:tc>
        <w:tc>
          <w:tcPr>
            <w:tcW w:w="2435" w:type="dxa"/>
            <w:vAlign w:val="center"/>
          </w:tcPr>
          <w:p w14:paraId="7438BFFF" w14:textId="3FAEC1C5"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0.79 (0.76, 0.82)</w:t>
            </w:r>
          </w:p>
        </w:tc>
      </w:tr>
      <w:tr w:rsidR="0086777E" w:rsidRPr="007119A5" w14:paraId="4D3E1381" w14:textId="77777777" w:rsidTr="0086777E">
        <w:trPr>
          <w:trHeight w:val="276"/>
          <w:jc w:val="center"/>
        </w:trPr>
        <w:tc>
          <w:tcPr>
            <w:tcW w:w="2004" w:type="dxa"/>
            <w:shd w:val="clear" w:color="auto" w:fill="auto"/>
            <w:noWrap/>
            <w:vAlign w:val="center"/>
            <w:hideMark/>
          </w:tcPr>
          <w:p w14:paraId="62505E38" w14:textId="08115205"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hideMark/>
          </w:tcPr>
          <w:p w14:paraId="403B7AD0" w14:textId="7004292C"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0.70 (0.68, 0.72)</w:t>
            </w:r>
          </w:p>
        </w:tc>
        <w:tc>
          <w:tcPr>
            <w:tcW w:w="2435" w:type="dxa"/>
            <w:vAlign w:val="center"/>
          </w:tcPr>
          <w:p w14:paraId="5E8ED3C1" w14:textId="49E204D1"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0.76 (0.73, 0.79)</w:t>
            </w:r>
          </w:p>
        </w:tc>
      </w:tr>
      <w:tr w:rsidR="0086777E" w:rsidRPr="007119A5" w14:paraId="583C3F62" w14:textId="77777777" w:rsidTr="0086777E">
        <w:trPr>
          <w:trHeight w:val="276"/>
          <w:jc w:val="center"/>
        </w:trPr>
        <w:tc>
          <w:tcPr>
            <w:tcW w:w="2004" w:type="dxa"/>
            <w:shd w:val="clear" w:color="auto" w:fill="auto"/>
            <w:noWrap/>
            <w:vAlign w:val="center"/>
          </w:tcPr>
          <w:p w14:paraId="6EA76521" w14:textId="73C5400E" w:rsidR="0086777E" w:rsidRPr="007119A5" w:rsidRDefault="0086777E" w:rsidP="007B5E2F">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Two-year average</w:t>
            </w:r>
          </w:p>
        </w:tc>
        <w:tc>
          <w:tcPr>
            <w:tcW w:w="2249" w:type="dxa"/>
            <w:shd w:val="clear" w:color="auto" w:fill="auto"/>
            <w:noWrap/>
          </w:tcPr>
          <w:p w14:paraId="26DFA451" w14:textId="77777777" w:rsidR="0086777E" w:rsidRPr="007119A5" w:rsidRDefault="0086777E" w:rsidP="007B5E2F">
            <w:pPr>
              <w:jc w:val="center"/>
              <w:rPr>
                <w:rFonts w:ascii="Times New Roman" w:hAnsi="Times New Roman" w:cs="Times New Roman"/>
                <w:sz w:val="20"/>
                <w:szCs w:val="20"/>
              </w:rPr>
            </w:pPr>
          </w:p>
        </w:tc>
        <w:tc>
          <w:tcPr>
            <w:tcW w:w="2435" w:type="dxa"/>
            <w:vAlign w:val="center"/>
          </w:tcPr>
          <w:p w14:paraId="239BCF73" w14:textId="77777777" w:rsidR="0086777E" w:rsidRPr="007119A5" w:rsidRDefault="0086777E" w:rsidP="007B5E2F">
            <w:pPr>
              <w:jc w:val="center"/>
              <w:rPr>
                <w:rFonts w:ascii="Times New Roman" w:eastAsia="等线" w:hAnsi="Times New Roman" w:cs="Times New Roman"/>
                <w:color w:val="000000"/>
                <w:sz w:val="20"/>
                <w:szCs w:val="20"/>
              </w:rPr>
            </w:pPr>
          </w:p>
        </w:tc>
      </w:tr>
      <w:tr w:rsidR="0086777E" w:rsidRPr="007119A5" w14:paraId="22526756" w14:textId="77777777" w:rsidTr="0086777E">
        <w:trPr>
          <w:trHeight w:val="276"/>
          <w:jc w:val="center"/>
        </w:trPr>
        <w:tc>
          <w:tcPr>
            <w:tcW w:w="2004" w:type="dxa"/>
            <w:shd w:val="clear" w:color="auto" w:fill="auto"/>
            <w:noWrap/>
            <w:vAlign w:val="center"/>
          </w:tcPr>
          <w:p w14:paraId="50403D39" w14:textId="78013450" w:rsidR="0086777E" w:rsidRPr="007119A5" w:rsidRDefault="0086777E" w:rsidP="00B405A4">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4B79975C" w14:textId="25B08DEC"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0.69 (0.67, 0.71)</w:t>
            </w:r>
          </w:p>
        </w:tc>
        <w:tc>
          <w:tcPr>
            <w:tcW w:w="2435" w:type="dxa"/>
          </w:tcPr>
          <w:p w14:paraId="1B413B7A" w14:textId="2CEDD835"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0.74 (0.71, 0.76)</w:t>
            </w:r>
          </w:p>
        </w:tc>
      </w:tr>
      <w:tr w:rsidR="0086777E" w:rsidRPr="007119A5" w14:paraId="15D335C1" w14:textId="77777777" w:rsidTr="0086777E">
        <w:trPr>
          <w:trHeight w:val="276"/>
          <w:jc w:val="center"/>
        </w:trPr>
        <w:tc>
          <w:tcPr>
            <w:tcW w:w="2004" w:type="dxa"/>
            <w:shd w:val="clear" w:color="auto" w:fill="auto"/>
            <w:noWrap/>
            <w:vAlign w:val="center"/>
          </w:tcPr>
          <w:p w14:paraId="3A720586" w14:textId="62C1EEE6"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tcPr>
          <w:p w14:paraId="434AC61D" w14:textId="682CC686"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0.69 (0.67, 0.72)</w:t>
            </w:r>
          </w:p>
        </w:tc>
        <w:tc>
          <w:tcPr>
            <w:tcW w:w="2435" w:type="dxa"/>
          </w:tcPr>
          <w:p w14:paraId="405983AE" w14:textId="5B5A7D48"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0.75 (0.72, 0.77)</w:t>
            </w:r>
          </w:p>
        </w:tc>
      </w:tr>
      <w:tr w:rsidR="0086777E" w:rsidRPr="007119A5" w14:paraId="48DE01E4" w14:textId="77777777" w:rsidTr="0086777E">
        <w:trPr>
          <w:trHeight w:val="276"/>
          <w:jc w:val="center"/>
        </w:trPr>
        <w:tc>
          <w:tcPr>
            <w:tcW w:w="2004" w:type="dxa"/>
            <w:shd w:val="clear" w:color="auto" w:fill="auto"/>
            <w:noWrap/>
            <w:vAlign w:val="center"/>
          </w:tcPr>
          <w:p w14:paraId="704F25F1" w14:textId="07FB5708"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tcPr>
          <w:p w14:paraId="276F79C6" w14:textId="280B82C9"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0.68 (0.66, 0.71)</w:t>
            </w:r>
          </w:p>
        </w:tc>
        <w:tc>
          <w:tcPr>
            <w:tcW w:w="2435" w:type="dxa"/>
          </w:tcPr>
          <w:p w14:paraId="52CE2DE5" w14:textId="4598BBEF"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0.73 (0.70, 0.75)</w:t>
            </w:r>
          </w:p>
        </w:tc>
      </w:tr>
      <w:tr w:rsidR="0086777E" w:rsidRPr="007119A5" w14:paraId="726C1DC9" w14:textId="77777777" w:rsidTr="0086777E">
        <w:trPr>
          <w:trHeight w:val="276"/>
          <w:jc w:val="center"/>
        </w:trPr>
        <w:tc>
          <w:tcPr>
            <w:tcW w:w="2004" w:type="dxa"/>
            <w:shd w:val="clear" w:color="auto" w:fill="auto"/>
            <w:noWrap/>
            <w:vAlign w:val="center"/>
          </w:tcPr>
          <w:p w14:paraId="12DBFF44" w14:textId="38BFADB1"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1CDC9651" w14:textId="75EA36C9"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0.72 (0.70, 0.74)</w:t>
            </w:r>
          </w:p>
        </w:tc>
        <w:tc>
          <w:tcPr>
            <w:tcW w:w="2435" w:type="dxa"/>
          </w:tcPr>
          <w:p w14:paraId="13A933E8" w14:textId="26942F87"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0.78 (0.75, 0.81)</w:t>
            </w:r>
          </w:p>
        </w:tc>
      </w:tr>
      <w:tr w:rsidR="0086777E" w:rsidRPr="007119A5" w14:paraId="2347EA21" w14:textId="77777777" w:rsidTr="0086777E">
        <w:trPr>
          <w:trHeight w:val="276"/>
          <w:jc w:val="center"/>
        </w:trPr>
        <w:tc>
          <w:tcPr>
            <w:tcW w:w="2004" w:type="dxa"/>
            <w:shd w:val="clear" w:color="auto" w:fill="auto"/>
            <w:noWrap/>
            <w:vAlign w:val="center"/>
          </w:tcPr>
          <w:p w14:paraId="2885A118" w14:textId="18EDB434"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tcPr>
          <w:p w14:paraId="2981EEBC" w14:textId="6C7E3282"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0.71 (0.69, 0.74)</w:t>
            </w:r>
          </w:p>
        </w:tc>
        <w:tc>
          <w:tcPr>
            <w:tcW w:w="2435" w:type="dxa"/>
          </w:tcPr>
          <w:p w14:paraId="2460AA5B" w14:textId="6120351C"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0.78 (0.75, 0.81)</w:t>
            </w:r>
          </w:p>
        </w:tc>
      </w:tr>
      <w:tr w:rsidR="0086777E" w:rsidRPr="007119A5" w14:paraId="41CFCDBB" w14:textId="77777777" w:rsidTr="0086777E">
        <w:trPr>
          <w:trHeight w:val="276"/>
          <w:jc w:val="center"/>
        </w:trPr>
        <w:tc>
          <w:tcPr>
            <w:tcW w:w="2004" w:type="dxa"/>
            <w:shd w:val="clear" w:color="auto" w:fill="auto"/>
            <w:noWrap/>
            <w:vAlign w:val="center"/>
          </w:tcPr>
          <w:p w14:paraId="7EE3B79C" w14:textId="5C1454E0"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tcPr>
          <w:p w14:paraId="0107D24A" w14:textId="3A69F384"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0.70 (0.68, 0.72)</w:t>
            </w:r>
          </w:p>
        </w:tc>
        <w:tc>
          <w:tcPr>
            <w:tcW w:w="2435" w:type="dxa"/>
          </w:tcPr>
          <w:p w14:paraId="3B427D9E" w14:textId="4B0E4343"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0.76 (0.73, 0.79)</w:t>
            </w:r>
          </w:p>
        </w:tc>
      </w:tr>
    </w:tbl>
    <w:p w14:paraId="449EF8C2" w14:textId="77777777" w:rsidR="00AB4797" w:rsidRPr="007119A5" w:rsidRDefault="00AB4797" w:rsidP="00AB4797">
      <w:pPr>
        <w:rPr>
          <w:rFonts w:ascii="Times New Roman" w:hAnsi="Times New Roman" w:cs="Times New Roman"/>
        </w:rPr>
      </w:pPr>
      <w:r w:rsidRPr="007119A5">
        <w:rPr>
          <w:rFonts w:ascii="Times New Roman" w:hAnsi="Times New Roman" w:cs="Times New Roman"/>
          <w:vertAlign w:val="superscript"/>
        </w:rPr>
        <w:t>a</w:t>
      </w:r>
      <w:r w:rsidRPr="007119A5">
        <w:rPr>
          <w:rFonts w:ascii="Times New Roman" w:hAnsi="Times New Roman" w:cs="Times New Roman"/>
        </w:rPr>
        <w:t xml:space="preserve"> No adjustment.</w:t>
      </w:r>
    </w:p>
    <w:p w14:paraId="21BA1540" w14:textId="20126A05" w:rsidR="00AB4797" w:rsidRPr="007119A5" w:rsidRDefault="00AB4797" w:rsidP="00AB4797">
      <w:pPr>
        <w:rPr>
          <w:rFonts w:ascii="Times New Roman" w:hAnsi="Times New Roman" w:cs="Times New Roman"/>
        </w:rPr>
      </w:pPr>
      <w:r w:rsidRPr="007119A5">
        <w:rPr>
          <w:rFonts w:ascii="Times New Roman" w:hAnsi="Times New Roman" w:cs="Times New Roman"/>
          <w:vertAlign w:val="superscript"/>
        </w:rPr>
        <w:t xml:space="preserve">b </w:t>
      </w:r>
      <w:r w:rsidR="00F124C6" w:rsidRPr="007119A5">
        <w:rPr>
          <w:rFonts w:ascii="Times New Roman" w:hAnsi="Times New Roman" w:cs="Times New Roman"/>
        </w:rPr>
        <w:t>Adjusted for age, male, ethnicity, region, areas, annually household income, education, smoke status, drinking status, high fat diet.</w:t>
      </w:r>
    </w:p>
    <w:p w14:paraId="7ACE0BDE" w14:textId="77777777" w:rsidR="00AB4797" w:rsidRPr="007119A5" w:rsidRDefault="00AB4797" w:rsidP="00AB4797">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w:t>
      </w:r>
    </w:p>
    <w:p w14:paraId="61459CB8" w14:textId="147C85DE" w:rsidR="00567720" w:rsidRPr="007119A5" w:rsidRDefault="00567720">
      <w:pPr>
        <w:rPr>
          <w:rFonts w:ascii="Times New Roman" w:hAnsi="Times New Roman" w:cs="Times New Roman"/>
          <w:b/>
          <w:bCs/>
          <w:sz w:val="28"/>
          <w:szCs w:val="32"/>
        </w:rPr>
      </w:pPr>
      <w:r w:rsidRPr="007119A5">
        <w:rPr>
          <w:rFonts w:ascii="Times New Roman" w:hAnsi="Times New Roman" w:cs="Times New Roman"/>
          <w:b/>
          <w:bCs/>
          <w:sz w:val="28"/>
          <w:szCs w:val="32"/>
        </w:rPr>
        <w:br w:type="page"/>
      </w:r>
    </w:p>
    <w:p w14:paraId="72EC8B65" w14:textId="4C028D5D" w:rsidR="00BE7486" w:rsidRPr="007119A5" w:rsidRDefault="00BE7486"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proofErr w:type="gramStart"/>
      <w:r w:rsidR="00C333B6">
        <w:rPr>
          <w:rFonts w:ascii="Times New Roman" w:hAnsi="Times New Roman" w:cs="Times New Roman"/>
          <w:sz w:val="24"/>
          <w:szCs w:val="24"/>
        </w:rPr>
        <w:t>4</w:t>
      </w:r>
      <w:r w:rsidR="00595323" w:rsidRPr="007119A5">
        <w:rPr>
          <w:rFonts w:ascii="Times New Roman" w:hAnsi="Times New Roman" w:cs="Times New Roman"/>
          <w:b w:val="0"/>
          <w:bCs w:val="0"/>
          <w:sz w:val="24"/>
          <w:szCs w:val="24"/>
        </w:rPr>
        <w:t xml:space="preserve"> </w:t>
      </w:r>
      <w:bookmarkStart w:id="2" w:name="_Hlk90049861"/>
      <w:r w:rsidR="0086777E">
        <w:rPr>
          <w:rFonts w:ascii="Times New Roman" w:hAnsi="Times New Roman" w:cs="Times New Roman"/>
          <w:b w:val="0"/>
          <w:bCs w:val="0"/>
          <w:sz w:val="24"/>
          <w:szCs w:val="24"/>
        </w:rPr>
        <w:t xml:space="preserve"> </w:t>
      </w:r>
      <w:r w:rsidR="0086777E" w:rsidRPr="00FB53C9">
        <w:rPr>
          <w:rFonts w:ascii="Times New Roman" w:hAnsi="Times New Roman" w:cs="Times New Roman"/>
          <w:b w:val="0"/>
          <w:bCs w:val="0"/>
        </w:rPr>
        <w:t>Association</w:t>
      </w:r>
      <w:proofErr w:type="gramEnd"/>
      <w:r w:rsidR="0086777E" w:rsidRPr="00FB53C9">
        <w:rPr>
          <w:rFonts w:ascii="Times New Roman" w:hAnsi="Times New Roman" w:cs="Times New Roman"/>
          <w:b w:val="0"/>
          <w:bCs w:val="0"/>
        </w:rPr>
        <w:t xml:space="preserve"> between greenness metrics (per IQR increase) within different buffers and MAFLD</w:t>
      </w:r>
      <w:bookmarkEnd w:id="2"/>
      <w:r w:rsidR="0086777E" w:rsidRPr="00FB53C9">
        <w:rPr>
          <w:rFonts w:ascii="Times New Roman" w:hAnsi="Times New Roman" w:cs="Times New Roman"/>
          <w:b w:val="0"/>
          <w:bCs w:val="0"/>
        </w:rPr>
        <w:t xml:space="preserve"> after additional adjusting history of diseases</w:t>
      </w:r>
      <w:r w:rsidR="0086777E">
        <w:rPr>
          <w:rFonts w:ascii="Times New Roman" w:hAnsi="Times New Roman" w:cs="Times New Roman"/>
        </w:rPr>
        <w:t>.</w:t>
      </w:r>
    </w:p>
    <w:tbl>
      <w:tblPr>
        <w:tblW w:w="5670" w:type="dxa"/>
        <w:jc w:val="center"/>
        <w:tblBorders>
          <w:top w:val="single" w:sz="4" w:space="0" w:color="auto"/>
          <w:bottom w:val="single" w:sz="4" w:space="0" w:color="auto"/>
        </w:tblBorders>
        <w:tblLook w:val="04A0" w:firstRow="1" w:lastRow="0" w:firstColumn="1" w:lastColumn="0" w:noHBand="0" w:noVBand="1"/>
      </w:tblPr>
      <w:tblGrid>
        <w:gridCol w:w="3686"/>
        <w:gridCol w:w="1984"/>
      </w:tblGrid>
      <w:tr w:rsidR="00AF1FD4" w:rsidRPr="007119A5" w14:paraId="6D63A477" w14:textId="77777777" w:rsidTr="00AF1FD4">
        <w:trPr>
          <w:trHeight w:val="276"/>
          <w:jc w:val="center"/>
        </w:trPr>
        <w:tc>
          <w:tcPr>
            <w:tcW w:w="3686" w:type="dxa"/>
            <w:tcBorders>
              <w:top w:val="single" w:sz="4" w:space="0" w:color="auto"/>
              <w:bottom w:val="single" w:sz="4" w:space="0" w:color="auto"/>
            </w:tcBorders>
            <w:shd w:val="clear" w:color="auto" w:fill="auto"/>
            <w:noWrap/>
            <w:vAlign w:val="center"/>
          </w:tcPr>
          <w:p w14:paraId="77AC8DF6" w14:textId="77777777"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1984" w:type="dxa"/>
            <w:tcBorders>
              <w:top w:val="single" w:sz="4" w:space="0" w:color="auto"/>
              <w:bottom w:val="single" w:sz="4" w:space="0" w:color="auto"/>
            </w:tcBorders>
            <w:shd w:val="clear" w:color="auto" w:fill="auto"/>
            <w:noWrap/>
            <w:vAlign w:val="center"/>
          </w:tcPr>
          <w:p w14:paraId="31CF0257" w14:textId="710A3928" w:rsidR="00AF1FD4" w:rsidRPr="007119A5" w:rsidRDefault="00AF1FD4" w:rsidP="004149A7">
            <w:pPr>
              <w:pStyle w:val="a7"/>
              <w:jc w:val="center"/>
              <w:rPr>
                <w:rFonts w:ascii="Times New Roman" w:hAnsi="Times New Roman" w:cs="Times New Roman"/>
                <w:sz w:val="20"/>
                <w:szCs w:val="20"/>
              </w:rPr>
            </w:pPr>
            <w:r w:rsidRPr="007119A5">
              <w:rPr>
                <w:rFonts w:ascii="Times New Roman" w:hAnsi="Times New Roman" w:cs="Times New Roman"/>
                <w:sz w:val="20"/>
                <w:szCs w:val="20"/>
              </w:rPr>
              <w:t>Adjusted OR</w:t>
            </w:r>
          </w:p>
        </w:tc>
      </w:tr>
      <w:tr w:rsidR="00AF1FD4" w:rsidRPr="007119A5" w14:paraId="69C9893C" w14:textId="77777777" w:rsidTr="00AF1FD4">
        <w:trPr>
          <w:trHeight w:val="276"/>
          <w:jc w:val="center"/>
        </w:trPr>
        <w:tc>
          <w:tcPr>
            <w:tcW w:w="3686" w:type="dxa"/>
            <w:shd w:val="clear" w:color="auto" w:fill="auto"/>
            <w:noWrap/>
            <w:vAlign w:val="center"/>
          </w:tcPr>
          <w:p w14:paraId="57DEAB87" w14:textId="1F955340" w:rsidR="00AF1FD4" w:rsidRPr="007119A5" w:rsidRDefault="00AF1FD4" w:rsidP="004149A7">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Main analyses</w:t>
            </w:r>
          </w:p>
        </w:tc>
        <w:tc>
          <w:tcPr>
            <w:tcW w:w="1984" w:type="dxa"/>
            <w:shd w:val="clear" w:color="auto" w:fill="auto"/>
            <w:noWrap/>
          </w:tcPr>
          <w:p w14:paraId="14674C76" w14:textId="77777777" w:rsidR="00AF1FD4" w:rsidRPr="007119A5" w:rsidRDefault="00AF1FD4" w:rsidP="004149A7">
            <w:pPr>
              <w:jc w:val="center"/>
              <w:rPr>
                <w:rFonts w:ascii="Times New Roman" w:hAnsi="Times New Roman" w:cs="Times New Roman"/>
                <w:sz w:val="20"/>
                <w:szCs w:val="20"/>
              </w:rPr>
            </w:pPr>
          </w:p>
        </w:tc>
      </w:tr>
      <w:tr w:rsidR="0086777E" w:rsidRPr="007119A5" w14:paraId="04D16CB9" w14:textId="77777777" w:rsidTr="00AF1FD4">
        <w:trPr>
          <w:trHeight w:val="276"/>
          <w:jc w:val="center"/>
        </w:trPr>
        <w:tc>
          <w:tcPr>
            <w:tcW w:w="3686" w:type="dxa"/>
            <w:shd w:val="clear" w:color="auto" w:fill="auto"/>
            <w:noWrap/>
            <w:vAlign w:val="center"/>
          </w:tcPr>
          <w:p w14:paraId="22A958F3" w14:textId="6FE44805"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55C63586" w14:textId="1E15F9A4"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0.76 (0.73, 0.79)</w:t>
            </w:r>
          </w:p>
        </w:tc>
      </w:tr>
      <w:tr w:rsidR="0086777E" w:rsidRPr="007119A5" w14:paraId="51BE8EB2" w14:textId="77777777" w:rsidTr="00AF1FD4">
        <w:trPr>
          <w:trHeight w:val="276"/>
          <w:jc w:val="center"/>
        </w:trPr>
        <w:tc>
          <w:tcPr>
            <w:tcW w:w="3686" w:type="dxa"/>
            <w:shd w:val="clear" w:color="auto" w:fill="auto"/>
            <w:noWrap/>
            <w:vAlign w:val="center"/>
            <w:hideMark/>
          </w:tcPr>
          <w:p w14:paraId="7144A502" w14:textId="11C07E4B"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hideMark/>
          </w:tcPr>
          <w:p w14:paraId="717B3995" w14:textId="20306BA3"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0.78 (0.75, 0.81)</w:t>
            </w:r>
          </w:p>
        </w:tc>
      </w:tr>
      <w:tr w:rsidR="0086777E" w:rsidRPr="007119A5" w14:paraId="25DF235F" w14:textId="77777777" w:rsidTr="00AF1FD4">
        <w:trPr>
          <w:trHeight w:val="276"/>
          <w:jc w:val="center"/>
        </w:trPr>
        <w:tc>
          <w:tcPr>
            <w:tcW w:w="3686" w:type="dxa"/>
            <w:shd w:val="clear" w:color="auto" w:fill="auto"/>
            <w:noWrap/>
            <w:vAlign w:val="center"/>
            <w:hideMark/>
          </w:tcPr>
          <w:p w14:paraId="16751157" w14:textId="13891C01"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hideMark/>
          </w:tcPr>
          <w:p w14:paraId="242705CF" w14:textId="58B6C94F"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0.76 (0.73, 0.79)</w:t>
            </w:r>
          </w:p>
        </w:tc>
      </w:tr>
      <w:tr w:rsidR="0086777E" w:rsidRPr="007119A5" w14:paraId="4BC630ED" w14:textId="77777777" w:rsidTr="00AF1FD4">
        <w:trPr>
          <w:trHeight w:val="276"/>
          <w:jc w:val="center"/>
        </w:trPr>
        <w:tc>
          <w:tcPr>
            <w:tcW w:w="3686" w:type="dxa"/>
            <w:shd w:val="clear" w:color="auto" w:fill="auto"/>
            <w:noWrap/>
            <w:vAlign w:val="center"/>
          </w:tcPr>
          <w:p w14:paraId="7C5CC9D3" w14:textId="4F7A0B93"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0EB7AD73" w14:textId="32668FA9"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0.80 (0.77, 0.83)</w:t>
            </w:r>
          </w:p>
        </w:tc>
      </w:tr>
      <w:tr w:rsidR="0086777E" w:rsidRPr="007119A5" w14:paraId="4B0EADEC" w14:textId="77777777" w:rsidTr="00AF1FD4">
        <w:trPr>
          <w:trHeight w:val="276"/>
          <w:jc w:val="center"/>
        </w:trPr>
        <w:tc>
          <w:tcPr>
            <w:tcW w:w="3686" w:type="dxa"/>
            <w:shd w:val="clear" w:color="auto" w:fill="auto"/>
            <w:noWrap/>
            <w:vAlign w:val="center"/>
            <w:hideMark/>
          </w:tcPr>
          <w:p w14:paraId="0D4FC626" w14:textId="58D4AACF"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hideMark/>
          </w:tcPr>
          <w:p w14:paraId="48714F4F" w14:textId="1EB86417"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0.81 (0.78, 0.84)</w:t>
            </w:r>
          </w:p>
        </w:tc>
      </w:tr>
      <w:tr w:rsidR="0086777E" w:rsidRPr="007119A5" w14:paraId="6090C7EE" w14:textId="77777777" w:rsidTr="00AF1FD4">
        <w:trPr>
          <w:trHeight w:val="276"/>
          <w:jc w:val="center"/>
        </w:trPr>
        <w:tc>
          <w:tcPr>
            <w:tcW w:w="3686" w:type="dxa"/>
            <w:shd w:val="clear" w:color="auto" w:fill="auto"/>
            <w:noWrap/>
            <w:vAlign w:val="center"/>
            <w:hideMark/>
          </w:tcPr>
          <w:p w14:paraId="0D33149F" w14:textId="144EA5E7"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hideMark/>
          </w:tcPr>
          <w:p w14:paraId="7BAAE216" w14:textId="35364E9E"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0.79 (0.76, 0.83)</w:t>
            </w:r>
          </w:p>
        </w:tc>
      </w:tr>
      <w:tr w:rsidR="00AF1FD4" w:rsidRPr="007119A5" w14:paraId="5FDF61C1" w14:textId="77777777" w:rsidTr="00AF1FD4">
        <w:trPr>
          <w:trHeight w:val="276"/>
          <w:jc w:val="center"/>
        </w:trPr>
        <w:tc>
          <w:tcPr>
            <w:tcW w:w="3686" w:type="dxa"/>
            <w:shd w:val="clear" w:color="auto" w:fill="auto"/>
            <w:noWrap/>
            <w:vAlign w:val="center"/>
          </w:tcPr>
          <w:p w14:paraId="694B7FA8" w14:textId="62E1DB65" w:rsidR="00AF1FD4" w:rsidRPr="007119A5" w:rsidRDefault="00AF1FD4" w:rsidP="00B76E4B">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Additional adjust</w:t>
            </w:r>
            <w:r w:rsidR="0086777E">
              <w:rPr>
                <w:rFonts w:ascii="Times New Roman" w:eastAsia="等线" w:hAnsi="Times New Roman" w:cs="Times New Roman"/>
                <w:color w:val="000000"/>
                <w:sz w:val="20"/>
                <w:szCs w:val="20"/>
              </w:rPr>
              <w:t>ing</w:t>
            </w:r>
            <w:r w:rsidRPr="007119A5">
              <w:rPr>
                <w:rFonts w:ascii="Times New Roman" w:eastAsia="等线" w:hAnsi="Times New Roman" w:cs="Times New Roman"/>
                <w:color w:val="000000"/>
                <w:sz w:val="20"/>
                <w:szCs w:val="20"/>
              </w:rPr>
              <w:t xml:space="preserve"> history of diseases</w:t>
            </w:r>
          </w:p>
        </w:tc>
        <w:tc>
          <w:tcPr>
            <w:tcW w:w="1984" w:type="dxa"/>
            <w:shd w:val="clear" w:color="auto" w:fill="auto"/>
            <w:noWrap/>
          </w:tcPr>
          <w:p w14:paraId="106D3976" w14:textId="77777777" w:rsidR="00AF1FD4" w:rsidRPr="007119A5" w:rsidRDefault="00AF1FD4" w:rsidP="004149A7">
            <w:pPr>
              <w:jc w:val="center"/>
              <w:rPr>
                <w:rFonts w:ascii="Times New Roman" w:hAnsi="Times New Roman" w:cs="Times New Roman"/>
                <w:sz w:val="20"/>
                <w:szCs w:val="20"/>
              </w:rPr>
            </w:pPr>
          </w:p>
        </w:tc>
      </w:tr>
      <w:tr w:rsidR="00AF1FD4" w:rsidRPr="007119A5" w14:paraId="780D7B51" w14:textId="77777777" w:rsidTr="00AF1FD4">
        <w:trPr>
          <w:trHeight w:val="276"/>
          <w:jc w:val="center"/>
        </w:trPr>
        <w:tc>
          <w:tcPr>
            <w:tcW w:w="3686" w:type="dxa"/>
            <w:shd w:val="clear" w:color="auto" w:fill="auto"/>
            <w:noWrap/>
            <w:vAlign w:val="center"/>
          </w:tcPr>
          <w:p w14:paraId="2EECD96B" w14:textId="00B89510"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4F5DA7AD" w14:textId="17C69F31"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0.77 (0.74, 0.8)</w:t>
            </w:r>
          </w:p>
        </w:tc>
      </w:tr>
      <w:tr w:rsidR="00AF1FD4" w:rsidRPr="007119A5" w14:paraId="1C784DED" w14:textId="77777777" w:rsidTr="00AF1FD4">
        <w:trPr>
          <w:trHeight w:val="276"/>
          <w:jc w:val="center"/>
        </w:trPr>
        <w:tc>
          <w:tcPr>
            <w:tcW w:w="3686" w:type="dxa"/>
            <w:shd w:val="clear" w:color="auto" w:fill="auto"/>
            <w:noWrap/>
            <w:vAlign w:val="center"/>
          </w:tcPr>
          <w:p w14:paraId="67A7DA45" w14:textId="443B2FA6"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tcPr>
          <w:p w14:paraId="2D6D66BA" w14:textId="0F2AC860"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0.79 (0.76, 0.82)</w:t>
            </w:r>
          </w:p>
        </w:tc>
      </w:tr>
      <w:tr w:rsidR="00AF1FD4" w:rsidRPr="007119A5" w14:paraId="57622C35" w14:textId="77777777" w:rsidTr="00AF1FD4">
        <w:trPr>
          <w:trHeight w:val="276"/>
          <w:jc w:val="center"/>
        </w:trPr>
        <w:tc>
          <w:tcPr>
            <w:tcW w:w="3686" w:type="dxa"/>
            <w:shd w:val="clear" w:color="auto" w:fill="auto"/>
            <w:noWrap/>
            <w:vAlign w:val="center"/>
          </w:tcPr>
          <w:p w14:paraId="69E2A2C6" w14:textId="2D9FCCEC"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tcPr>
          <w:p w14:paraId="368B7367" w14:textId="3A369C52"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0.76 (0.73, 0.79)</w:t>
            </w:r>
          </w:p>
        </w:tc>
      </w:tr>
      <w:tr w:rsidR="00AF1FD4" w:rsidRPr="007119A5" w14:paraId="61FC9A16" w14:textId="77777777" w:rsidTr="00AF1FD4">
        <w:trPr>
          <w:trHeight w:val="276"/>
          <w:jc w:val="center"/>
        </w:trPr>
        <w:tc>
          <w:tcPr>
            <w:tcW w:w="3686" w:type="dxa"/>
            <w:shd w:val="clear" w:color="auto" w:fill="auto"/>
            <w:noWrap/>
            <w:vAlign w:val="center"/>
          </w:tcPr>
          <w:p w14:paraId="2A94046C" w14:textId="668541F7"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0B7A707D" w14:textId="17F3CD94"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0.81 (0.78, 0.84)</w:t>
            </w:r>
          </w:p>
        </w:tc>
      </w:tr>
      <w:tr w:rsidR="00AF1FD4" w:rsidRPr="007119A5" w14:paraId="4E6861CB" w14:textId="77777777" w:rsidTr="00AF1FD4">
        <w:trPr>
          <w:trHeight w:val="276"/>
          <w:jc w:val="center"/>
        </w:trPr>
        <w:tc>
          <w:tcPr>
            <w:tcW w:w="3686" w:type="dxa"/>
            <w:shd w:val="clear" w:color="auto" w:fill="auto"/>
            <w:noWrap/>
            <w:vAlign w:val="center"/>
          </w:tcPr>
          <w:p w14:paraId="513DA6BC" w14:textId="21407E78"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tcPr>
          <w:p w14:paraId="45325A21" w14:textId="78CA7824"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0.81 (0.78, 0.85)</w:t>
            </w:r>
          </w:p>
        </w:tc>
      </w:tr>
      <w:tr w:rsidR="00AF1FD4" w:rsidRPr="007119A5" w14:paraId="1A5FC016" w14:textId="77777777" w:rsidTr="00AF1FD4">
        <w:trPr>
          <w:trHeight w:val="276"/>
          <w:jc w:val="center"/>
        </w:trPr>
        <w:tc>
          <w:tcPr>
            <w:tcW w:w="3686" w:type="dxa"/>
            <w:shd w:val="clear" w:color="auto" w:fill="auto"/>
            <w:noWrap/>
            <w:vAlign w:val="center"/>
          </w:tcPr>
          <w:p w14:paraId="4D1A05B5" w14:textId="42407DFC"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tcPr>
          <w:p w14:paraId="7A59C0ED" w14:textId="76B9D0F2"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0.80 (0.77, 0.83)</w:t>
            </w:r>
          </w:p>
        </w:tc>
      </w:tr>
    </w:tbl>
    <w:p w14:paraId="4C8C4C07" w14:textId="2AAD5AFA" w:rsidR="00567720" w:rsidRPr="007119A5" w:rsidRDefault="00AB4797" w:rsidP="003A2BAF">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w:t>
      </w:r>
    </w:p>
    <w:p w14:paraId="5787EC2E" w14:textId="77777777" w:rsidR="00567720" w:rsidRPr="007119A5" w:rsidRDefault="00567720">
      <w:pPr>
        <w:rPr>
          <w:rFonts w:ascii="Times New Roman" w:hAnsi="Times New Roman" w:cs="Times New Roman"/>
        </w:rPr>
      </w:pPr>
      <w:r w:rsidRPr="007119A5">
        <w:rPr>
          <w:rFonts w:ascii="Times New Roman" w:hAnsi="Times New Roman" w:cs="Times New Roman"/>
        </w:rPr>
        <w:br w:type="page"/>
      </w:r>
    </w:p>
    <w:p w14:paraId="3A187C3E" w14:textId="226CBC05" w:rsidR="005F6A25" w:rsidRPr="007119A5" w:rsidRDefault="00CD6B8A" w:rsidP="00C64E8A">
      <w:pPr>
        <w:pStyle w:val="1"/>
        <w:rPr>
          <w:rFonts w:ascii="Times New Roman" w:hAnsi="Times New Roman" w:cs="Times New Roman"/>
          <w:b w:val="0"/>
          <w:bCs w:val="0"/>
          <w:sz w:val="24"/>
          <w:szCs w:val="24"/>
        </w:rPr>
      </w:pPr>
      <w:r w:rsidRPr="007119A5">
        <w:rPr>
          <w:rFonts w:ascii="Times New Roman" w:hAnsi="Times New Roman" w:cs="Times New Roman"/>
          <w:b w:val="0"/>
          <w:bCs w:val="0"/>
          <w:sz w:val="24"/>
          <w:szCs w:val="24"/>
        </w:rPr>
        <w:lastRenderedPageBreak/>
        <w:t>Table S</w:t>
      </w:r>
      <w:r w:rsidR="00C333B6">
        <w:rPr>
          <w:rFonts w:ascii="Times New Roman" w:hAnsi="Times New Roman" w:cs="Times New Roman"/>
          <w:b w:val="0"/>
          <w:bCs w:val="0"/>
          <w:sz w:val="24"/>
          <w:szCs w:val="24"/>
        </w:rPr>
        <w:t>5</w:t>
      </w:r>
      <w:r w:rsidR="00D96F5A" w:rsidRPr="007119A5">
        <w:rPr>
          <w:rFonts w:ascii="Times New Roman" w:hAnsi="Times New Roman" w:cs="Times New Roman"/>
          <w:b w:val="0"/>
          <w:bCs w:val="0"/>
          <w:sz w:val="24"/>
          <w:szCs w:val="24"/>
        </w:rPr>
        <w:t xml:space="preserve"> </w:t>
      </w:r>
      <w:r w:rsidR="00B22ED1" w:rsidRPr="00FB53C9">
        <w:rPr>
          <w:rFonts w:ascii="Times New Roman" w:eastAsia="微软雅黑" w:hAnsi="Times New Roman" w:cs="Times New Roman"/>
          <w:b w:val="0"/>
          <w:bCs w:val="0"/>
          <w:color w:val="000000"/>
          <w:sz w:val="24"/>
          <w:szCs w:val="24"/>
        </w:rPr>
        <w:t>Association between quartile greenness and MAFLD</w:t>
      </w:r>
    </w:p>
    <w:tbl>
      <w:tblPr>
        <w:tblpPr w:leftFromText="180" w:rightFromText="180" w:vertAnchor="text" w:horzAnchor="margin" w:tblpXSpec="center" w:tblpY="219"/>
        <w:tblW w:w="9351" w:type="dxa"/>
        <w:tblBorders>
          <w:top w:val="single" w:sz="4" w:space="0" w:color="auto"/>
          <w:bottom w:val="single" w:sz="4" w:space="0" w:color="auto"/>
        </w:tblBorders>
        <w:tblLayout w:type="fixed"/>
        <w:tblLook w:val="04A0" w:firstRow="1" w:lastRow="0" w:firstColumn="1" w:lastColumn="0" w:noHBand="0" w:noVBand="1"/>
      </w:tblPr>
      <w:tblGrid>
        <w:gridCol w:w="16"/>
        <w:gridCol w:w="2412"/>
        <w:gridCol w:w="2126"/>
        <w:gridCol w:w="1276"/>
        <w:gridCol w:w="2268"/>
        <w:gridCol w:w="1253"/>
      </w:tblGrid>
      <w:tr w:rsidR="00B22ED1" w:rsidRPr="007119A5" w14:paraId="06CD69AF" w14:textId="77777777" w:rsidTr="00CD6B8A">
        <w:trPr>
          <w:trHeight w:val="276"/>
        </w:trPr>
        <w:tc>
          <w:tcPr>
            <w:tcW w:w="2428" w:type="dxa"/>
            <w:gridSpan w:val="2"/>
            <w:tcBorders>
              <w:top w:val="single" w:sz="4" w:space="0" w:color="auto"/>
              <w:bottom w:val="single" w:sz="4" w:space="0" w:color="auto"/>
            </w:tcBorders>
            <w:shd w:val="clear" w:color="auto" w:fill="auto"/>
            <w:noWrap/>
            <w:vAlign w:val="center"/>
          </w:tcPr>
          <w:p w14:paraId="364B691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2126" w:type="dxa"/>
            <w:tcBorders>
              <w:top w:val="single" w:sz="4" w:space="0" w:color="auto"/>
              <w:bottom w:val="single" w:sz="4" w:space="0" w:color="auto"/>
            </w:tcBorders>
            <w:shd w:val="clear" w:color="auto" w:fill="auto"/>
            <w:noWrap/>
            <w:vAlign w:val="center"/>
          </w:tcPr>
          <w:p w14:paraId="060B25B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Crude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a</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1276" w:type="dxa"/>
            <w:tcBorders>
              <w:top w:val="single" w:sz="4" w:space="0" w:color="auto"/>
              <w:bottom w:val="single" w:sz="4" w:space="0" w:color="auto"/>
            </w:tcBorders>
          </w:tcPr>
          <w:p w14:paraId="74B3BF1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 value</w:t>
            </w:r>
          </w:p>
        </w:tc>
        <w:tc>
          <w:tcPr>
            <w:tcW w:w="2268" w:type="dxa"/>
            <w:tcBorders>
              <w:top w:val="single" w:sz="4" w:space="0" w:color="auto"/>
              <w:bottom w:val="single" w:sz="4" w:space="0" w:color="auto"/>
            </w:tcBorders>
            <w:vAlign w:val="center"/>
          </w:tcPr>
          <w:p w14:paraId="2EB5CF3C" w14:textId="77777777" w:rsidR="00CD6B8A" w:rsidRPr="007119A5" w:rsidRDefault="00CD6B8A" w:rsidP="00CD6B8A">
            <w:pP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Adjusted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b</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1253" w:type="dxa"/>
            <w:tcBorders>
              <w:top w:val="single" w:sz="4" w:space="0" w:color="auto"/>
              <w:bottom w:val="single" w:sz="4" w:space="0" w:color="auto"/>
            </w:tcBorders>
          </w:tcPr>
          <w:p w14:paraId="0FDC058B"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 value</w:t>
            </w:r>
          </w:p>
        </w:tc>
      </w:tr>
      <w:tr w:rsidR="00CD6B8A" w:rsidRPr="007119A5" w14:paraId="0A9B6B02" w14:textId="77777777" w:rsidTr="00CD6B8A">
        <w:trPr>
          <w:trHeight w:val="276"/>
        </w:trPr>
        <w:tc>
          <w:tcPr>
            <w:tcW w:w="2428" w:type="dxa"/>
            <w:gridSpan w:val="2"/>
            <w:tcBorders>
              <w:top w:val="single" w:sz="4" w:space="0" w:color="auto"/>
            </w:tcBorders>
            <w:shd w:val="clear" w:color="auto" w:fill="auto"/>
            <w:noWrap/>
            <w:vAlign w:val="center"/>
          </w:tcPr>
          <w:p w14:paraId="115C1D4B" w14:textId="4C1FB21F" w:rsidR="00CD6B8A" w:rsidRPr="007119A5" w:rsidRDefault="00CD6B8A" w:rsidP="00CD6B8A">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w:t>
            </w:r>
            <w:r w:rsidR="00965F7C" w:rsidRPr="007119A5">
              <w:rPr>
                <w:rFonts w:ascii="Times New Roman" w:eastAsia="等线" w:hAnsi="Times New Roman" w:cs="Times New Roman"/>
                <w:color w:val="000000"/>
                <w:sz w:val="20"/>
                <w:szCs w:val="20"/>
                <w:vertAlign w:val="subscript"/>
              </w:rPr>
              <w:t>m</w:t>
            </w:r>
          </w:p>
        </w:tc>
        <w:tc>
          <w:tcPr>
            <w:tcW w:w="2126" w:type="dxa"/>
            <w:tcBorders>
              <w:top w:val="single" w:sz="4" w:space="0" w:color="auto"/>
            </w:tcBorders>
            <w:shd w:val="clear" w:color="auto" w:fill="auto"/>
            <w:noWrap/>
            <w:vAlign w:val="center"/>
          </w:tcPr>
          <w:p w14:paraId="15DC7B00" w14:textId="77777777" w:rsidR="00CD6B8A" w:rsidRPr="007119A5" w:rsidRDefault="00CD6B8A" w:rsidP="00CD6B8A">
            <w:pPr>
              <w:jc w:val="center"/>
              <w:rPr>
                <w:rFonts w:ascii="Times New Roman" w:eastAsia="等线" w:hAnsi="Times New Roman" w:cs="Times New Roman"/>
                <w:color w:val="000000"/>
                <w:sz w:val="20"/>
                <w:szCs w:val="20"/>
              </w:rPr>
            </w:pPr>
          </w:p>
        </w:tc>
        <w:tc>
          <w:tcPr>
            <w:tcW w:w="1276" w:type="dxa"/>
            <w:tcBorders>
              <w:top w:val="single" w:sz="4" w:space="0" w:color="auto"/>
            </w:tcBorders>
            <w:vAlign w:val="center"/>
          </w:tcPr>
          <w:p w14:paraId="46675DAE" w14:textId="77777777" w:rsidR="00CD6B8A" w:rsidRPr="007119A5" w:rsidRDefault="00CD6B8A" w:rsidP="00CD6B8A">
            <w:pPr>
              <w:jc w:val="center"/>
              <w:rPr>
                <w:rFonts w:ascii="Times New Roman" w:eastAsia="Times New Roman" w:hAnsi="Times New Roman" w:cs="Times New Roman"/>
                <w:sz w:val="20"/>
                <w:szCs w:val="20"/>
              </w:rPr>
            </w:pPr>
          </w:p>
        </w:tc>
        <w:tc>
          <w:tcPr>
            <w:tcW w:w="2268" w:type="dxa"/>
            <w:tcBorders>
              <w:top w:val="single" w:sz="4" w:space="0" w:color="auto"/>
            </w:tcBorders>
            <w:vAlign w:val="center"/>
          </w:tcPr>
          <w:p w14:paraId="0681BC46" w14:textId="77777777" w:rsidR="00CD6B8A" w:rsidRPr="007119A5" w:rsidRDefault="00CD6B8A" w:rsidP="002B5EAE">
            <w:pPr>
              <w:jc w:val="center"/>
              <w:rPr>
                <w:rFonts w:ascii="Times New Roman" w:eastAsia="等线" w:hAnsi="Times New Roman" w:cs="Times New Roman"/>
                <w:color w:val="000000"/>
                <w:sz w:val="20"/>
                <w:szCs w:val="20"/>
              </w:rPr>
            </w:pPr>
          </w:p>
        </w:tc>
        <w:tc>
          <w:tcPr>
            <w:tcW w:w="1253" w:type="dxa"/>
            <w:tcBorders>
              <w:top w:val="single" w:sz="4" w:space="0" w:color="auto"/>
            </w:tcBorders>
          </w:tcPr>
          <w:p w14:paraId="3A2077A9" w14:textId="77777777" w:rsidR="00CD6B8A" w:rsidRPr="007119A5" w:rsidRDefault="00CD6B8A" w:rsidP="00CD6B8A">
            <w:pPr>
              <w:jc w:val="center"/>
              <w:rPr>
                <w:rFonts w:ascii="Times New Roman" w:eastAsia="等线" w:hAnsi="Times New Roman" w:cs="Times New Roman"/>
                <w:color w:val="000000"/>
                <w:sz w:val="20"/>
                <w:szCs w:val="20"/>
              </w:rPr>
            </w:pPr>
          </w:p>
        </w:tc>
      </w:tr>
      <w:tr w:rsidR="00CD6B8A" w:rsidRPr="007119A5" w14:paraId="3ADCBBD2" w14:textId="77777777" w:rsidTr="00CD6B8A">
        <w:trPr>
          <w:trHeight w:val="276"/>
        </w:trPr>
        <w:tc>
          <w:tcPr>
            <w:tcW w:w="2428" w:type="dxa"/>
            <w:gridSpan w:val="2"/>
            <w:shd w:val="clear" w:color="auto" w:fill="auto"/>
            <w:noWrap/>
            <w:vAlign w:val="center"/>
          </w:tcPr>
          <w:p w14:paraId="0764F2B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Q1[-0.09,0.29]</w:t>
            </w:r>
          </w:p>
        </w:tc>
        <w:tc>
          <w:tcPr>
            <w:tcW w:w="2126" w:type="dxa"/>
            <w:shd w:val="clear" w:color="auto" w:fill="auto"/>
            <w:noWrap/>
            <w:vAlign w:val="center"/>
          </w:tcPr>
          <w:p w14:paraId="46BEFDF0" w14:textId="5F52DD27" w:rsidR="00CD6B8A" w:rsidRPr="007119A5" w:rsidRDefault="0071653B"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76" w:type="dxa"/>
            <w:vAlign w:val="center"/>
          </w:tcPr>
          <w:p w14:paraId="2820BC47" w14:textId="77777777" w:rsidR="00CD6B8A" w:rsidRPr="007119A5" w:rsidRDefault="00CD6B8A" w:rsidP="00CD6B8A">
            <w:pPr>
              <w:jc w:val="center"/>
              <w:rPr>
                <w:rFonts w:ascii="Times New Roman" w:hAnsi="Times New Roman" w:cs="Times New Roman"/>
                <w:sz w:val="20"/>
                <w:szCs w:val="20"/>
              </w:rPr>
            </w:pPr>
            <w:r w:rsidRPr="007119A5">
              <w:rPr>
                <w:rFonts w:ascii="Times New Roman" w:hAnsi="Times New Roman" w:cs="Times New Roman"/>
                <w:sz w:val="20"/>
                <w:szCs w:val="20"/>
              </w:rPr>
              <w:t>-</w:t>
            </w:r>
          </w:p>
        </w:tc>
        <w:tc>
          <w:tcPr>
            <w:tcW w:w="2268" w:type="dxa"/>
            <w:vAlign w:val="center"/>
          </w:tcPr>
          <w:p w14:paraId="0AE3AC57" w14:textId="0AA21ABD" w:rsidR="00CD6B8A" w:rsidRPr="007119A5" w:rsidRDefault="0071653B"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53" w:type="dxa"/>
          </w:tcPr>
          <w:p w14:paraId="5B573017" w14:textId="6071CB22" w:rsidR="00CD6B8A" w:rsidRPr="007119A5" w:rsidRDefault="000A6AED"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w:t>
            </w:r>
          </w:p>
        </w:tc>
      </w:tr>
      <w:tr w:rsidR="00CD6B8A" w:rsidRPr="007119A5" w14:paraId="7ADC485A" w14:textId="77777777" w:rsidTr="00CD6B8A">
        <w:trPr>
          <w:trHeight w:val="276"/>
        </w:trPr>
        <w:tc>
          <w:tcPr>
            <w:tcW w:w="2428" w:type="dxa"/>
            <w:gridSpan w:val="2"/>
            <w:shd w:val="clear" w:color="auto" w:fill="auto"/>
            <w:noWrap/>
            <w:vAlign w:val="center"/>
            <w:hideMark/>
          </w:tcPr>
          <w:p w14:paraId="411E3C7C"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Q2(0.29,0.42]</w:t>
            </w:r>
          </w:p>
        </w:tc>
        <w:tc>
          <w:tcPr>
            <w:tcW w:w="2126" w:type="dxa"/>
            <w:shd w:val="clear" w:color="auto" w:fill="auto"/>
            <w:noWrap/>
            <w:vAlign w:val="center"/>
            <w:hideMark/>
          </w:tcPr>
          <w:p w14:paraId="400328AE" w14:textId="10C53345"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(0.76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0.84)</w:t>
            </w:r>
          </w:p>
        </w:tc>
        <w:tc>
          <w:tcPr>
            <w:tcW w:w="1276" w:type="dxa"/>
          </w:tcPr>
          <w:p w14:paraId="543C6790"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C5DDCAD" w14:textId="5AED4CC2"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6</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81</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90</w:t>
            </w:r>
            <w:r w:rsidRPr="007119A5">
              <w:rPr>
                <w:rFonts w:ascii="Times New Roman" w:eastAsia="等线" w:hAnsi="Times New Roman" w:cs="Times New Roman"/>
                <w:color w:val="000000"/>
                <w:sz w:val="20"/>
                <w:szCs w:val="20"/>
              </w:rPr>
              <w:t>)</w:t>
            </w:r>
          </w:p>
        </w:tc>
        <w:tc>
          <w:tcPr>
            <w:tcW w:w="1253" w:type="dxa"/>
          </w:tcPr>
          <w:p w14:paraId="27E798C3"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3ED39606" w14:textId="77777777" w:rsidTr="00CD6B8A">
        <w:trPr>
          <w:trHeight w:val="276"/>
        </w:trPr>
        <w:tc>
          <w:tcPr>
            <w:tcW w:w="2428" w:type="dxa"/>
            <w:gridSpan w:val="2"/>
            <w:shd w:val="clear" w:color="auto" w:fill="auto"/>
            <w:noWrap/>
            <w:vAlign w:val="center"/>
            <w:hideMark/>
          </w:tcPr>
          <w:p w14:paraId="6FD0AAE4"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Q3(0.42,0.5]</w:t>
            </w:r>
          </w:p>
        </w:tc>
        <w:tc>
          <w:tcPr>
            <w:tcW w:w="2126" w:type="dxa"/>
            <w:shd w:val="clear" w:color="auto" w:fill="auto"/>
            <w:noWrap/>
            <w:vAlign w:val="center"/>
            <w:hideMark/>
          </w:tcPr>
          <w:p w14:paraId="3338D2F5" w14:textId="1966C5F9"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(0.67</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0.74)</w:t>
            </w:r>
          </w:p>
        </w:tc>
        <w:tc>
          <w:tcPr>
            <w:tcW w:w="1276" w:type="dxa"/>
          </w:tcPr>
          <w:p w14:paraId="2601CAA9"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DC87E14" w14:textId="251D3092"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81</w:t>
            </w:r>
            <w:r w:rsidRPr="007119A5">
              <w:rPr>
                <w:rFonts w:ascii="Times New Roman" w:eastAsia="等线" w:hAnsi="Times New Roman" w:cs="Times New Roman"/>
                <w:color w:val="000000"/>
                <w:sz w:val="20"/>
                <w:szCs w:val="20"/>
              </w:rPr>
              <w:t xml:space="preserve"> (0.7</w:t>
            </w:r>
            <w:r w:rsidR="00940E81" w:rsidRPr="007119A5">
              <w:rPr>
                <w:rFonts w:ascii="Times New Roman" w:eastAsia="等线" w:hAnsi="Times New Roman" w:cs="Times New Roman"/>
                <w:color w:val="000000"/>
                <w:sz w:val="20"/>
                <w:szCs w:val="20"/>
              </w:rPr>
              <w:t>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6</w:t>
            </w:r>
            <w:r w:rsidRPr="007119A5">
              <w:rPr>
                <w:rFonts w:ascii="Times New Roman" w:eastAsia="等线" w:hAnsi="Times New Roman" w:cs="Times New Roman"/>
                <w:color w:val="000000"/>
                <w:sz w:val="20"/>
                <w:szCs w:val="20"/>
              </w:rPr>
              <w:t>)</w:t>
            </w:r>
          </w:p>
        </w:tc>
        <w:tc>
          <w:tcPr>
            <w:tcW w:w="1253" w:type="dxa"/>
          </w:tcPr>
          <w:p w14:paraId="7F99801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36C9E975" w14:textId="77777777" w:rsidTr="00CD6B8A">
        <w:trPr>
          <w:trHeight w:val="276"/>
        </w:trPr>
        <w:tc>
          <w:tcPr>
            <w:tcW w:w="2428" w:type="dxa"/>
            <w:gridSpan w:val="2"/>
            <w:shd w:val="clear" w:color="auto" w:fill="auto"/>
            <w:noWrap/>
            <w:vAlign w:val="center"/>
            <w:hideMark/>
          </w:tcPr>
          <w:p w14:paraId="562F2956"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Q4(0.5,0.71]</w:t>
            </w:r>
          </w:p>
        </w:tc>
        <w:tc>
          <w:tcPr>
            <w:tcW w:w="2126" w:type="dxa"/>
            <w:shd w:val="clear" w:color="auto" w:fill="auto"/>
            <w:noWrap/>
            <w:vAlign w:val="center"/>
            <w:hideMark/>
          </w:tcPr>
          <w:p w14:paraId="6A51BB2E" w14:textId="2A0F2D33"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0.58 (0.55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0.61)</w:t>
            </w:r>
          </w:p>
        </w:tc>
        <w:tc>
          <w:tcPr>
            <w:tcW w:w="1276" w:type="dxa"/>
          </w:tcPr>
          <w:p w14:paraId="5C86C5FA"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3965E1BC" w14:textId="751AE4F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9</w:t>
            </w:r>
            <w:r w:rsidRPr="007119A5">
              <w:rPr>
                <w:rFonts w:ascii="Times New Roman" w:eastAsia="等线" w:hAnsi="Times New Roman" w:cs="Times New Roman"/>
                <w:color w:val="000000"/>
                <w:sz w:val="20"/>
                <w:szCs w:val="20"/>
              </w:rPr>
              <w:t xml:space="preserve"> (0.6</w:t>
            </w:r>
            <w:r w:rsidR="00940E81" w:rsidRPr="007119A5">
              <w:rPr>
                <w:rFonts w:ascii="Times New Roman" w:eastAsia="等线" w:hAnsi="Times New Roman" w:cs="Times New Roman"/>
                <w:color w:val="000000"/>
                <w:sz w:val="20"/>
                <w:szCs w:val="20"/>
              </w:rPr>
              <w:t>5</w:t>
            </w:r>
            <w:r w:rsidR="00022D6B" w:rsidRPr="007119A5">
              <w:rPr>
                <w:rFonts w:ascii="Times New Roman" w:eastAsia="等线" w:hAnsi="Times New Roman" w:cs="Times New Roman"/>
                <w:color w:val="000000"/>
                <w:sz w:val="20"/>
                <w:szCs w:val="20"/>
              </w:rPr>
              <w:t xml:space="preserve">, </w:t>
            </w:r>
            <w:r w:rsidR="00940E81" w:rsidRPr="007119A5">
              <w:rPr>
                <w:rFonts w:ascii="Times New Roman" w:eastAsia="等线" w:hAnsi="Times New Roman" w:cs="Times New Roman"/>
                <w:color w:val="000000"/>
                <w:sz w:val="20"/>
                <w:szCs w:val="20"/>
              </w:rPr>
              <w:t>0.73</w:t>
            </w:r>
            <w:r w:rsidRPr="007119A5">
              <w:rPr>
                <w:rFonts w:ascii="Times New Roman" w:eastAsia="等线" w:hAnsi="Times New Roman" w:cs="Times New Roman"/>
                <w:color w:val="000000"/>
                <w:sz w:val="20"/>
                <w:szCs w:val="20"/>
              </w:rPr>
              <w:t>)</w:t>
            </w:r>
          </w:p>
        </w:tc>
        <w:tc>
          <w:tcPr>
            <w:tcW w:w="1253" w:type="dxa"/>
          </w:tcPr>
          <w:p w14:paraId="1491C1F1"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00A22D96" w14:textId="77777777" w:rsidTr="00CD6B8A">
        <w:trPr>
          <w:gridBefore w:val="1"/>
          <w:wBefore w:w="16" w:type="dxa"/>
          <w:trHeight w:val="276"/>
        </w:trPr>
        <w:tc>
          <w:tcPr>
            <w:tcW w:w="2412" w:type="dxa"/>
            <w:shd w:val="clear" w:color="auto" w:fill="auto"/>
            <w:noWrap/>
            <w:vAlign w:val="center"/>
          </w:tcPr>
          <w:p w14:paraId="7B0DFC1A" w14:textId="77012726" w:rsidR="00CD6B8A" w:rsidRPr="007119A5" w:rsidRDefault="00CD6B8A" w:rsidP="00CD6B8A">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w:t>
            </w:r>
            <w:r w:rsidR="00965F7C" w:rsidRPr="007119A5">
              <w:rPr>
                <w:rFonts w:ascii="Times New Roman" w:eastAsia="等线" w:hAnsi="Times New Roman" w:cs="Times New Roman"/>
                <w:color w:val="000000"/>
                <w:sz w:val="20"/>
                <w:szCs w:val="20"/>
                <w:vertAlign w:val="subscript"/>
              </w:rPr>
              <w:t>m</w:t>
            </w:r>
          </w:p>
        </w:tc>
        <w:tc>
          <w:tcPr>
            <w:tcW w:w="2126" w:type="dxa"/>
            <w:shd w:val="clear" w:color="auto" w:fill="auto"/>
            <w:noWrap/>
            <w:vAlign w:val="center"/>
          </w:tcPr>
          <w:p w14:paraId="628D600A" w14:textId="77777777" w:rsidR="00CD6B8A" w:rsidRPr="007119A5" w:rsidRDefault="00CD6B8A" w:rsidP="00CD6B8A">
            <w:pPr>
              <w:jc w:val="center"/>
              <w:rPr>
                <w:rFonts w:ascii="Times New Roman" w:eastAsia="等线" w:hAnsi="Times New Roman" w:cs="Times New Roman"/>
                <w:color w:val="000000"/>
                <w:sz w:val="20"/>
                <w:szCs w:val="20"/>
              </w:rPr>
            </w:pPr>
          </w:p>
        </w:tc>
        <w:tc>
          <w:tcPr>
            <w:tcW w:w="1276" w:type="dxa"/>
            <w:vAlign w:val="center"/>
          </w:tcPr>
          <w:p w14:paraId="64AA3D5E" w14:textId="77777777" w:rsidR="00CD6B8A" w:rsidRPr="007119A5" w:rsidRDefault="00CD6B8A" w:rsidP="00CD6B8A">
            <w:pPr>
              <w:jc w:val="center"/>
              <w:rPr>
                <w:rFonts w:ascii="Times New Roman" w:eastAsia="等线" w:hAnsi="Times New Roman" w:cs="Times New Roman"/>
                <w:color w:val="000000"/>
                <w:sz w:val="20"/>
                <w:szCs w:val="20"/>
              </w:rPr>
            </w:pPr>
          </w:p>
        </w:tc>
        <w:tc>
          <w:tcPr>
            <w:tcW w:w="2268" w:type="dxa"/>
            <w:vAlign w:val="center"/>
          </w:tcPr>
          <w:p w14:paraId="720121E7" w14:textId="77777777" w:rsidR="00CD6B8A" w:rsidRPr="007119A5" w:rsidRDefault="00CD6B8A" w:rsidP="002B5EAE">
            <w:pPr>
              <w:jc w:val="center"/>
              <w:rPr>
                <w:rFonts w:ascii="Times New Roman" w:eastAsia="等线" w:hAnsi="Times New Roman" w:cs="Times New Roman"/>
                <w:color w:val="000000"/>
                <w:sz w:val="20"/>
                <w:szCs w:val="20"/>
              </w:rPr>
            </w:pPr>
          </w:p>
        </w:tc>
        <w:tc>
          <w:tcPr>
            <w:tcW w:w="1253" w:type="dxa"/>
          </w:tcPr>
          <w:p w14:paraId="307E8432" w14:textId="77777777" w:rsidR="00CD6B8A" w:rsidRPr="007119A5" w:rsidRDefault="00CD6B8A" w:rsidP="00CD6B8A">
            <w:pPr>
              <w:jc w:val="center"/>
              <w:rPr>
                <w:rFonts w:ascii="Times New Roman" w:eastAsia="等线" w:hAnsi="Times New Roman" w:cs="Times New Roman"/>
                <w:color w:val="000000"/>
                <w:sz w:val="20"/>
                <w:szCs w:val="20"/>
              </w:rPr>
            </w:pPr>
          </w:p>
        </w:tc>
      </w:tr>
      <w:tr w:rsidR="00CD6B8A" w:rsidRPr="007119A5" w14:paraId="15EBDE8D" w14:textId="77777777" w:rsidTr="00CD6B8A">
        <w:trPr>
          <w:gridBefore w:val="1"/>
          <w:wBefore w:w="16" w:type="dxa"/>
          <w:trHeight w:val="276"/>
        </w:trPr>
        <w:tc>
          <w:tcPr>
            <w:tcW w:w="2412" w:type="dxa"/>
            <w:shd w:val="clear" w:color="auto" w:fill="auto"/>
            <w:noWrap/>
            <w:vAlign w:val="center"/>
          </w:tcPr>
          <w:p w14:paraId="68BB888A"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Q1[-0.03,0.17]</w:t>
            </w:r>
          </w:p>
        </w:tc>
        <w:tc>
          <w:tcPr>
            <w:tcW w:w="2126" w:type="dxa"/>
            <w:shd w:val="clear" w:color="auto" w:fill="auto"/>
            <w:noWrap/>
            <w:vAlign w:val="center"/>
          </w:tcPr>
          <w:p w14:paraId="7D72070C" w14:textId="210BDB6D" w:rsidR="00CD6B8A" w:rsidRPr="007119A5" w:rsidRDefault="0071653B"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76" w:type="dxa"/>
            <w:vAlign w:val="center"/>
          </w:tcPr>
          <w:p w14:paraId="1A8558C3" w14:textId="77777777" w:rsidR="00CD6B8A" w:rsidRPr="007119A5" w:rsidRDefault="00CD6B8A" w:rsidP="00CD6B8A">
            <w:pPr>
              <w:jc w:val="center"/>
              <w:rPr>
                <w:rFonts w:ascii="Times New Roman" w:hAnsi="Times New Roman" w:cs="Times New Roman"/>
                <w:sz w:val="20"/>
                <w:szCs w:val="20"/>
              </w:rPr>
            </w:pPr>
            <w:r w:rsidRPr="007119A5">
              <w:rPr>
                <w:rFonts w:ascii="Times New Roman" w:hAnsi="Times New Roman" w:cs="Times New Roman"/>
                <w:sz w:val="20"/>
                <w:szCs w:val="20"/>
              </w:rPr>
              <w:t>-</w:t>
            </w:r>
          </w:p>
        </w:tc>
        <w:tc>
          <w:tcPr>
            <w:tcW w:w="2268" w:type="dxa"/>
            <w:vAlign w:val="center"/>
          </w:tcPr>
          <w:p w14:paraId="08AAFEFE" w14:textId="4AED3EBE" w:rsidR="00CD6B8A" w:rsidRPr="007119A5" w:rsidRDefault="00B448EB"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53" w:type="dxa"/>
          </w:tcPr>
          <w:p w14:paraId="23051B0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w:t>
            </w:r>
          </w:p>
        </w:tc>
      </w:tr>
      <w:tr w:rsidR="00CD6B8A" w:rsidRPr="007119A5" w14:paraId="7F0E172C" w14:textId="77777777" w:rsidTr="00CD6B8A">
        <w:trPr>
          <w:gridBefore w:val="1"/>
          <w:wBefore w:w="16" w:type="dxa"/>
          <w:trHeight w:val="276"/>
        </w:trPr>
        <w:tc>
          <w:tcPr>
            <w:tcW w:w="2412" w:type="dxa"/>
            <w:shd w:val="clear" w:color="auto" w:fill="auto"/>
            <w:noWrap/>
            <w:vAlign w:val="center"/>
          </w:tcPr>
          <w:p w14:paraId="14C5815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Q2(0.17,0.26]</w:t>
            </w:r>
          </w:p>
        </w:tc>
        <w:tc>
          <w:tcPr>
            <w:tcW w:w="2126" w:type="dxa"/>
            <w:shd w:val="clear" w:color="auto" w:fill="auto"/>
            <w:noWrap/>
            <w:vAlign w:val="center"/>
          </w:tcPr>
          <w:p w14:paraId="7800CB30" w14:textId="4E4B22FC"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0.81 (0.</w:t>
            </w:r>
            <w:r w:rsidR="00940E81" w:rsidRPr="007119A5">
              <w:rPr>
                <w:rFonts w:ascii="Times New Roman" w:eastAsia="等线" w:hAnsi="Times New Roman" w:cs="Times New Roman"/>
                <w:color w:val="000000"/>
                <w:sz w:val="20"/>
                <w:szCs w:val="20"/>
              </w:rPr>
              <w:t>78</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5</w:t>
            </w:r>
            <w:r w:rsidRPr="007119A5">
              <w:rPr>
                <w:rFonts w:ascii="Times New Roman" w:eastAsia="等线" w:hAnsi="Times New Roman" w:cs="Times New Roman"/>
                <w:color w:val="000000"/>
                <w:sz w:val="20"/>
                <w:szCs w:val="20"/>
              </w:rPr>
              <w:t>)</w:t>
            </w:r>
          </w:p>
        </w:tc>
        <w:tc>
          <w:tcPr>
            <w:tcW w:w="1276" w:type="dxa"/>
          </w:tcPr>
          <w:p w14:paraId="517FDAAF"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30F55B4B" w14:textId="72CA668F"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90</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85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95</w:t>
            </w:r>
            <w:r w:rsidRPr="007119A5">
              <w:rPr>
                <w:rFonts w:ascii="Times New Roman" w:eastAsia="等线" w:hAnsi="Times New Roman" w:cs="Times New Roman"/>
                <w:color w:val="000000"/>
                <w:sz w:val="20"/>
                <w:szCs w:val="20"/>
              </w:rPr>
              <w:t>)</w:t>
            </w:r>
          </w:p>
        </w:tc>
        <w:tc>
          <w:tcPr>
            <w:tcW w:w="1253" w:type="dxa"/>
          </w:tcPr>
          <w:p w14:paraId="4FBC1F6A"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6CAFD8EC" w14:textId="77777777" w:rsidTr="00CD6B8A">
        <w:trPr>
          <w:gridBefore w:val="1"/>
          <w:wBefore w:w="16" w:type="dxa"/>
          <w:trHeight w:val="276"/>
        </w:trPr>
        <w:tc>
          <w:tcPr>
            <w:tcW w:w="2412" w:type="dxa"/>
            <w:shd w:val="clear" w:color="auto" w:fill="auto"/>
            <w:noWrap/>
            <w:vAlign w:val="center"/>
          </w:tcPr>
          <w:p w14:paraId="5A9BE1E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Q3(0.26,0.31]</w:t>
            </w:r>
          </w:p>
        </w:tc>
        <w:tc>
          <w:tcPr>
            <w:tcW w:w="2126" w:type="dxa"/>
            <w:shd w:val="clear" w:color="auto" w:fill="auto"/>
            <w:noWrap/>
            <w:vAlign w:val="center"/>
          </w:tcPr>
          <w:p w14:paraId="293547FC" w14:textId="7724C820"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0.69 (0.</w:t>
            </w:r>
            <w:r w:rsidR="00940E81" w:rsidRPr="007119A5">
              <w:rPr>
                <w:rFonts w:ascii="Times New Roman" w:eastAsia="等线" w:hAnsi="Times New Roman" w:cs="Times New Roman"/>
                <w:color w:val="000000"/>
                <w:sz w:val="20"/>
                <w:szCs w:val="20"/>
              </w:rPr>
              <w:t>65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72</w:t>
            </w:r>
            <w:r w:rsidRPr="007119A5">
              <w:rPr>
                <w:rFonts w:ascii="Times New Roman" w:eastAsia="等线" w:hAnsi="Times New Roman" w:cs="Times New Roman"/>
                <w:color w:val="000000"/>
                <w:sz w:val="20"/>
                <w:szCs w:val="20"/>
              </w:rPr>
              <w:t>)</w:t>
            </w:r>
          </w:p>
        </w:tc>
        <w:tc>
          <w:tcPr>
            <w:tcW w:w="1276" w:type="dxa"/>
          </w:tcPr>
          <w:p w14:paraId="7C1760D1"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7EA1CB3" w14:textId="2BF03DF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82</w:t>
            </w:r>
            <w:r w:rsidRPr="007119A5">
              <w:rPr>
                <w:rFonts w:ascii="Times New Roman" w:eastAsia="等线" w:hAnsi="Times New Roman" w:cs="Times New Roman"/>
                <w:color w:val="000000"/>
                <w:sz w:val="20"/>
                <w:szCs w:val="20"/>
              </w:rPr>
              <w:t xml:space="preserve"> (0.7</w:t>
            </w:r>
            <w:r w:rsidR="00940E81" w:rsidRPr="007119A5">
              <w:rPr>
                <w:rFonts w:ascii="Times New Roman" w:eastAsia="等线" w:hAnsi="Times New Roman" w:cs="Times New Roman"/>
                <w:color w:val="000000"/>
                <w:sz w:val="20"/>
                <w:szCs w:val="20"/>
              </w:rPr>
              <w:t>7</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87</w:t>
            </w:r>
            <w:r w:rsidRPr="007119A5">
              <w:rPr>
                <w:rFonts w:ascii="Times New Roman" w:eastAsia="等线" w:hAnsi="Times New Roman" w:cs="Times New Roman"/>
                <w:color w:val="000000"/>
                <w:sz w:val="20"/>
                <w:szCs w:val="20"/>
              </w:rPr>
              <w:t>)</w:t>
            </w:r>
          </w:p>
        </w:tc>
        <w:tc>
          <w:tcPr>
            <w:tcW w:w="1253" w:type="dxa"/>
          </w:tcPr>
          <w:p w14:paraId="5B5BD2B9"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058DC114" w14:textId="77777777" w:rsidTr="00CD6B8A">
        <w:trPr>
          <w:gridBefore w:val="1"/>
          <w:wBefore w:w="16" w:type="dxa"/>
          <w:trHeight w:val="276"/>
        </w:trPr>
        <w:tc>
          <w:tcPr>
            <w:tcW w:w="2412" w:type="dxa"/>
            <w:shd w:val="clear" w:color="auto" w:fill="auto"/>
            <w:noWrap/>
            <w:vAlign w:val="center"/>
          </w:tcPr>
          <w:p w14:paraId="3121CE2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Q4(0.31,0.46]</w:t>
            </w:r>
          </w:p>
        </w:tc>
        <w:tc>
          <w:tcPr>
            <w:tcW w:w="2126" w:type="dxa"/>
            <w:shd w:val="clear" w:color="auto" w:fill="auto"/>
            <w:noWrap/>
            <w:vAlign w:val="center"/>
          </w:tcPr>
          <w:p w14:paraId="78EE3762" w14:textId="7991BAB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56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3</w:t>
            </w:r>
            <w:r w:rsidRPr="007119A5">
              <w:rPr>
                <w:rFonts w:ascii="Times New Roman" w:eastAsia="等线" w:hAnsi="Times New Roman" w:cs="Times New Roman"/>
                <w:color w:val="000000"/>
                <w:sz w:val="20"/>
                <w:szCs w:val="20"/>
              </w:rPr>
              <w:t>)</w:t>
            </w:r>
          </w:p>
        </w:tc>
        <w:tc>
          <w:tcPr>
            <w:tcW w:w="1276" w:type="dxa"/>
          </w:tcPr>
          <w:p w14:paraId="65CF918D"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670FBE3D" w14:textId="29260A8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74</w:t>
            </w:r>
            <w:r w:rsidRPr="007119A5">
              <w:rPr>
                <w:rFonts w:ascii="Times New Roman" w:eastAsia="等线" w:hAnsi="Times New Roman" w:cs="Times New Roman"/>
                <w:color w:val="000000"/>
                <w:sz w:val="20"/>
                <w:szCs w:val="20"/>
              </w:rPr>
              <w:t xml:space="preserve"> (0.6</w:t>
            </w:r>
            <w:r w:rsidR="00B448EB" w:rsidRPr="007119A5">
              <w:rPr>
                <w:rFonts w:ascii="Times New Roman" w:eastAsia="等线" w:hAnsi="Times New Roman" w:cs="Times New Roman"/>
                <w:color w:val="000000"/>
                <w:sz w:val="20"/>
                <w:szCs w:val="20"/>
              </w:rPr>
              <w:t>9</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B448EB" w:rsidRPr="007119A5">
              <w:rPr>
                <w:rFonts w:ascii="Times New Roman" w:eastAsia="等线" w:hAnsi="Times New Roman" w:cs="Times New Roman"/>
                <w:color w:val="000000"/>
                <w:sz w:val="20"/>
                <w:szCs w:val="20"/>
              </w:rPr>
              <w:t>79</w:t>
            </w:r>
            <w:r w:rsidRPr="007119A5">
              <w:rPr>
                <w:rFonts w:ascii="Times New Roman" w:eastAsia="等线" w:hAnsi="Times New Roman" w:cs="Times New Roman"/>
                <w:color w:val="000000"/>
                <w:sz w:val="20"/>
                <w:szCs w:val="20"/>
              </w:rPr>
              <w:t>)</w:t>
            </w:r>
          </w:p>
        </w:tc>
        <w:tc>
          <w:tcPr>
            <w:tcW w:w="1253" w:type="dxa"/>
          </w:tcPr>
          <w:p w14:paraId="62021934"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bl>
    <w:p w14:paraId="6E84AEF0" w14:textId="77777777" w:rsidR="00B22ED1" w:rsidRPr="007119A5" w:rsidRDefault="00B22ED1" w:rsidP="00B22ED1">
      <w:pPr>
        <w:rPr>
          <w:rFonts w:ascii="Times New Roman" w:hAnsi="Times New Roman" w:cs="Times New Roman"/>
        </w:rPr>
      </w:pPr>
      <w:r w:rsidRPr="007119A5">
        <w:rPr>
          <w:rFonts w:ascii="Times New Roman" w:hAnsi="Times New Roman" w:cs="Times New Roman"/>
          <w:vertAlign w:val="superscript"/>
        </w:rPr>
        <w:t>a</w:t>
      </w:r>
      <w:r w:rsidRPr="007119A5">
        <w:rPr>
          <w:rFonts w:ascii="Times New Roman" w:hAnsi="Times New Roman" w:cs="Times New Roman"/>
        </w:rPr>
        <w:t xml:space="preserve"> No adjustment.</w:t>
      </w:r>
    </w:p>
    <w:p w14:paraId="733810D7" w14:textId="2B3304FE" w:rsidR="00B22ED1" w:rsidRPr="007119A5" w:rsidRDefault="00B22ED1" w:rsidP="00B22ED1">
      <w:pPr>
        <w:rPr>
          <w:rFonts w:ascii="Times New Roman" w:hAnsi="Times New Roman" w:cs="Times New Roman"/>
        </w:rPr>
      </w:pPr>
      <w:r w:rsidRPr="007119A5">
        <w:rPr>
          <w:rFonts w:ascii="Times New Roman" w:hAnsi="Times New Roman" w:cs="Times New Roman"/>
          <w:vertAlign w:val="superscript"/>
        </w:rPr>
        <w:t xml:space="preserve">b </w:t>
      </w:r>
      <w:r w:rsidR="00F124C6" w:rsidRPr="007119A5">
        <w:rPr>
          <w:rFonts w:ascii="Times New Roman" w:hAnsi="Times New Roman" w:cs="Times New Roman"/>
        </w:rPr>
        <w:t>Adjusted for age, male, ethnicity, region, areas, annually household income, education, smoke status, drinking status, high fat diet.</w:t>
      </w:r>
    </w:p>
    <w:p w14:paraId="62D4B053" w14:textId="5A384CFF" w:rsidR="00B22ED1" w:rsidRPr="007119A5" w:rsidRDefault="00B22ED1" w:rsidP="00B22ED1">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00022D6B"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w:t>
      </w:r>
      <w:r w:rsidR="00022D6B" w:rsidRPr="007119A5">
        <w:rPr>
          <w:rFonts w:ascii="Times New Roman" w:hAnsi="Times New Roman" w:cs="Times New Roman"/>
          <w:vertAlign w:val="subscript"/>
        </w:rPr>
        <w:t>m</w:t>
      </w:r>
      <w:r w:rsidRPr="007119A5">
        <w:rPr>
          <w:rFonts w:ascii="Times New Roman" w:hAnsi="Times New Roman" w:cs="Times New Roman"/>
        </w:rPr>
        <w:t>, EVI</w:t>
      </w:r>
      <w:r w:rsidRPr="007119A5">
        <w:rPr>
          <w:rFonts w:ascii="Times New Roman" w:hAnsi="Times New Roman" w:cs="Times New Roman"/>
          <w:vertAlign w:val="subscript"/>
        </w:rPr>
        <w:t>1000</w:t>
      </w:r>
      <w:r w:rsidR="00022D6B" w:rsidRPr="007119A5">
        <w:rPr>
          <w:rFonts w:ascii="Times New Roman" w:hAnsi="Times New Roman" w:cs="Times New Roman"/>
          <w:vertAlign w:val="subscript"/>
        </w:rPr>
        <w:t>m</w:t>
      </w:r>
      <w:r w:rsidRPr="007119A5">
        <w:rPr>
          <w:rFonts w:ascii="Times New Roman" w:hAnsi="Times New Roman" w:cs="Times New Roman"/>
        </w:rPr>
        <w:t>, Enhanced Vegetation Index within 250m, 500m, 1000m; OR, odds ratio.</w:t>
      </w:r>
      <w:r w:rsidR="00173856" w:rsidRPr="007119A5">
        <w:rPr>
          <w:rFonts w:ascii="Times New Roman" w:hAnsi="Times New Roman" w:cs="Times New Roman"/>
        </w:rPr>
        <w:t xml:space="preserve"> Q1: the first quartile. Q2: the second quartile. Q3: the third quartile. Q4: the </w:t>
      </w:r>
      <w:r w:rsidR="00C74FC0" w:rsidRPr="007119A5">
        <w:rPr>
          <w:rFonts w:ascii="Times New Roman" w:hAnsi="Times New Roman" w:cs="Times New Roman"/>
        </w:rPr>
        <w:t>fourth</w:t>
      </w:r>
      <w:r w:rsidR="00173856" w:rsidRPr="007119A5">
        <w:rPr>
          <w:rFonts w:ascii="Times New Roman" w:hAnsi="Times New Roman" w:cs="Times New Roman"/>
        </w:rPr>
        <w:t xml:space="preserve"> quartile.</w:t>
      </w:r>
    </w:p>
    <w:p w14:paraId="319D8168" w14:textId="3394D7B7" w:rsidR="004663C3" w:rsidRPr="00CF130B" w:rsidRDefault="00DA4097" w:rsidP="00E3651C">
      <w:pPr>
        <w:rPr>
          <w:rFonts w:ascii="Times New Roman" w:hAnsi="Times New Roman" w:cs="Times New Roman"/>
          <w:b/>
          <w:bCs/>
          <w:sz w:val="28"/>
          <w:szCs w:val="32"/>
        </w:rPr>
      </w:pPr>
      <w:r w:rsidRPr="007119A5">
        <w:rPr>
          <w:rFonts w:ascii="Times New Roman" w:hAnsi="Times New Roman" w:cs="Times New Roman"/>
          <w:sz w:val="28"/>
          <w:szCs w:val="32"/>
        </w:rPr>
        <w:br w:type="page"/>
      </w:r>
    </w:p>
    <w:p w14:paraId="7D18821B" w14:textId="77777777" w:rsidR="00B86C4B" w:rsidRPr="00B86C4B" w:rsidRDefault="004663C3" w:rsidP="00B86C4B">
      <w:pPr>
        <w:pStyle w:val="EndNoteBibliography"/>
        <w:ind w:left="720" w:hanging="720"/>
      </w:pPr>
      <w:r w:rsidRPr="007119A5">
        <w:rPr>
          <w:rFonts w:ascii="Times New Roman" w:hAnsi="Times New Roman" w:cs="Times New Roman"/>
          <w:b/>
          <w:bCs/>
          <w:sz w:val="28"/>
          <w:szCs w:val="32"/>
        </w:rPr>
        <w:lastRenderedPageBreak/>
        <w:fldChar w:fldCharType="begin"/>
      </w:r>
      <w:r w:rsidRPr="007119A5">
        <w:rPr>
          <w:rFonts w:ascii="Times New Roman" w:hAnsi="Times New Roman" w:cs="Times New Roman"/>
          <w:b/>
          <w:bCs/>
          <w:sz w:val="28"/>
          <w:szCs w:val="32"/>
        </w:rPr>
        <w:instrText xml:space="preserve"> ADDIN EN.REFLIST </w:instrText>
      </w:r>
      <w:r w:rsidRPr="007119A5">
        <w:rPr>
          <w:rFonts w:ascii="Times New Roman" w:hAnsi="Times New Roman" w:cs="Times New Roman"/>
          <w:b/>
          <w:bCs/>
          <w:sz w:val="28"/>
          <w:szCs w:val="32"/>
        </w:rPr>
        <w:fldChar w:fldCharType="separate"/>
      </w:r>
      <w:r w:rsidR="00B86C4B" w:rsidRPr="00B86C4B">
        <w:t xml:space="preserve">1. Imai K, Keele L, Tingley D. A general approach to causal mediation analysis. </w:t>
      </w:r>
      <w:r w:rsidR="00B86C4B" w:rsidRPr="00B86C4B">
        <w:rPr>
          <w:i/>
        </w:rPr>
        <w:t>Psychol Methods</w:t>
      </w:r>
      <w:r w:rsidR="00B86C4B" w:rsidRPr="00B86C4B">
        <w:t xml:space="preserve"> 2010;15(4):309-34. doi: 10.1037/a0020761 [published Online First: 2010/10/20]</w:t>
      </w:r>
    </w:p>
    <w:p w14:paraId="6C56BB0E" w14:textId="77777777" w:rsidR="00B86C4B" w:rsidRPr="00B86C4B" w:rsidRDefault="00B86C4B" w:rsidP="00B86C4B">
      <w:pPr>
        <w:pStyle w:val="EndNoteBibliography"/>
        <w:ind w:left="720" w:hanging="720"/>
      </w:pPr>
      <w:r w:rsidRPr="00B86C4B">
        <w:t>2. VanderWeele T. Explanation in causal inference: methods for mediation and interaction: Oxford University Press, 2015.</w:t>
      </w:r>
    </w:p>
    <w:p w14:paraId="4A5511EC" w14:textId="77777777" w:rsidR="00B86C4B" w:rsidRPr="00B86C4B" w:rsidRDefault="00B86C4B" w:rsidP="00B86C4B">
      <w:pPr>
        <w:pStyle w:val="EndNoteBibliography"/>
        <w:ind w:left="720" w:hanging="720"/>
      </w:pPr>
      <w:r w:rsidRPr="00B86C4B">
        <w:t xml:space="preserve">3. Mathur MB, Ding P, Riddell CA, et al. Web Site and R Package for Computing E-values. </w:t>
      </w:r>
      <w:r w:rsidRPr="00B86C4B">
        <w:rPr>
          <w:i/>
        </w:rPr>
        <w:t>Epidemiology</w:t>
      </w:r>
      <w:r w:rsidRPr="00B86C4B">
        <w:t xml:space="preserve"> 2018;29(5):e45-e47. doi: 10.1097/ede.0000000000000864 [published Online First: 2018/06/19]</w:t>
      </w:r>
    </w:p>
    <w:p w14:paraId="69E04C10" w14:textId="5653078A" w:rsidR="00BF218A" w:rsidRPr="007119A5" w:rsidRDefault="004663C3" w:rsidP="00E3651C">
      <w:pPr>
        <w:rPr>
          <w:rFonts w:ascii="Times New Roman" w:hAnsi="Times New Roman" w:cs="Times New Roman"/>
          <w:b/>
          <w:bCs/>
          <w:sz w:val="28"/>
          <w:szCs w:val="32"/>
        </w:rPr>
      </w:pPr>
      <w:r w:rsidRPr="007119A5">
        <w:rPr>
          <w:rFonts w:ascii="Times New Roman" w:hAnsi="Times New Roman" w:cs="Times New Roman"/>
          <w:b/>
          <w:bCs/>
          <w:sz w:val="28"/>
          <w:szCs w:val="32"/>
        </w:rPr>
        <w:fldChar w:fldCharType="end"/>
      </w:r>
    </w:p>
    <w:sectPr w:rsidR="00BF218A" w:rsidRPr="00711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93E2" w14:textId="77777777" w:rsidR="003966D9" w:rsidRDefault="003966D9" w:rsidP="00BF0D98">
      <w:r>
        <w:separator/>
      </w:r>
    </w:p>
  </w:endnote>
  <w:endnote w:type="continuationSeparator" w:id="0">
    <w:p w14:paraId="3388B4FB" w14:textId="77777777" w:rsidR="003966D9" w:rsidRDefault="003966D9" w:rsidP="00BF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DC62" w14:textId="77777777" w:rsidR="003966D9" w:rsidRDefault="003966D9" w:rsidP="00BF0D98">
      <w:r>
        <w:separator/>
      </w:r>
    </w:p>
  </w:footnote>
  <w:footnote w:type="continuationSeparator" w:id="0">
    <w:p w14:paraId="6D387FF7" w14:textId="77777777" w:rsidR="003966D9" w:rsidRDefault="003966D9" w:rsidP="00BF0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MJ&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ttzxzfxrs5zbesr99xwsxntrpxx2rpadp9&quot;&gt;My EndNote Library&lt;record-ids&gt;&lt;item&gt;67&lt;/item&gt;&lt;item&gt;70&lt;/item&gt;&lt;item&gt;199&lt;/item&gt;&lt;/record-ids&gt;&lt;/item&gt;&lt;/Libraries&gt;"/>
  </w:docVars>
  <w:rsids>
    <w:rsidRoot w:val="00591B82"/>
    <w:rsid w:val="00022D6B"/>
    <w:rsid w:val="00033717"/>
    <w:rsid w:val="00034F2C"/>
    <w:rsid w:val="000379B3"/>
    <w:rsid w:val="00052583"/>
    <w:rsid w:val="00072A7D"/>
    <w:rsid w:val="000758EF"/>
    <w:rsid w:val="00075A4A"/>
    <w:rsid w:val="000A411D"/>
    <w:rsid w:val="000A6ABF"/>
    <w:rsid w:val="000A6AED"/>
    <w:rsid w:val="000B0939"/>
    <w:rsid w:val="000E116E"/>
    <w:rsid w:val="000F6864"/>
    <w:rsid w:val="001022A6"/>
    <w:rsid w:val="001036A4"/>
    <w:rsid w:val="00132F02"/>
    <w:rsid w:val="00173856"/>
    <w:rsid w:val="00195AF5"/>
    <w:rsid w:val="001C6C0E"/>
    <w:rsid w:val="001D3662"/>
    <w:rsid w:val="001F66BC"/>
    <w:rsid w:val="0021011C"/>
    <w:rsid w:val="00216DC0"/>
    <w:rsid w:val="002630FC"/>
    <w:rsid w:val="00286AAC"/>
    <w:rsid w:val="002973D4"/>
    <w:rsid w:val="002A11BD"/>
    <w:rsid w:val="002B5EAE"/>
    <w:rsid w:val="002C5A08"/>
    <w:rsid w:val="002E7115"/>
    <w:rsid w:val="00302CAB"/>
    <w:rsid w:val="00311D82"/>
    <w:rsid w:val="0031635E"/>
    <w:rsid w:val="00323C1B"/>
    <w:rsid w:val="003537D7"/>
    <w:rsid w:val="0036453A"/>
    <w:rsid w:val="00386D0D"/>
    <w:rsid w:val="003871D6"/>
    <w:rsid w:val="003966D9"/>
    <w:rsid w:val="003A1C76"/>
    <w:rsid w:val="003A2BAF"/>
    <w:rsid w:val="003A556C"/>
    <w:rsid w:val="003E07BA"/>
    <w:rsid w:val="003F12AD"/>
    <w:rsid w:val="003F4E77"/>
    <w:rsid w:val="0040028F"/>
    <w:rsid w:val="00413547"/>
    <w:rsid w:val="004149A7"/>
    <w:rsid w:val="00423673"/>
    <w:rsid w:val="0043222F"/>
    <w:rsid w:val="004663C3"/>
    <w:rsid w:val="0046667E"/>
    <w:rsid w:val="00480B3B"/>
    <w:rsid w:val="0048148E"/>
    <w:rsid w:val="0049105E"/>
    <w:rsid w:val="00497C95"/>
    <w:rsid w:val="004A70E8"/>
    <w:rsid w:val="004B7DD1"/>
    <w:rsid w:val="004C2062"/>
    <w:rsid w:val="004E5A63"/>
    <w:rsid w:val="004F1F53"/>
    <w:rsid w:val="005027D7"/>
    <w:rsid w:val="0050621A"/>
    <w:rsid w:val="00510D31"/>
    <w:rsid w:val="00521301"/>
    <w:rsid w:val="00524C62"/>
    <w:rsid w:val="00536D4C"/>
    <w:rsid w:val="00545BC1"/>
    <w:rsid w:val="00566D99"/>
    <w:rsid w:val="00567720"/>
    <w:rsid w:val="00582CEE"/>
    <w:rsid w:val="00591B82"/>
    <w:rsid w:val="00595323"/>
    <w:rsid w:val="005C3A16"/>
    <w:rsid w:val="005C77A7"/>
    <w:rsid w:val="005E7DA7"/>
    <w:rsid w:val="005F3A75"/>
    <w:rsid w:val="005F6A25"/>
    <w:rsid w:val="005F716A"/>
    <w:rsid w:val="00637ACD"/>
    <w:rsid w:val="0064080E"/>
    <w:rsid w:val="00646D92"/>
    <w:rsid w:val="006543B0"/>
    <w:rsid w:val="006800C0"/>
    <w:rsid w:val="00681686"/>
    <w:rsid w:val="006A7AF3"/>
    <w:rsid w:val="006B1835"/>
    <w:rsid w:val="006B38C6"/>
    <w:rsid w:val="006C0C36"/>
    <w:rsid w:val="0070279A"/>
    <w:rsid w:val="007119A5"/>
    <w:rsid w:val="0071653B"/>
    <w:rsid w:val="00755C7B"/>
    <w:rsid w:val="00766999"/>
    <w:rsid w:val="00770E29"/>
    <w:rsid w:val="007A6C17"/>
    <w:rsid w:val="007B5E2F"/>
    <w:rsid w:val="007E1B5B"/>
    <w:rsid w:val="007E27FC"/>
    <w:rsid w:val="007E306E"/>
    <w:rsid w:val="007E7DB9"/>
    <w:rsid w:val="00804E51"/>
    <w:rsid w:val="00851AFD"/>
    <w:rsid w:val="0086777E"/>
    <w:rsid w:val="008826A2"/>
    <w:rsid w:val="00885F0F"/>
    <w:rsid w:val="008A0A71"/>
    <w:rsid w:val="008A5498"/>
    <w:rsid w:val="008A6048"/>
    <w:rsid w:val="008B4A6B"/>
    <w:rsid w:val="008B7A66"/>
    <w:rsid w:val="008C17F7"/>
    <w:rsid w:val="008F3034"/>
    <w:rsid w:val="00902FB5"/>
    <w:rsid w:val="00930EE1"/>
    <w:rsid w:val="00932930"/>
    <w:rsid w:val="0093391A"/>
    <w:rsid w:val="00940E81"/>
    <w:rsid w:val="00945EC5"/>
    <w:rsid w:val="00954A2E"/>
    <w:rsid w:val="00955E08"/>
    <w:rsid w:val="00957859"/>
    <w:rsid w:val="009658FF"/>
    <w:rsid w:val="00965F7C"/>
    <w:rsid w:val="009868A0"/>
    <w:rsid w:val="00993576"/>
    <w:rsid w:val="009A4C49"/>
    <w:rsid w:val="009B4D0E"/>
    <w:rsid w:val="009B6A6F"/>
    <w:rsid w:val="009C0F72"/>
    <w:rsid w:val="00A07383"/>
    <w:rsid w:val="00A337DA"/>
    <w:rsid w:val="00A33890"/>
    <w:rsid w:val="00A768C2"/>
    <w:rsid w:val="00A76A78"/>
    <w:rsid w:val="00AB1229"/>
    <w:rsid w:val="00AB398D"/>
    <w:rsid w:val="00AB4797"/>
    <w:rsid w:val="00AD5E0D"/>
    <w:rsid w:val="00AE7FC5"/>
    <w:rsid w:val="00AF1FD4"/>
    <w:rsid w:val="00B22ED1"/>
    <w:rsid w:val="00B405A4"/>
    <w:rsid w:val="00B448EB"/>
    <w:rsid w:val="00B45DE1"/>
    <w:rsid w:val="00B46FAC"/>
    <w:rsid w:val="00B653D0"/>
    <w:rsid w:val="00B71656"/>
    <w:rsid w:val="00B73155"/>
    <w:rsid w:val="00B76E4B"/>
    <w:rsid w:val="00B80B00"/>
    <w:rsid w:val="00B86C4B"/>
    <w:rsid w:val="00B96872"/>
    <w:rsid w:val="00BA1376"/>
    <w:rsid w:val="00BA6EFE"/>
    <w:rsid w:val="00BB1D51"/>
    <w:rsid w:val="00BC2CAE"/>
    <w:rsid w:val="00BC491D"/>
    <w:rsid w:val="00BE2BE6"/>
    <w:rsid w:val="00BE7486"/>
    <w:rsid w:val="00BF0D98"/>
    <w:rsid w:val="00BF218A"/>
    <w:rsid w:val="00BF2584"/>
    <w:rsid w:val="00C17E90"/>
    <w:rsid w:val="00C333B6"/>
    <w:rsid w:val="00C64E8A"/>
    <w:rsid w:val="00C67856"/>
    <w:rsid w:val="00C74FC0"/>
    <w:rsid w:val="00C812D6"/>
    <w:rsid w:val="00C85BAD"/>
    <w:rsid w:val="00C93221"/>
    <w:rsid w:val="00CA4DDA"/>
    <w:rsid w:val="00CB093B"/>
    <w:rsid w:val="00CC39E1"/>
    <w:rsid w:val="00CC7D5E"/>
    <w:rsid w:val="00CD6884"/>
    <w:rsid w:val="00CD6B8A"/>
    <w:rsid w:val="00CE1C52"/>
    <w:rsid w:val="00CE491C"/>
    <w:rsid w:val="00CF130B"/>
    <w:rsid w:val="00CF1BAB"/>
    <w:rsid w:val="00CF375F"/>
    <w:rsid w:val="00CF7DDB"/>
    <w:rsid w:val="00D17B0F"/>
    <w:rsid w:val="00D301E6"/>
    <w:rsid w:val="00D32374"/>
    <w:rsid w:val="00D4612F"/>
    <w:rsid w:val="00D501E2"/>
    <w:rsid w:val="00D96F5A"/>
    <w:rsid w:val="00DA1903"/>
    <w:rsid w:val="00DA4097"/>
    <w:rsid w:val="00DA5BB8"/>
    <w:rsid w:val="00DA6C73"/>
    <w:rsid w:val="00DC0BA2"/>
    <w:rsid w:val="00DD0A57"/>
    <w:rsid w:val="00DD2BA0"/>
    <w:rsid w:val="00DE41E5"/>
    <w:rsid w:val="00DF71F1"/>
    <w:rsid w:val="00E23E87"/>
    <w:rsid w:val="00E3651C"/>
    <w:rsid w:val="00E45766"/>
    <w:rsid w:val="00E869DD"/>
    <w:rsid w:val="00EC30BB"/>
    <w:rsid w:val="00EC5C50"/>
    <w:rsid w:val="00EC624A"/>
    <w:rsid w:val="00EF1A60"/>
    <w:rsid w:val="00F0585D"/>
    <w:rsid w:val="00F124C6"/>
    <w:rsid w:val="00F24169"/>
    <w:rsid w:val="00F3683D"/>
    <w:rsid w:val="00F402F4"/>
    <w:rsid w:val="00F53B81"/>
    <w:rsid w:val="00F55224"/>
    <w:rsid w:val="00F61A3A"/>
    <w:rsid w:val="00F744E8"/>
    <w:rsid w:val="00F84D21"/>
    <w:rsid w:val="00F873E1"/>
    <w:rsid w:val="00F956CB"/>
    <w:rsid w:val="00FB53C9"/>
    <w:rsid w:val="00FC14F3"/>
    <w:rsid w:val="00FC19F1"/>
    <w:rsid w:val="00FD0BC9"/>
    <w:rsid w:val="00FD52AD"/>
    <w:rsid w:val="00FE3097"/>
    <w:rsid w:val="00FE6760"/>
    <w:rsid w:val="00FF4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9853"/>
  <w15:chartTrackingRefBased/>
  <w15:docId w15:val="{AB7E50F5-965C-408F-906F-6BDD7557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374"/>
    <w:rPr>
      <w:rFonts w:ascii="宋体" w:eastAsia="宋体" w:hAnsi="宋体" w:cs="宋体"/>
      <w:kern w:val="0"/>
      <w:sz w:val="24"/>
      <w:szCs w:val="24"/>
    </w:rPr>
  </w:style>
  <w:style w:type="paragraph" w:styleId="1">
    <w:name w:val="heading 1"/>
    <w:basedOn w:val="a"/>
    <w:next w:val="a"/>
    <w:link w:val="10"/>
    <w:uiPriority w:val="9"/>
    <w:qFormat/>
    <w:rsid w:val="00BF218A"/>
    <w:pPr>
      <w:keepNext/>
      <w:keepLines/>
      <w:widowControl w:val="0"/>
      <w:jc w:val="both"/>
      <w:outlineLvl w:val="0"/>
    </w:pPr>
    <w:rPr>
      <w:rFonts w:ascii="Arial" w:eastAsia="Arial" w:hAnsi="Arial" w:cstheme="minorBidi"/>
      <w:b/>
      <w:bCs/>
      <w:kern w:val="44"/>
      <w:sz w:val="21"/>
      <w:szCs w:val="44"/>
    </w:rPr>
  </w:style>
  <w:style w:type="paragraph" w:styleId="2">
    <w:name w:val="heading 2"/>
    <w:basedOn w:val="a"/>
    <w:next w:val="a"/>
    <w:link w:val="20"/>
    <w:uiPriority w:val="9"/>
    <w:unhideWhenUsed/>
    <w:qFormat/>
    <w:rsid w:val="00BC2CAE"/>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D9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BF0D98"/>
    <w:rPr>
      <w:sz w:val="18"/>
      <w:szCs w:val="18"/>
    </w:rPr>
  </w:style>
  <w:style w:type="paragraph" w:styleId="a5">
    <w:name w:val="footer"/>
    <w:basedOn w:val="a"/>
    <w:link w:val="a6"/>
    <w:uiPriority w:val="99"/>
    <w:unhideWhenUsed/>
    <w:rsid w:val="00BF0D9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BF0D98"/>
    <w:rPr>
      <w:sz w:val="18"/>
      <w:szCs w:val="18"/>
    </w:rPr>
  </w:style>
  <w:style w:type="paragraph" w:styleId="a7">
    <w:name w:val="No Spacing"/>
    <w:uiPriority w:val="1"/>
    <w:qFormat/>
    <w:rsid w:val="00BF0D98"/>
    <w:pPr>
      <w:widowControl w:val="0"/>
      <w:jc w:val="both"/>
    </w:pPr>
  </w:style>
  <w:style w:type="character" w:customStyle="1" w:styleId="10">
    <w:name w:val="标题 1 字符"/>
    <w:basedOn w:val="a0"/>
    <w:link w:val="1"/>
    <w:uiPriority w:val="9"/>
    <w:rsid w:val="00BF218A"/>
    <w:rPr>
      <w:rFonts w:ascii="Arial" w:eastAsia="Arial" w:hAnsi="Arial"/>
      <w:b/>
      <w:bCs/>
      <w:kern w:val="44"/>
      <w:szCs w:val="44"/>
    </w:rPr>
  </w:style>
  <w:style w:type="character" w:customStyle="1" w:styleId="20">
    <w:name w:val="标题 2 字符"/>
    <w:basedOn w:val="a0"/>
    <w:link w:val="2"/>
    <w:uiPriority w:val="9"/>
    <w:qFormat/>
    <w:rsid w:val="00BC2CAE"/>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2B5EAE"/>
    <w:rPr>
      <w:sz w:val="21"/>
      <w:szCs w:val="21"/>
    </w:rPr>
  </w:style>
  <w:style w:type="paragraph" w:styleId="a9">
    <w:name w:val="annotation text"/>
    <w:basedOn w:val="a"/>
    <w:link w:val="aa"/>
    <w:uiPriority w:val="99"/>
    <w:semiHidden/>
    <w:unhideWhenUsed/>
    <w:rsid w:val="002B5EAE"/>
    <w:pPr>
      <w:widowControl w:val="0"/>
    </w:pPr>
    <w:rPr>
      <w:rFonts w:asciiTheme="minorHAnsi" w:eastAsiaTheme="minorEastAsia" w:hAnsiTheme="minorHAnsi" w:cstheme="minorBidi"/>
      <w:kern w:val="2"/>
      <w:sz w:val="21"/>
      <w:szCs w:val="22"/>
    </w:rPr>
  </w:style>
  <w:style w:type="character" w:customStyle="1" w:styleId="aa">
    <w:name w:val="批注文字 字符"/>
    <w:basedOn w:val="a0"/>
    <w:link w:val="a9"/>
    <w:uiPriority w:val="99"/>
    <w:semiHidden/>
    <w:rsid w:val="002B5EAE"/>
  </w:style>
  <w:style w:type="paragraph" w:styleId="ab">
    <w:name w:val="annotation subject"/>
    <w:basedOn w:val="a9"/>
    <w:next w:val="a9"/>
    <w:link w:val="ac"/>
    <w:uiPriority w:val="99"/>
    <w:semiHidden/>
    <w:unhideWhenUsed/>
    <w:rsid w:val="002B5EAE"/>
    <w:rPr>
      <w:b/>
      <w:bCs/>
    </w:rPr>
  </w:style>
  <w:style w:type="character" w:customStyle="1" w:styleId="ac">
    <w:name w:val="批注主题 字符"/>
    <w:basedOn w:val="aa"/>
    <w:link w:val="ab"/>
    <w:uiPriority w:val="99"/>
    <w:semiHidden/>
    <w:rsid w:val="002B5EAE"/>
    <w:rPr>
      <w:b/>
      <w:bCs/>
    </w:rPr>
  </w:style>
  <w:style w:type="paragraph" w:styleId="ad">
    <w:name w:val="Revision"/>
    <w:hidden/>
    <w:uiPriority w:val="99"/>
    <w:semiHidden/>
    <w:rsid w:val="00A76A78"/>
  </w:style>
  <w:style w:type="character" w:styleId="ae">
    <w:name w:val="Hyperlink"/>
    <w:basedOn w:val="a0"/>
    <w:uiPriority w:val="99"/>
    <w:unhideWhenUsed/>
    <w:rsid w:val="00CD6884"/>
    <w:rPr>
      <w:color w:val="0563C1" w:themeColor="hyperlink"/>
      <w:u w:val="single"/>
    </w:rPr>
  </w:style>
  <w:style w:type="character" w:styleId="af">
    <w:name w:val="Placeholder Text"/>
    <w:basedOn w:val="a0"/>
    <w:uiPriority w:val="99"/>
    <w:semiHidden/>
    <w:rsid w:val="00851AFD"/>
    <w:rPr>
      <w:color w:val="808080"/>
    </w:rPr>
  </w:style>
  <w:style w:type="paragraph" w:customStyle="1" w:styleId="EndNoteBibliographyTitle">
    <w:name w:val="EndNote Bibliography Title"/>
    <w:basedOn w:val="a"/>
    <w:link w:val="EndNoteBibliographyTitle0"/>
    <w:rsid w:val="004663C3"/>
    <w:pPr>
      <w:widowControl w:val="0"/>
      <w:jc w:val="center"/>
    </w:pPr>
    <w:rPr>
      <w:rFonts w:ascii="等线" w:eastAsia="等线" w:hAnsi="等线" w:cstheme="minorBidi"/>
      <w:noProof/>
      <w:kern w:val="2"/>
      <w:sz w:val="20"/>
      <w:szCs w:val="22"/>
    </w:rPr>
  </w:style>
  <w:style w:type="character" w:customStyle="1" w:styleId="EndNoteBibliographyTitle0">
    <w:name w:val="EndNote Bibliography Title 字符"/>
    <w:basedOn w:val="a0"/>
    <w:link w:val="EndNoteBibliographyTitle"/>
    <w:rsid w:val="004663C3"/>
    <w:rPr>
      <w:rFonts w:ascii="等线" w:eastAsia="等线" w:hAnsi="等线"/>
      <w:noProof/>
      <w:sz w:val="20"/>
    </w:rPr>
  </w:style>
  <w:style w:type="paragraph" w:customStyle="1" w:styleId="EndNoteBibliography">
    <w:name w:val="EndNote Bibliography"/>
    <w:basedOn w:val="a"/>
    <w:link w:val="EndNoteBibliography0"/>
    <w:rsid w:val="004663C3"/>
    <w:pPr>
      <w:widowControl w:val="0"/>
    </w:pPr>
    <w:rPr>
      <w:rFonts w:ascii="等线" w:eastAsia="等线" w:hAnsi="等线" w:cstheme="minorBidi"/>
      <w:noProof/>
      <w:kern w:val="2"/>
      <w:sz w:val="20"/>
      <w:szCs w:val="22"/>
    </w:rPr>
  </w:style>
  <w:style w:type="character" w:customStyle="1" w:styleId="EndNoteBibliography0">
    <w:name w:val="EndNote Bibliography 字符"/>
    <w:basedOn w:val="a0"/>
    <w:link w:val="EndNoteBibliography"/>
    <w:rsid w:val="004663C3"/>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648">
      <w:bodyDiv w:val="1"/>
      <w:marLeft w:val="0"/>
      <w:marRight w:val="0"/>
      <w:marTop w:val="0"/>
      <w:marBottom w:val="0"/>
      <w:divBdr>
        <w:top w:val="none" w:sz="0" w:space="0" w:color="auto"/>
        <w:left w:val="none" w:sz="0" w:space="0" w:color="auto"/>
        <w:bottom w:val="none" w:sz="0" w:space="0" w:color="auto"/>
        <w:right w:val="none" w:sz="0" w:space="0" w:color="auto"/>
      </w:divBdr>
    </w:div>
    <w:div w:id="265623002">
      <w:bodyDiv w:val="1"/>
      <w:marLeft w:val="0"/>
      <w:marRight w:val="0"/>
      <w:marTop w:val="0"/>
      <w:marBottom w:val="0"/>
      <w:divBdr>
        <w:top w:val="none" w:sz="0" w:space="0" w:color="auto"/>
        <w:left w:val="none" w:sz="0" w:space="0" w:color="auto"/>
        <w:bottom w:val="none" w:sz="0" w:space="0" w:color="auto"/>
        <w:right w:val="none" w:sz="0" w:space="0" w:color="auto"/>
      </w:divBdr>
    </w:div>
    <w:div w:id="332955353">
      <w:bodyDiv w:val="1"/>
      <w:marLeft w:val="0"/>
      <w:marRight w:val="0"/>
      <w:marTop w:val="0"/>
      <w:marBottom w:val="0"/>
      <w:divBdr>
        <w:top w:val="none" w:sz="0" w:space="0" w:color="auto"/>
        <w:left w:val="none" w:sz="0" w:space="0" w:color="auto"/>
        <w:bottom w:val="none" w:sz="0" w:space="0" w:color="auto"/>
        <w:right w:val="none" w:sz="0" w:space="0" w:color="auto"/>
      </w:divBdr>
    </w:div>
    <w:div w:id="360132352">
      <w:bodyDiv w:val="1"/>
      <w:marLeft w:val="0"/>
      <w:marRight w:val="0"/>
      <w:marTop w:val="0"/>
      <w:marBottom w:val="0"/>
      <w:divBdr>
        <w:top w:val="none" w:sz="0" w:space="0" w:color="auto"/>
        <w:left w:val="none" w:sz="0" w:space="0" w:color="auto"/>
        <w:bottom w:val="none" w:sz="0" w:space="0" w:color="auto"/>
        <w:right w:val="none" w:sz="0" w:space="0" w:color="auto"/>
      </w:divBdr>
    </w:div>
    <w:div w:id="400642185">
      <w:bodyDiv w:val="1"/>
      <w:marLeft w:val="0"/>
      <w:marRight w:val="0"/>
      <w:marTop w:val="0"/>
      <w:marBottom w:val="0"/>
      <w:divBdr>
        <w:top w:val="none" w:sz="0" w:space="0" w:color="auto"/>
        <w:left w:val="none" w:sz="0" w:space="0" w:color="auto"/>
        <w:bottom w:val="none" w:sz="0" w:space="0" w:color="auto"/>
        <w:right w:val="none" w:sz="0" w:space="0" w:color="auto"/>
      </w:divBdr>
    </w:div>
    <w:div w:id="447819473">
      <w:bodyDiv w:val="1"/>
      <w:marLeft w:val="0"/>
      <w:marRight w:val="0"/>
      <w:marTop w:val="0"/>
      <w:marBottom w:val="0"/>
      <w:divBdr>
        <w:top w:val="none" w:sz="0" w:space="0" w:color="auto"/>
        <w:left w:val="none" w:sz="0" w:space="0" w:color="auto"/>
        <w:bottom w:val="none" w:sz="0" w:space="0" w:color="auto"/>
        <w:right w:val="none" w:sz="0" w:space="0" w:color="auto"/>
      </w:divBdr>
    </w:div>
    <w:div w:id="456535916">
      <w:bodyDiv w:val="1"/>
      <w:marLeft w:val="0"/>
      <w:marRight w:val="0"/>
      <w:marTop w:val="0"/>
      <w:marBottom w:val="0"/>
      <w:divBdr>
        <w:top w:val="none" w:sz="0" w:space="0" w:color="auto"/>
        <w:left w:val="none" w:sz="0" w:space="0" w:color="auto"/>
        <w:bottom w:val="none" w:sz="0" w:space="0" w:color="auto"/>
        <w:right w:val="none" w:sz="0" w:space="0" w:color="auto"/>
      </w:divBdr>
    </w:div>
    <w:div w:id="484054421">
      <w:bodyDiv w:val="1"/>
      <w:marLeft w:val="0"/>
      <w:marRight w:val="0"/>
      <w:marTop w:val="0"/>
      <w:marBottom w:val="0"/>
      <w:divBdr>
        <w:top w:val="none" w:sz="0" w:space="0" w:color="auto"/>
        <w:left w:val="none" w:sz="0" w:space="0" w:color="auto"/>
        <w:bottom w:val="none" w:sz="0" w:space="0" w:color="auto"/>
        <w:right w:val="none" w:sz="0" w:space="0" w:color="auto"/>
      </w:divBdr>
    </w:div>
    <w:div w:id="491410954">
      <w:bodyDiv w:val="1"/>
      <w:marLeft w:val="0"/>
      <w:marRight w:val="0"/>
      <w:marTop w:val="0"/>
      <w:marBottom w:val="0"/>
      <w:divBdr>
        <w:top w:val="none" w:sz="0" w:space="0" w:color="auto"/>
        <w:left w:val="none" w:sz="0" w:space="0" w:color="auto"/>
        <w:bottom w:val="none" w:sz="0" w:space="0" w:color="auto"/>
        <w:right w:val="none" w:sz="0" w:space="0" w:color="auto"/>
      </w:divBdr>
    </w:div>
    <w:div w:id="518280830">
      <w:bodyDiv w:val="1"/>
      <w:marLeft w:val="0"/>
      <w:marRight w:val="0"/>
      <w:marTop w:val="0"/>
      <w:marBottom w:val="0"/>
      <w:divBdr>
        <w:top w:val="none" w:sz="0" w:space="0" w:color="auto"/>
        <w:left w:val="none" w:sz="0" w:space="0" w:color="auto"/>
        <w:bottom w:val="none" w:sz="0" w:space="0" w:color="auto"/>
        <w:right w:val="none" w:sz="0" w:space="0" w:color="auto"/>
      </w:divBdr>
    </w:div>
    <w:div w:id="526259453">
      <w:bodyDiv w:val="1"/>
      <w:marLeft w:val="0"/>
      <w:marRight w:val="0"/>
      <w:marTop w:val="0"/>
      <w:marBottom w:val="0"/>
      <w:divBdr>
        <w:top w:val="none" w:sz="0" w:space="0" w:color="auto"/>
        <w:left w:val="none" w:sz="0" w:space="0" w:color="auto"/>
        <w:bottom w:val="none" w:sz="0" w:space="0" w:color="auto"/>
        <w:right w:val="none" w:sz="0" w:space="0" w:color="auto"/>
      </w:divBdr>
    </w:div>
    <w:div w:id="530261560">
      <w:bodyDiv w:val="1"/>
      <w:marLeft w:val="0"/>
      <w:marRight w:val="0"/>
      <w:marTop w:val="0"/>
      <w:marBottom w:val="0"/>
      <w:divBdr>
        <w:top w:val="none" w:sz="0" w:space="0" w:color="auto"/>
        <w:left w:val="none" w:sz="0" w:space="0" w:color="auto"/>
        <w:bottom w:val="none" w:sz="0" w:space="0" w:color="auto"/>
        <w:right w:val="none" w:sz="0" w:space="0" w:color="auto"/>
      </w:divBdr>
    </w:div>
    <w:div w:id="540365644">
      <w:bodyDiv w:val="1"/>
      <w:marLeft w:val="0"/>
      <w:marRight w:val="0"/>
      <w:marTop w:val="0"/>
      <w:marBottom w:val="0"/>
      <w:divBdr>
        <w:top w:val="none" w:sz="0" w:space="0" w:color="auto"/>
        <w:left w:val="none" w:sz="0" w:space="0" w:color="auto"/>
        <w:bottom w:val="none" w:sz="0" w:space="0" w:color="auto"/>
        <w:right w:val="none" w:sz="0" w:space="0" w:color="auto"/>
      </w:divBdr>
    </w:div>
    <w:div w:id="540754162">
      <w:bodyDiv w:val="1"/>
      <w:marLeft w:val="0"/>
      <w:marRight w:val="0"/>
      <w:marTop w:val="0"/>
      <w:marBottom w:val="0"/>
      <w:divBdr>
        <w:top w:val="none" w:sz="0" w:space="0" w:color="auto"/>
        <w:left w:val="none" w:sz="0" w:space="0" w:color="auto"/>
        <w:bottom w:val="none" w:sz="0" w:space="0" w:color="auto"/>
        <w:right w:val="none" w:sz="0" w:space="0" w:color="auto"/>
      </w:divBdr>
    </w:div>
    <w:div w:id="567302315">
      <w:bodyDiv w:val="1"/>
      <w:marLeft w:val="0"/>
      <w:marRight w:val="0"/>
      <w:marTop w:val="0"/>
      <w:marBottom w:val="0"/>
      <w:divBdr>
        <w:top w:val="none" w:sz="0" w:space="0" w:color="auto"/>
        <w:left w:val="none" w:sz="0" w:space="0" w:color="auto"/>
        <w:bottom w:val="none" w:sz="0" w:space="0" w:color="auto"/>
        <w:right w:val="none" w:sz="0" w:space="0" w:color="auto"/>
      </w:divBdr>
    </w:div>
    <w:div w:id="849029274">
      <w:bodyDiv w:val="1"/>
      <w:marLeft w:val="0"/>
      <w:marRight w:val="0"/>
      <w:marTop w:val="0"/>
      <w:marBottom w:val="0"/>
      <w:divBdr>
        <w:top w:val="none" w:sz="0" w:space="0" w:color="auto"/>
        <w:left w:val="none" w:sz="0" w:space="0" w:color="auto"/>
        <w:bottom w:val="none" w:sz="0" w:space="0" w:color="auto"/>
        <w:right w:val="none" w:sz="0" w:space="0" w:color="auto"/>
      </w:divBdr>
    </w:div>
    <w:div w:id="955261173">
      <w:bodyDiv w:val="1"/>
      <w:marLeft w:val="0"/>
      <w:marRight w:val="0"/>
      <w:marTop w:val="0"/>
      <w:marBottom w:val="0"/>
      <w:divBdr>
        <w:top w:val="none" w:sz="0" w:space="0" w:color="auto"/>
        <w:left w:val="none" w:sz="0" w:space="0" w:color="auto"/>
        <w:bottom w:val="none" w:sz="0" w:space="0" w:color="auto"/>
        <w:right w:val="none" w:sz="0" w:space="0" w:color="auto"/>
      </w:divBdr>
    </w:div>
    <w:div w:id="965543124">
      <w:bodyDiv w:val="1"/>
      <w:marLeft w:val="0"/>
      <w:marRight w:val="0"/>
      <w:marTop w:val="0"/>
      <w:marBottom w:val="0"/>
      <w:divBdr>
        <w:top w:val="none" w:sz="0" w:space="0" w:color="auto"/>
        <w:left w:val="none" w:sz="0" w:space="0" w:color="auto"/>
        <w:bottom w:val="none" w:sz="0" w:space="0" w:color="auto"/>
        <w:right w:val="none" w:sz="0" w:space="0" w:color="auto"/>
      </w:divBdr>
    </w:div>
    <w:div w:id="983237410">
      <w:bodyDiv w:val="1"/>
      <w:marLeft w:val="0"/>
      <w:marRight w:val="0"/>
      <w:marTop w:val="0"/>
      <w:marBottom w:val="0"/>
      <w:divBdr>
        <w:top w:val="none" w:sz="0" w:space="0" w:color="auto"/>
        <w:left w:val="none" w:sz="0" w:space="0" w:color="auto"/>
        <w:bottom w:val="none" w:sz="0" w:space="0" w:color="auto"/>
        <w:right w:val="none" w:sz="0" w:space="0" w:color="auto"/>
      </w:divBdr>
    </w:div>
    <w:div w:id="994723520">
      <w:bodyDiv w:val="1"/>
      <w:marLeft w:val="0"/>
      <w:marRight w:val="0"/>
      <w:marTop w:val="0"/>
      <w:marBottom w:val="0"/>
      <w:divBdr>
        <w:top w:val="none" w:sz="0" w:space="0" w:color="auto"/>
        <w:left w:val="none" w:sz="0" w:space="0" w:color="auto"/>
        <w:bottom w:val="none" w:sz="0" w:space="0" w:color="auto"/>
        <w:right w:val="none" w:sz="0" w:space="0" w:color="auto"/>
      </w:divBdr>
    </w:div>
    <w:div w:id="1043671855">
      <w:bodyDiv w:val="1"/>
      <w:marLeft w:val="0"/>
      <w:marRight w:val="0"/>
      <w:marTop w:val="0"/>
      <w:marBottom w:val="0"/>
      <w:divBdr>
        <w:top w:val="none" w:sz="0" w:space="0" w:color="auto"/>
        <w:left w:val="none" w:sz="0" w:space="0" w:color="auto"/>
        <w:bottom w:val="none" w:sz="0" w:space="0" w:color="auto"/>
        <w:right w:val="none" w:sz="0" w:space="0" w:color="auto"/>
      </w:divBdr>
    </w:div>
    <w:div w:id="1075857802">
      <w:bodyDiv w:val="1"/>
      <w:marLeft w:val="0"/>
      <w:marRight w:val="0"/>
      <w:marTop w:val="0"/>
      <w:marBottom w:val="0"/>
      <w:divBdr>
        <w:top w:val="none" w:sz="0" w:space="0" w:color="auto"/>
        <w:left w:val="none" w:sz="0" w:space="0" w:color="auto"/>
        <w:bottom w:val="none" w:sz="0" w:space="0" w:color="auto"/>
        <w:right w:val="none" w:sz="0" w:space="0" w:color="auto"/>
      </w:divBdr>
    </w:div>
    <w:div w:id="1250115522">
      <w:bodyDiv w:val="1"/>
      <w:marLeft w:val="0"/>
      <w:marRight w:val="0"/>
      <w:marTop w:val="0"/>
      <w:marBottom w:val="0"/>
      <w:divBdr>
        <w:top w:val="none" w:sz="0" w:space="0" w:color="auto"/>
        <w:left w:val="none" w:sz="0" w:space="0" w:color="auto"/>
        <w:bottom w:val="none" w:sz="0" w:space="0" w:color="auto"/>
        <w:right w:val="none" w:sz="0" w:space="0" w:color="auto"/>
      </w:divBdr>
    </w:div>
    <w:div w:id="1316494247">
      <w:bodyDiv w:val="1"/>
      <w:marLeft w:val="0"/>
      <w:marRight w:val="0"/>
      <w:marTop w:val="0"/>
      <w:marBottom w:val="0"/>
      <w:divBdr>
        <w:top w:val="none" w:sz="0" w:space="0" w:color="auto"/>
        <w:left w:val="none" w:sz="0" w:space="0" w:color="auto"/>
        <w:bottom w:val="none" w:sz="0" w:space="0" w:color="auto"/>
        <w:right w:val="none" w:sz="0" w:space="0" w:color="auto"/>
      </w:divBdr>
    </w:div>
    <w:div w:id="1420519437">
      <w:bodyDiv w:val="1"/>
      <w:marLeft w:val="0"/>
      <w:marRight w:val="0"/>
      <w:marTop w:val="0"/>
      <w:marBottom w:val="0"/>
      <w:divBdr>
        <w:top w:val="none" w:sz="0" w:space="0" w:color="auto"/>
        <w:left w:val="none" w:sz="0" w:space="0" w:color="auto"/>
        <w:bottom w:val="none" w:sz="0" w:space="0" w:color="auto"/>
        <w:right w:val="none" w:sz="0" w:space="0" w:color="auto"/>
      </w:divBdr>
    </w:div>
    <w:div w:id="1423836204">
      <w:bodyDiv w:val="1"/>
      <w:marLeft w:val="0"/>
      <w:marRight w:val="0"/>
      <w:marTop w:val="0"/>
      <w:marBottom w:val="0"/>
      <w:divBdr>
        <w:top w:val="none" w:sz="0" w:space="0" w:color="auto"/>
        <w:left w:val="none" w:sz="0" w:space="0" w:color="auto"/>
        <w:bottom w:val="none" w:sz="0" w:space="0" w:color="auto"/>
        <w:right w:val="none" w:sz="0" w:space="0" w:color="auto"/>
      </w:divBdr>
    </w:div>
    <w:div w:id="1485316618">
      <w:bodyDiv w:val="1"/>
      <w:marLeft w:val="0"/>
      <w:marRight w:val="0"/>
      <w:marTop w:val="0"/>
      <w:marBottom w:val="0"/>
      <w:divBdr>
        <w:top w:val="none" w:sz="0" w:space="0" w:color="auto"/>
        <w:left w:val="none" w:sz="0" w:space="0" w:color="auto"/>
        <w:bottom w:val="none" w:sz="0" w:space="0" w:color="auto"/>
        <w:right w:val="none" w:sz="0" w:space="0" w:color="auto"/>
      </w:divBdr>
      <w:divsChild>
        <w:div w:id="241568064">
          <w:marLeft w:val="360"/>
          <w:marRight w:val="0"/>
          <w:marTop w:val="200"/>
          <w:marBottom w:val="0"/>
          <w:divBdr>
            <w:top w:val="none" w:sz="0" w:space="0" w:color="auto"/>
            <w:left w:val="none" w:sz="0" w:space="0" w:color="auto"/>
            <w:bottom w:val="none" w:sz="0" w:space="0" w:color="auto"/>
            <w:right w:val="none" w:sz="0" w:space="0" w:color="auto"/>
          </w:divBdr>
        </w:div>
      </w:divsChild>
    </w:div>
    <w:div w:id="1592011389">
      <w:bodyDiv w:val="1"/>
      <w:marLeft w:val="0"/>
      <w:marRight w:val="0"/>
      <w:marTop w:val="0"/>
      <w:marBottom w:val="0"/>
      <w:divBdr>
        <w:top w:val="none" w:sz="0" w:space="0" w:color="auto"/>
        <w:left w:val="none" w:sz="0" w:space="0" w:color="auto"/>
        <w:bottom w:val="none" w:sz="0" w:space="0" w:color="auto"/>
        <w:right w:val="none" w:sz="0" w:space="0" w:color="auto"/>
      </w:divBdr>
    </w:div>
    <w:div w:id="1713456539">
      <w:bodyDiv w:val="1"/>
      <w:marLeft w:val="0"/>
      <w:marRight w:val="0"/>
      <w:marTop w:val="0"/>
      <w:marBottom w:val="0"/>
      <w:divBdr>
        <w:top w:val="none" w:sz="0" w:space="0" w:color="auto"/>
        <w:left w:val="none" w:sz="0" w:space="0" w:color="auto"/>
        <w:bottom w:val="none" w:sz="0" w:space="0" w:color="auto"/>
        <w:right w:val="none" w:sz="0" w:space="0" w:color="auto"/>
      </w:divBdr>
    </w:div>
    <w:div w:id="1845902973">
      <w:bodyDiv w:val="1"/>
      <w:marLeft w:val="0"/>
      <w:marRight w:val="0"/>
      <w:marTop w:val="0"/>
      <w:marBottom w:val="0"/>
      <w:divBdr>
        <w:top w:val="none" w:sz="0" w:space="0" w:color="auto"/>
        <w:left w:val="none" w:sz="0" w:space="0" w:color="auto"/>
        <w:bottom w:val="none" w:sz="0" w:space="0" w:color="auto"/>
        <w:right w:val="none" w:sz="0" w:space="0" w:color="auto"/>
      </w:divBdr>
    </w:div>
    <w:div w:id="1846045309">
      <w:bodyDiv w:val="1"/>
      <w:marLeft w:val="0"/>
      <w:marRight w:val="0"/>
      <w:marTop w:val="0"/>
      <w:marBottom w:val="0"/>
      <w:divBdr>
        <w:top w:val="none" w:sz="0" w:space="0" w:color="auto"/>
        <w:left w:val="none" w:sz="0" w:space="0" w:color="auto"/>
        <w:bottom w:val="none" w:sz="0" w:space="0" w:color="auto"/>
        <w:right w:val="none" w:sz="0" w:space="0" w:color="auto"/>
      </w:divBdr>
    </w:div>
    <w:div w:id="1942370332">
      <w:bodyDiv w:val="1"/>
      <w:marLeft w:val="0"/>
      <w:marRight w:val="0"/>
      <w:marTop w:val="0"/>
      <w:marBottom w:val="0"/>
      <w:divBdr>
        <w:top w:val="none" w:sz="0" w:space="0" w:color="auto"/>
        <w:left w:val="none" w:sz="0" w:space="0" w:color="auto"/>
        <w:bottom w:val="none" w:sz="0" w:space="0" w:color="auto"/>
        <w:right w:val="none" w:sz="0" w:space="0" w:color="auto"/>
      </w:divBdr>
    </w:div>
    <w:div w:id="1967195998">
      <w:bodyDiv w:val="1"/>
      <w:marLeft w:val="0"/>
      <w:marRight w:val="0"/>
      <w:marTop w:val="0"/>
      <w:marBottom w:val="0"/>
      <w:divBdr>
        <w:top w:val="none" w:sz="0" w:space="0" w:color="auto"/>
        <w:left w:val="none" w:sz="0" w:space="0" w:color="auto"/>
        <w:bottom w:val="none" w:sz="0" w:space="0" w:color="auto"/>
        <w:right w:val="none" w:sz="0" w:space="0" w:color="auto"/>
      </w:divBdr>
    </w:div>
    <w:div w:id="1975989284">
      <w:bodyDiv w:val="1"/>
      <w:marLeft w:val="0"/>
      <w:marRight w:val="0"/>
      <w:marTop w:val="0"/>
      <w:marBottom w:val="0"/>
      <w:divBdr>
        <w:top w:val="none" w:sz="0" w:space="0" w:color="auto"/>
        <w:left w:val="none" w:sz="0" w:space="0" w:color="auto"/>
        <w:bottom w:val="none" w:sz="0" w:space="0" w:color="auto"/>
        <w:right w:val="none" w:sz="0" w:space="0" w:color="auto"/>
      </w:divBdr>
    </w:div>
    <w:div w:id="1982228720">
      <w:bodyDiv w:val="1"/>
      <w:marLeft w:val="0"/>
      <w:marRight w:val="0"/>
      <w:marTop w:val="0"/>
      <w:marBottom w:val="0"/>
      <w:divBdr>
        <w:top w:val="none" w:sz="0" w:space="0" w:color="auto"/>
        <w:left w:val="none" w:sz="0" w:space="0" w:color="auto"/>
        <w:bottom w:val="none" w:sz="0" w:space="0" w:color="auto"/>
        <w:right w:val="none" w:sz="0" w:space="0" w:color="auto"/>
      </w:divBdr>
    </w:div>
    <w:div w:id="2036148620">
      <w:bodyDiv w:val="1"/>
      <w:marLeft w:val="0"/>
      <w:marRight w:val="0"/>
      <w:marTop w:val="0"/>
      <w:marBottom w:val="0"/>
      <w:divBdr>
        <w:top w:val="none" w:sz="0" w:space="0" w:color="auto"/>
        <w:left w:val="none" w:sz="0" w:space="0" w:color="auto"/>
        <w:bottom w:val="none" w:sz="0" w:space="0" w:color="auto"/>
        <w:right w:val="none" w:sz="0" w:space="0" w:color="auto"/>
      </w:divBdr>
    </w:div>
    <w:div w:id="2112314912">
      <w:bodyDiv w:val="1"/>
      <w:marLeft w:val="0"/>
      <w:marRight w:val="0"/>
      <w:marTop w:val="0"/>
      <w:marBottom w:val="0"/>
      <w:divBdr>
        <w:top w:val="none" w:sz="0" w:space="0" w:color="auto"/>
        <w:left w:val="none" w:sz="0" w:space="0" w:color="auto"/>
        <w:bottom w:val="none" w:sz="0" w:space="0" w:color="auto"/>
        <w:right w:val="none" w:sz="0" w:space="0" w:color="auto"/>
      </w:divBdr>
    </w:div>
    <w:div w:id="2112436448">
      <w:bodyDiv w:val="1"/>
      <w:marLeft w:val="0"/>
      <w:marRight w:val="0"/>
      <w:marTop w:val="0"/>
      <w:marBottom w:val="0"/>
      <w:divBdr>
        <w:top w:val="none" w:sz="0" w:space="0" w:color="auto"/>
        <w:left w:val="none" w:sz="0" w:space="0" w:color="auto"/>
        <w:bottom w:val="none" w:sz="0" w:space="0" w:color="auto"/>
        <w:right w:val="none" w:sz="0" w:space="0" w:color="auto"/>
      </w:divBdr>
    </w:div>
    <w:div w:id="21157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iaoxiong.scu@sc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5F57-DC99-46A3-9073-CF345235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林</dc:creator>
  <cp:keywords/>
  <dc:description/>
  <cp:lastModifiedBy>陈 林</cp:lastModifiedBy>
  <cp:revision>59</cp:revision>
  <dcterms:created xsi:type="dcterms:W3CDTF">2021-12-12T03:08:00Z</dcterms:created>
  <dcterms:modified xsi:type="dcterms:W3CDTF">2022-04-03T14:10:00Z</dcterms:modified>
</cp:coreProperties>
</file>