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iragino Sans GB" w:hAnsi="Hiragino Sans GB" w:eastAsia="Hiragino Sans GB"/>
          <w:b/>
          <w:sz w:val="34"/>
        </w:rPr>
        <w:t>WBF 模块1 人工测试设计框架 2.0</w:t>
      </w:r>
    </w:p>
    <w:p>
      <w:pPr>
        <w:jc w:val="center"/>
      </w:pPr>
      <w:r>
        <w:rPr>
          <w:rFonts w:ascii="Hiragino Sans GB" w:hAnsi="Hiragino Sans GB" w:eastAsia="Hiragino Sans GB"/>
          <w:sz w:val="21"/>
        </w:rPr>
        <w:t>被测对象：ensemble_boxes/ensemble_boxes_wbf.py 中 weighted_boxes_fusion() 核心模块</w:t>
      </w:r>
    </w:p>
    <w:p>
      <w:r>
        <w:rPr>
          <w:rFonts w:ascii="Hiragino Sans GB" w:hAnsi="Hiragino Sans GB" w:eastAsia="Hiragino Sans GB"/>
          <w:b/>
        </w:rPr>
        <w:t>使用说明：本表包含30个人工测试设计方向，覆盖基础功能、边界值和典型异常。具体输入、独立预期依据、实际结果及 PASS/FAIL 尚需补齐；未注明的基础用例使用 conf_type='avg'。标记“★缺陷候选”的条目仅表示优先验证，不代表已确认 Bug；不得为追求全部通过而将错误行为改写为合理预期。</w:t>
      </w:r>
      <w:r>
        <w:rPr>
          <w:rFonts w:ascii="Hiragino Sans GB" w:hAnsi="Hiragino Sans GB" w:eastAsia="Hiragino Sans GB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231"/>
        <w:gridCol w:w="1417"/>
        <w:gridCol w:w="7937"/>
        <w:gridCol w:w="1247"/>
      </w:tblGrid>
      <w:tr>
        <w:trPr>
          <w:tblHeader w:val="true"/>
          <w:cantSplit w:val="true"/>
          <w:cantSplit/>
          <w:tblHeader/>
        </w:trP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人工测试方向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测试方法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人工需填写/核对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缺陷价值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01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单模型、单个合法框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输入框、分数、类别；核对输出形状与数值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02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双模型、完全相同且同类别的框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场景法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输入值；核对是否融合及融合分数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03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双模型、完全不重叠的同类别框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场景法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输入值；核对是否保持两个独立输出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04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坐标完全相同但类别不同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场景法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类别设置；核对不同类别是否隔离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05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同类别，IoU 明显大于阈值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IoU、阈值；核对是否融合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06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同类别，IoU 明显小于阈值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IoU、阈值；核对是否不融合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07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IoU 恰好等于阈值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构造等值边界；核对严格大于关系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08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iou_thr = 0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构造接触/不重叠框；核对聚类结果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09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iou_thr = 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完全重合框；核对阈值为 1 时的行为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10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score 明显高于 skip_box_thr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分数、阈值；核对框被保留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11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score 明显低于 skip_box_thr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分数、阈值；核对框被过滤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score 恰好等于 skip_box_thr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等值输入；核对严格小于过滤关系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13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框坐标恰好覆盖 0 和 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边界坐标；核对不被错误裁剪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14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x1 &gt; x2，横向端点反向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记录警告、修正后的坐标与输出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15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y1 &gt; y2，纵向端点反向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记录警告、修正后的坐标与输出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16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坐标小于 0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边界/异常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记录是否裁剪到 0、是否告警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17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坐标大于 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边界/异常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记录是否裁剪到 1、是否告警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18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零面积框（零宽度或零高度）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记录是否告警并丢弃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19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boxes_list 为空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核对三个空数组的形状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20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某一个模型没有任何框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场景法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核对其他模型结果以及最终分数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21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weights = None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核对是否自动采用全 1 权重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22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合法不同模型权重下的融合坐标与分数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场景法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两模型各一个同类高重叠框，使用不同正权重及不同坐标；按分数×权重手算融合坐标及默认avg最终分数，设置浮点误差容限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23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某模型 boxes 数量与 scores 数量不一致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记录异常类型、错误信息及是否直接终止进程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24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某模型 boxes 数量与 labels 数量不一致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记录异常类型、错误信息及是否直接终止进程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25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单个框只有 3 个坐标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记录实际异常；判断是否缺少明确输入校验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26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两个完全重合的同类框，score均为0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边界值/异常场景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固定输入：boxes=[[[0.1,0.1,0.5,0.5]],[[0.1,0.1,0.5,0.5]]]，scores=[[0],[0]]，labels=[[1],[1]]，weights=[1,1]，skip_box_thr=0，iou_thr=0.55，conf_type='avg'。检查融合除零及NaN；明确零贡献框应丢弃还是拒绝等预期依据，不能默认已有保护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27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合法输入下allows_overflow=False仍可能得分超1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场景法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两模型权重[2,1]；第一模型有两个完全相同的框[0.1,0.1,0.5,0.5]，分数均0.9、类别均1；第二模型三组输入均为空。conf_type='avg'，allows_overflow=False，iou_thr=0.55，skip_box_thr=0。参数说明期望分数不超过1；源码静态推导约1.2，执行后记录差异与证据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28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所有输入模型权重均为0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两模型各一个完全重合的合法同类框，分数均0.9，weights=[0,0]，conf_type='avg'，iou_thr=0.55，skip_box_thr=0。检查除零、NaN/Inf及异常分数；先明确全零权重的拒绝或处理契约。部分权重为0另列补充测试，不混为同一配置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29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合法conf_type='max'的融合坐标与最终分数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等价类/场景法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两模型各一个同类高重叠框，使用不同坐标、正分数及不同正权重。坐标按分数×权重求加权平均；最终分数按max(score×weight)/max(所有模型权重)手算，不能直接取最高分框的坐标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基础</w:t>
            </w:r>
          </w:p>
        </w:tc>
      </w:tr>
      <w:tr>
        <w:trPr>
          <w:cantSplit w:val="true"/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30</w:t>
            </w:r>
          </w:p>
        </w:tc>
        <w:tc>
          <w:tcPr>
            <w:tcW w:type="dxa" w:w="3231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conf_type 使用不支持的字符串</w:t>
            </w:r>
          </w:p>
        </w:tc>
        <w:tc>
          <w:tcPr>
            <w:tcW w:type="dxa" w:w="141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异常场景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记录是否直接 exit；判断库函数异常处理是否合理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★缺陷候选</w:t>
            </w:r>
          </w:p>
        </w:tc>
      </w:tr>
    </w:tbl>
    <w:p>
      <w:r>
        <w:rPr>
          <w:rFonts w:ascii="Hiragino Sans GB" w:hAnsi="Hiragino Sans GB" w:eastAsia="Hiragino Sans GB"/>
          <w:b/>
          <w:sz w:val="24"/>
        </w:rPr>
        <w:t>缺陷验证与执行说明</w:t>
      </w:r>
    </w:p>
    <w:p>
      <w:pPr>
        <w:pStyle w:val="ListBullet"/>
      </w:pPr>
      <w:r>
        <w:rPr>
          <w:rFonts w:ascii="Hiragino Sans GB" w:hAnsi="Hiragino Sans GB" w:eastAsia="Hiragino Sans GB"/>
        </w:rPr>
        <w:t>23—28及30共7个方向作为候选问题验证项，其中26、27优先验证。候选用例数量不等于独立缺陷数量；23、24、30的退出行为可能属于同类问题，应按根因归并。基础用例验证正常行为，缺陷用例允许在原版中失败，再用相同输入与断言验证修改版。</w:t>
      </w:r>
    </w:p>
    <w:p>
      <w:pPr>
        <w:pStyle w:val="ListBullet"/>
      </w:pPr>
      <w:r>
        <w:rPr>
          <w:rFonts w:ascii="Hiragino Sans GB" w:hAnsi="Hiragino Sans GB" w:eastAsia="Hiragino Sans GB"/>
        </w:rPr>
        <w:t>只有“实际结果与明确需求/合理接口契约不一致，并且可稳定复现”的问题才进入缺陷清单。警告、性能局限或设计取舍不能自动算 Bug。</w:t>
      </w:r>
    </w:p>
    <w:p>
      <w:pPr>
        <w:pStyle w:val="ListBullet"/>
      </w:pPr>
      <w:r>
        <w:rPr>
          <w:rFonts w:ascii="Hiragino Sans GB" w:hAnsi="Hiragino Sans GB" w:eastAsia="Hiragino Sans GB"/>
        </w:rPr>
        <w:t>每个确认缺陷必须保存：测试输入、预期结果、实际结果、复现步骤、失败截图/日志、原因分析、修复提交、回归测试结果。</w:t>
      </w:r>
    </w:p>
    <w:p>
      <w:pPr>
        <w:pStyle w:val="ListBullet"/>
      </w:pPr>
      <w:r>
        <w:rPr>
          <w:rFonts w:ascii="Hiragino Sans GB" w:hAnsi="Hiragino Sans GB" w:eastAsia="Hiragino Sans GB"/>
        </w:rPr>
        <w:t>模块1采用固定、可手算的输入并保留设计来源及原版执行记录；若采用AI建议，应如实记录辅助来源。模块2（AI测）重点补充组合异常、NaN/Inf、多参数耦合、随机、属性、变形测试及顺序敏感性。修改版应复用基线用例验证回归，另行标记AI新增测试及有依据的接口预期变更。</w:t>
      </w:r>
    </w:p>
    <w:sectPr w:rsidR="00FC693F" w:rsidRPr="0006063C" w:rsidSect="00034616">
      <w:pgSz w:w="16838" w:h="11906" w:orient="landscape"/>
      <w:pgMar w:top="765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