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26604">
      <w:pPr>
        <w:pStyle w:val="2"/>
        <w:keepNext w:val="0"/>
        <w:keepLines w:val="0"/>
        <w:widowControl/>
        <w:suppressLineNumbers w:val="0"/>
        <w:shd w:val="clear" w:fill="FFFFFF"/>
        <w:snapToGrid/>
        <w:spacing w:before="384" w:beforeAutospacing="0" w:after="192" w:afterAutospacing="0" w:line="408" w:lineRule="atLeast"/>
        <w:ind w:left="0" w:leftChars="0" w:right="0" w:rightChars="0" w:firstLine="0" w:firstLineChars="0"/>
        <w:jc w:val="center"/>
        <w:rPr>
          <w:rFonts w:ascii="仿宋" w:hAnsi="Segoe UI" w:eastAsia="仿宋" w:cs="Segoe UI"/>
          <w:b/>
          <w:bCs/>
          <w:caps w:val="0"/>
          <w:color w:val="auto"/>
          <w:spacing w:val="0"/>
          <w:sz w:val="36"/>
          <w:szCs w:val="28"/>
        </w:rPr>
      </w:pPr>
      <w:r>
        <w:rPr>
          <w:rFonts w:hint="default" w:ascii="仿宋" w:hAnsi="Segoe UI" w:eastAsia="仿宋" w:cs="Segoe UI"/>
          <w:b/>
          <w:bCs/>
          <w:caps w:val="0"/>
          <w:color w:val="auto"/>
          <w:spacing w:val="0"/>
          <w:sz w:val="36"/>
          <w:szCs w:val="28"/>
          <w:shd w:val="clear" w:fill="FFFFFF"/>
        </w:rPr>
        <w:t>FinControl 技术设计文档</w:t>
      </w:r>
    </w:p>
    <w:p w14:paraId="6B5F5DB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sz w:val="24"/>
          <w:szCs w:val="19"/>
          <w:shd w:val="clear" w:fill="FFFFFF"/>
          <w:lang w:eastAsia="zh-CN"/>
        </w:rPr>
      </w:pPr>
      <w:r>
        <w:rPr>
          <w:rFonts w:hint="default" w:ascii="仿宋" w:hAnsi="Segoe UI" w:eastAsia="仿宋" w:cs="Segoe UI"/>
          <w:i w:val="0"/>
          <w:iCs w:val="0"/>
          <w:caps w:val="0"/>
          <w:color w:val="auto"/>
          <w:spacing w:val="0"/>
          <w:sz w:val="24"/>
          <w:szCs w:val="19"/>
          <w:shd w:val="clear" w:fill="FFFFFF"/>
        </w:rPr>
        <w:t>版本：v2.0</w:t>
      </w:r>
    </w:p>
    <w:p w14:paraId="22A111F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sz w:val="24"/>
          <w:szCs w:val="19"/>
          <w:shd w:val="clear" w:fill="FFFFFF"/>
          <w:lang w:eastAsia="zh-CN"/>
        </w:rPr>
      </w:pPr>
      <w:r>
        <w:rPr>
          <w:rFonts w:hint="default" w:ascii="仿宋" w:hAnsi="Segoe UI" w:eastAsia="仿宋" w:cs="Segoe UI"/>
          <w:i w:val="0"/>
          <w:iCs w:val="0"/>
          <w:caps w:val="0"/>
          <w:color w:val="auto"/>
          <w:spacing w:val="0"/>
          <w:sz w:val="24"/>
          <w:szCs w:val="19"/>
          <w:shd w:val="clear" w:fill="FFFFFF"/>
        </w:rPr>
        <w:t>日期：2026年6月10日</w:t>
      </w:r>
    </w:p>
    <w:p w14:paraId="5D438EF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sz w:val="24"/>
          <w:szCs w:val="19"/>
          <w:shd w:val="clear" w:fill="FFFFFF"/>
          <w:lang w:eastAsia="zh-CN"/>
        </w:rPr>
      </w:pPr>
      <w:r>
        <w:rPr>
          <w:rFonts w:hint="default" w:ascii="仿宋" w:hAnsi="Segoe UI" w:eastAsia="仿宋" w:cs="Segoe UI"/>
          <w:i w:val="0"/>
          <w:iCs w:val="0"/>
          <w:caps w:val="0"/>
          <w:color w:val="auto"/>
          <w:spacing w:val="0"/>
          <w:sz w:val="24"/>
          <w:szCs w:val="19"/>
          <w:shd w:val="clear" w:fill="FFFFFF"/>
        </w:rPr>
        <w:t>状态：设计基线已确认，设计知识完整覆盖，待启动Phase 1开发</w:t>
      </w:r>
    </w:p>
    <w:p w14:paraId="5976B39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作者：刘博丞</w:t>
      </w:r>
    </w:p>
    <w:p w14:paraId="737EF0F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hAnsi="Segoe UI" w:eastAsia="仿宋" w:cs="Segoe UI"/>
          <w:i w:val="0"/>
          <w:iCs w:val="0"/>
          <w:caps w:val="0"/>
          <w:color w:val="0F1115"/>
          <w:spacing w:val="0"/>
          <w:sz w:val="24"/>
          <w:szCs w:val="19"/>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1DDB045">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第一章 项目背景与设计哲学</w:t>
      </w:r>
    </w:p>
    <w:p w14:paraId="6491844F">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1.1 项目的起源：从“手动”到“自动”的必然跨越</w:t>
      </w:r>
    </w:p>
    <w:p w14:paraId="0CAB31E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自2025年10月起，我开始以个人支付宝账户为实验平台，执行ZOH采样保持定投架构。这一过程中，我需要每日记录六大类资产的持仓数据，以便追踪比例演化、计算累计净值、验证算法的收敛趋势。</w:t>
      </w:r>
    </w:p>
    <w:p w14:paraId="2B43563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最初的数据采集方式是：手机截图支付宝资产页 → 上传至DeepSeek网页版 → 手动复制AI返回的表格数据 → 粘贴到Excel中整理。这套流程每日耗时约3-5分钟，且存在以下痛点：</w:t>
      </w:r>
    </w:p>
    <w:p w14:paraId="5B83E588">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数据一致性风险</w:t>
      </w:r>
      <w:r>
        <w:rPr>
          <w:rFonts w:hint="default" w:ascii="仿宋" w:hAnsi="Segoe UI" w:eastAsia="仿宋" w:cs="Segoe UI"/>
          <w:i w:val="0"/>
          <w:iCs w:val="0"/>
          <w:caps w:val="0"/>
          <w:color w:val="auto"/>
          <w:spacing w:val="0"/>
          <w:sz w:val="24"/>
          <w:szCs w:val="19"/>
          <w:shd w:val="clear" w:fill="FFFFFF"/>
        </w:rPr>
        <w:t>：人工复制粘贴不可避免地引入格式错误、数字遗漏等问题</w:t>
      </w:r>
    </w:p>
    <w:p w14:paraId="7513E398">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历史回溯困难</w:t>
      </w:r>
      <w:r>
        <w:rPr>
          <w:rFonts w:hint="default" w:ascii="仿宋" w:hAnsi="Segoe UI" w:eastAsia="仿宋" w:cs="Segoe UI"/>
          <w:i w:val="0"/>
          <w:iCs w:val="0"/>
          <w:caps w:val="0"/>
          <w:color w:val="auto"/>
          <w:spacing w:val="0"/>
          <w:sz w:val="24"/>
          <w:szCs w:val="19"/>
          <w:shd w:val="clear" w:fill="FFFFFF"/>
        </w:rPr>
        <w:t>：数据散落在聊天记录和Excel文件中，难以聚合查询</w:t>
      </w:r>
    </w:p>
    <w:p w14:paraId="6EEC73C6">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实时性不足</w:t>
      </w:r>
      <w:r>
        <w:rPr>
          <w:rFonts w:hint="default" w:ascii="仿宋" w:hAnsi="Segoe UI" w:eastAsia="仿宋" w:cs="Segoe UI"/>
          <w:i w:val="0"/>
          <w:iCs w:val="0"/>
          <w:caps w:val="0"/>
          <w:color w:val="auto"/>
          <w:spacing w:val="0"/>
          <w:sz w:val="24"/>
          <w:szCs w:val="19"/>
          <w:shd w:val="clear" w:fill="FFFFFF"/>
        </w:rPr>
        <w:t>：无法即时计算比例偏离、触发再平衡提醒</w:t>
      </w:r>
    </w:p>
    <w:p w14:paraId="206459FE">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策略验证滞后</w:t>
      </w:r>
      <w:r>
        <w:rPr>
          <w:rFonts w:hint="default" w:ascii="仿宋" w:hAnsi="Segoe UI" w:eastAsia="仿宋" w:cs="Segoe UI"/>
          <w:i w:val="0"/>
          <w:iCs w:val="0"/>
          <w:caps w:val="0"/>
          <w:color w:val="auto"/>
          <w:spacing w:val="0"/>
          <w:sz w:val="24"/>
          <w:szCs w:val="19"/>
          <w:shd w:val="clear" w:fill="FFFFFF"/>
        </w:rPr>
        <w:t>：需要手动拉取数据再做分析，无法实时监控策略执行效</w:t>
      </w:r>
    </w:p>
    <w:p w14:paraId="45DEFE0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2026年4月，我在HarmonyOS平台上开发了微控金融（鸿蒙版），首次将资产数据展示、比例演化看板、月度操作台等功能集成到一个移动端应用中。但该版本存在架构层面的局限：数据硬编码在前端、缺少持久化存储、无法处理大规模的截图解析需求。</w:t>
      </w:r>
    </w:p>
    <w:p w14:paraId="7843D63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FinControl的诞生，正是为了解决这些问题。它将数据采集从“手动”升级为“自动化流水线”，将存储从“前端内存”迁移到“MySQL数据库”，将展示从“手机屏幕”扩展到“Web浏览器”。它不是一个新项目，而是微控金融的自然进化——从原型验证到工程落地，从个人工具到可维护的系统。</w:t>
      </w:r>
    </w:p>
    <w:p w14:paraId="16CB4876">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1.2 系统定位</w:t>
      </w:r>
    </w:p>
    <w:p w14:paraId="6242857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FinControl不是一个记账工具，也不是一个通用理财App。它是一个以控制论为理论基础、以真实个人账户为实验平台、以数学求解器为核心引擎的个人资产配置控制系统。它不预测市场，不推荐股票，不指导买卖时机。它只做一件事：在用户设定的目标比例框架下，每月初精确计算应该补仓多少金额。</w:t>
      </w:r>
    </w:p>
    <w:p w14:paraId="2690B0F1">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1.3 设计哲学</w:t>
      </w:r>
    </w:p>
    <w:p w14:paraId="3D04EF8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本系统的设计哲学，根植于从ZOH采样保持定投架构的理论推演、27天真实验证、以及行为金融学分析中提炼的四条根本原则：</w:t>
      </w:r>
    </w:p>
    <w:p w14:paraId="53928E7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542" w:firstLineChars="200"/>
        <w:jc w:val="both"/>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原则一：纪律 &gt; 预测</w:t>
      </w:r>
    </w:p>
    <w:p w14:paraId="3653DE3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不试图预测市场涨跌，用规则应对波动。系统的所有操作建议均来自精确的数学求解，而非对市场走势的主观判断。二元一次方程组的系数矩阵行列式恒不等于零，始终存在唯一解析解——这意味着在任何市场状态下，系统都能给出一个确定的、可执行的操作方案。</w:t>
      </w:r>
    </w:p>
    <w:p w14:paraId="3416969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542" w:firstLineChars="200"/>
        <w:jc w:val="both"/>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原则二：零摩擦优先</w:t>
      </w:r>
    </w:p>
    <w:p w14:paraId="72B6C34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不鼓励卖出，通过增量资金调整比例。低波动资产（货币类、固收类）在每月初被精确复位至目标比例，高波动资产（商品、A股、海外、港股）通过余额宝的自动定投功能匀速释放。整个过程中不涉及任何卖出操作，摩擦成本为零。</w:t>
      </w:r>
    </w:p>
    <w:p w14:paraId="3B41D87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542" w:firstLineChars="200"/>
        <w:jc w:val="both"/>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原则三：可计算性</w:t>
      </w:r>
    </w:p>
    <w:p w14:paraId="27CCE24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所有操作建议必须来自精确的数学求解，而非模糊的经验判断。二元一次方程组将六维资产配置问题降维为二维控制问题，仅需四则运算即可输出结果。三层约束处理规则（申购起点、现金流上限、取整误差）确保计算结果适配真实金融产品的物理约束。</w:t>
      </w:r>
    </w:p>
    <w:p w14:paraId="03A5DF4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542" w:firstLineChars="200"/>
        <w:jc w:val="both"/>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原则四：可验证性</w:t>
      </w:r>
    </w:p>
    <w:p w14:paraId="7CD5619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所有数据来源于真实账户，所有算法效果可通过实盘数据回溯验证。27天</w:t>
      </w:r>
      <w:r>
        <w:rPr>
          <w:rFonts w:hint="eastAsia" w:ascii="仿宋" w:hAnsi="Segoe UI" w:eastAsia="仿宋" w:cs="Segoe UI"/>
          <w:i w:val="0"/>
          <w:iCs w:val="0"/>
          <w:caps w:val="0"/>
          <w:color w:val="auto"/>
          <w:spacing w:val="0"/>
          <w:sz w:val="24"/>
          <w:szCs w:val="19"/>
          <w:shd w:val="clear" w:fill="FFFFFF"/>
          <w:lang w:eastAsia="zh-CN"/>
        </w:rPr>
        <w:t>（</w:t>
      </w:r>
      <w:r>
        <w:rPr>
          <w:rFonts w:hint="eastAsia" w:ascii="仿宋" w:hAnsi="Segoe UI" w:eastAsia="仿宋" w:cs="Segoe UI"/>
          <w:i w:val="0"/>
          <w:iCs w:val="0"/>
          <w:caps w:val="0"/>
          <w:color w:val="auto"/>
          <w:spacing w:val="0"/>
          <w:sz w:val="24"/>
          <w:szCs w:val="19"/>
          <w:shd w:val="clear" w:fill="FFFFFF"/>
          <w:lang w:val="en-US" w:eastAsia="zh-CN"/>
        </w:rPr>
        <w:t>截止本架构文档写作时，ZOH工作论文的实盘数据更新到了4月27号，故为27天，实际上实盘运行时间是从2026年4月1号开始，并且一直运行</w:t>
      </w:r>
      <w:r>
        <w:rPr>
          <w:rFonts w:hint="eastAsia" w:ascii="仿宋" w:hAnsi="Segoe UI" w:eastAsia="仿宋" w:cs="Segoe UI"/>
          <w:i w:val="0"/>
          <w:iCs w:val="0"/>
          <w:caps w:val="0"/>
          <w:color w:val="auto"/>
          <w:spacing w:val="0"/>
          <w:sz w:val="24"/>
          <w:szCs w:val="19"/>
          <w:shd w:val="clear" w:fill="FFFFFF"/>
          <w:lang w:eastAsia="zh-CN"/>
        </w:rPr>
        <w:t>）</w:t>
      </w:r>
      <w:r>
        <w:rPr>
          <w:rFonts w:hint="default" w:ascii="仿宋" w:hAnsi="Segoe UI" w:eastAsia="仿宋" w:cs="Segoe UI"/>
          <w:i w:val="0"/>
          <w:iCs w:val="0"/>
          <w:caps w:val="0"/>
          <w:color w:val="auto"/>
          <w:spacing w:val="0"/>
          <w:sz w:val="24"/>
          <w:szCs w:val="19"/>
          <w:shd w:val="clear" w:fill="FFFFFF"/>
        </w:rPr>
        <w:t>实盘运行日志完整记录了比例演化、余额宝余额消耗、执行噪声等关键数据，为架构的收敛性和鲁棒性提供了实证支撑。</w:t>
      </w:r>
    </w:p>
    <w:p w14:paraId="17351DA2">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1.4 与微控金融（鸿蒙版）的关系</w:t>
      </w:r>
    </w:p>
    <w:p w14:paraId="4BA7660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两个项目共享相同的理论基础（ZOH采样保持定投架构）、相同的核心算法（二元一次方程组求解器）、相同的真实数据源（个人支付宝账户）。但它们在技术实现和项目定位上存在本质差异：</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2"/>
        <w:gridCol w:w="4195"/>
        <w:gridCol w:w="3178"/>
      </w:tblGrid>
      <w:tr w14:paraId="7A326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B767D8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维度</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14629B">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微控金融（鸿蒙版）</w:t>
            </w:r>
          </w:p>
        </w:tc>
        <w:tc>
          <w:tcPr>
            <w:tcW w:w="317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027B7C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FinControl（Web版）</w:t>
            </w:r>
          </w:p>
        </w:tc>
      </w:tr>
      <w:tr w14:paraId="59D8B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4F8512E">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开发时间</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BB0997">
            <w:pPr>
              <w:keepNext w:val="0"/>
              <w:keepLines w:val="0"/>
              <w:widowControl/>
              <w:suppressLineNumbers w:val="0"/>
              <w:snapToGrid w:val="0"/>
              <w:spacing w:line="300" w:lineRule="atLeast"/>
              <w:jc w:val="left"/>
              <w:rPr>
                <w:rFonts w:hint="default" w:ascii="Segoe UI" w:hAnsi="Segoe UI" w:eastAsia="Segoe UI" w:cs="Segoe UI"/>
                <w:sz w:val="18"/>
                <w:szCs w:val="18"/>
                <w:lang w:val="en-US"/>
              </w:rPr>
            </w:pPr>
            <w:r>
              <w:rPr>
                <w:rFonts w:hint="default" w:ascii="Segoe UI" w:hAnsi="Segoe UI" w:eastAsia="Segoe UI" w:cs="Segoe UI"/>
                <w:kern w:val="0"/>
                <w:sz w:val="18"/>
                <w:szCs w:val="18"/>
                <w:lang w:val="en-US" w:eastAsia="zh-CN" w:bidi="ar"/>
              </w:rPr>
              <w:t>2026年4月</w:t>
            </w:r>
            <w:r>
              <w:rPr>
                <w:rFonts w:hint="eastAsia" w:ascii="Segoe UI" w:hAnsi="Segoe UI" w:eastAsia="Segoe UI" w:cs="Segoe UI"/>
                <w:kern w:val="0"/>
                <w:sz w:val="18"/>
                <w:szCs w:val="18"/>
                <w:lang w:val="en-US" w:eastAsia="zh-CN" w:bidi="ar"/>
              </w:rPr>
              <w:t>26日-5月10日</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5A44EE5">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2026年6月起</w:t>
            </w:r>
          </w:p>
        </w:tc>
      </w:tr>
      <w:tr w14:paraId="2750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1E9F664">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技术栈</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43335D5">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HarmonyOS ArkTS</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574E5F5">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React + Spring Boot + MySQL</w:t>
            </w:r>
          </w:p>
        </w:tc>
      </w:tr>
      <w:tr w14:paraId="4AE34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4CC3B8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数据存储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A73E41">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硬编码在前端单例中</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D45EAB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MySQL数据库持久化</w:t>
            </w:r>
          </w:p>
        </w:tc>
      </w:tr>
      <w:tr w14:paraId="34D08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E2C044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数据入口</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40F72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手动修改代码中的金额</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0F0D24">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截图自动解析 + 手动上传</w:t>
            </w:r>
          </w:p>
        </w:tc>
      </w:tr>
      <w:tr w14:paraId="0D067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0E3570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AI集成</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123BC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云端DeepSeek API，单次对话</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19F7FE">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DeepSeek API + ChromaDB（远期）</w:t>
            </w:r>
          </w:p>
        </w:tc>
      </w:tr>
      <w:tr w14:paraId="7B96A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284F80F">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多用户支持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E79FB0">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071CAEE">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从Phase 1起预留user_id</w:t>
            </w:r>
          </w:p>
        </w:tc>
      </w:tr>
      <w:tr w14:paraId="071CC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62C94F1">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项目定位</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7BBBD73">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参赛原型，鸿蒙平台展示</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0A9F71A">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长期主力开发版本，个人研究工具</w:t>
            </w:r>
          </w:p>
        </w:tc>
      </w:tr>
      <w:tr w14:paraId="44C40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A95DF07">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当前状态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2485BD">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已封存（v1.0），不再更新</w:t>
            </w:r>
          </w:p>
        </w:tc>
        <w:tc>
          <w:tcPr>
            <w:tcW w:w="31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D5CE4A7">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设计阶段，待启动Phase 1</w:t>
            </w:r>
          </w:p>
        </w:tc>
      </w:tr>
      <w:tr w14:paraId="4441D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F4AB383">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简历策略</w:t>
            </w:r>
          </w:p>
        </w:tc>
        <w:tc>
          <w:tcPr>
            <w:tcW w:w="419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9149CD0">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FinControl成熟后，标注为“鸿蒙原型验证产品”</w:t>
            </w:r>
          </w:p>
        </w:tc>
        <w:tc>
          <w:tcPr>
            <w:tcW w:w="317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5E2CA8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核心功能验证后作为主推项目</w:t>
            </w:r>
          </w:p>
        </w:tc>
      </w:tr>
    </w:tbl>
    <w:p w14:paraId="1A131A1C">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1.5 与DecisionMate的技术共生关系</w:t>
      </w:r>
    </w:p>
    <w:p w14:paraId="29AC2A6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FinControl和DecisionMate是两个独立的项目，但共享大量技术组件：</w:t>
      </w:r>
    </w:p>
    <w:tbl>
      <w:tblPr>
        <w:tblStyle w:val="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7"/>
        <w:gridCol w:w="1484"/>
        <w:gridCol w:w="2788"/>
        <w:gridCol w:w="2679"/>
      </w:tblGrid>
      <w:tr w14:paraId="37C9E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5956344E">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共享组件</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DB12D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DecisionMate</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60916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FinControl</w:t>
            </w:r>
          </w:p>
        </w:tc>
        <w:tc>
          <w:tcPr>
            <w:tcW w:w="2679"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231670E">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复用方式</w:t>
            </w:r>
          </w:p>
        </w:tc>
      </w:tr>
      <w:tr w14:paraId="01907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DA0B60">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React前端组件</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F21F64">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鸿蒙端React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D99CCB">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Web端React</w:t>
            </w:r>
          </w:p>
        </w:tc>
        <w:tc>
          <w:tcPr>
            <w:tcW w:w="26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68B62A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对话气泡、输入区域等组件结构直接复用</w:t>
            </w:r>
          </w:p>
        </w:tc>
      </w:tr>
      <w:tr w14:paraId="77FDC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1A628DA">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DeepSeek API调用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A701ED">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多Agent调度</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73FD91">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单Agent对话</w:t>
            </w:r>
          </w:p>
        </w:tc>
        <w:tc>
          <w:tcPr>
            <w:tcW w:w="26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304FF2A">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API封装逻辑复用</w:t>
            </w:r>
          </w:p>
        </w:tc>
      </w:tr>
      <w:tr w14:paraId="24256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C009913">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Prompt版本管理</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6434AE9">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无（硬编码）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A38CE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数据库版本管理</w:t>
            </w:r>
          </w:p>
        </w:tc>
        <w:tc>
          <w:tcPr>
            <w:tcW w:w="26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243218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DecisionMate远期也可采用此方案</w:t>
            </w:r>
          </w:p>
        </w:tc>
      </w:tr>
      <w:tr w14:paraId="34C0D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7272083">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ChromaDB向量检索</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3F3470">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已集成</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3ABF74">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4-5集成</w:t>
            </w:r>
          </w:p>
        </w:tc>
        <w:tc>
          <w:tcPr>
            <w:tcW w:w="267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F8C4A08">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技术方案已验证，直接迁移</w:t>
            </w:r>
          </w:p>
        </w:tc>
      </w:tr>
      <w:tr w14:paraId="44F85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4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80D96FF">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对话上下文管理</w:t>
            </w:r>
          </w:p>
        </w:tc>
        <w:tc>
          <w:tcPr>
            <w:tcW w:w="148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C6EF27D">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已实现</w:t>
            </w:r>
          </w:p>
        </w:tc>
        <w:tc>
          <w:tcPr>
            <w:tcW w:w="278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6C597C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1-3用MySQL，远期用ChromaDB</w:t>
            </w:r>
          </w:p>
        </w:tc>
        <w:tc>
          <w:tcPr>
            <w:tcW w:w="2679"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F719DEA">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逻辑复用，存储层替换</w:t>
            </w:r>
          </w:p>
        </w:tc>
      </w:tr>
    </w:tbl>
    <w:p w14:paraId="7CC58AC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eastAsia="仿宋"/>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10EA8BF">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第二章 理论基础：ZOH采样保持定投架构</w:t>
      </w:r>
    </w:p>
    <w:p w14:paraId="72316E7B">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2.1 核心洞察：T+0货币基金作为金融域零阶保持器</w:t>
      </w:r>
    </w:p>
    <w:p w14:paraId="4B70D17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2013年余额宝上线以来，T+0货币基金已成为中国数亿投资者的“活钱”管理工具。这类产品具备两项关键特性：</w:t>
      </w:r>
    </w:p>
    <w:p w14:paraId="56CAA689">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T+0实时赎回</w:t>
      </w:r>
      <w:r>
        <w:rPr>
          <w:rFonts w:hint="default" w:ascii="仿宋" w:hAnsi="Segoe UI" w:eastAsia="仿宋" w:cs="Segoe UI"/>
          <w:i w:val="0"/>
          <w:iCs w:val="0"/>
          <w:caps w:val="0"/>
          <w:color w:val="auto"/>
          <w:spacing w:val="0"/>
          <w:sz w:val="24"/>
          <w:szCs w:val="19"/>
          <w:shd w:val="clear" w:fill="FFFFFF"/>
        </w:rPr>
        <w:t>：资金可在货币基金与银行卡/支付账户之间瞬时划转，流动性摩擦几乎为零</w:t>
      </w:r>
    </w:p>
    <w:p w14:paraId="4114EF90">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自动扣款协议</w:t>
      </w:r>
      <w:r>
        <w:rPr>
          <w:rFonts w:hint="default" w:ascii="仿宋" w:hAnsi="Segoe UI" w:eastAsia="仿宋" w:cs="Segoe UI"/>
          <w:i w:val="0"/>
          <w:iCs w:val="0"/>
          <w:caps w:val="0"/>
          <w:color w:val="auto"/>
          <w:spacing w:val="0"/>
          <w:sz w:val="24"/>
          <w:szCs w:val="19"/>
          <w:shd w:val="clear" w:fill="FFFFFF"/>
        </w:rPr>
        <w:t>：用户可授权平台在预设时间点、按预设金额，从货币基金中自动扣款完成基金申购</w:t>
      </w:r>
    </w:p>
    <w:p w14:paraId="58727A9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从控制论的视角审视，这两项特性的组合恰好构成一个经典的控制组件——</w:t>
      </w:r>
      <w:r>
        <w:rPr>
          <w:rFonts w:hint="default" w:ascii="仿宋" w:hAnsi="Segoe UI" w:eastAsia="仿宋" w:cs="Segoe UI"/>
          <w:b/>
          <w:bCs/>
          <w:i w:val="0"/>
          <w:iCs w:val="0"/>
          <w:caps w:val="0"/>
          <w:color w:val="auto"/>
          <w:spacing w:val="0"/>
          <w:sz w:val="24"/>
          <w:szCs w:val="19"/>
          <w:shd w:val="clear" w:fill="FFFFFF"/>
        </w:rPr>
        <w:t>零阶保持器（Zero-Order Holder，ZOH）</w:t>
      </w:r>
      <w:r>
        <w:rPr>
          <w:rFonts w:hint="default" w:ascii="仿宋" w:hAnsi="Segoe UI" w:eastAsia="仿宋" w:cs="Segoe UI"/>
          <w:i w:val="0"/>
          <w:iCs w:val="0"/>
          <w:caps w:val="0"/>
          <w:color w:val="auto"/>
          <w:spacing w:val="0"/>
          <w:sz w:val="24"/>
          <w:szCs w:val="19"/>
          <w:shd w:val="clear" w:fill="FFFFFF"/>
        </w:rPr>
        <w:t>。ZOH的功能是：在每个采样周期初接收一个离散信号，并在整个周期内将该信号保持为常值输出。</w:t>
      </w:r>
    </w:p>
    <w:p w14:paraId="57DD0A1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本系统的核心洞察在于：将T+0货币基金置于个人资产配置的控制回路中，使其承担ZOH的角色，可以构造出一套完整的采样保持定投架构。</w:t>
      </w:r>
    </w:p>
    <w:p w14:paraId="33B5C992">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：ZOH工作论文第1.2节、第3章。</w:t>
      </w:r>
    </w:p>
    <w:p w14:paraId="76C542B0">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2.2 状态空间建模</w:t>
      </w:r>
    </w:p>
    <w:p w14:paraId="5B2344D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设投资者将资产分配至6个类别（货币类、固收类、商品类、A股权益类、海外权益类、港股/大中华类）。在第k月初（定投资金注入前），系统的状态向量为各类资产占总资产的比例：</w:t>
      </w:r>
    </w:p>
    <w:p w14:paraId="7DF7D30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hAnsi="Cambria Math" w:eastAsia="仿宋" w:cs="Times New Roman"/>
          <w:i w:val="0"/>
          <w:iCs w:val="0"/>
          <w:caps w:val="0"/>
          <w:color w:val="auto"/>
          <w:spacing w:val="0"/>
          <w:kern w:val="2"/>
          <w:sz w:val="24"/>
          <w:szCs w:val="25"/>
          <w:shd w:val="clear" w:fill="FFFFFF"/>
          <w:lang w:val="en-US" w:bidi="ar-SA"/>
        </w:rPr>
      </w:pPr>
      <m:oMathPara>
        <m:oMath>
          <m:r>
            <m:rPr>
              <m:sty m:val="p"/>
            </m:rPr>
            <w:rPr>
              <w:rFonts w:ascii="Cambria Math" w:hAnsi="Cambria Math" w:eastAsia="仿宋" w:cs="Times New Roman"/>
              <w:caps w:val="0"/>
              <w:color w:val="auto"/>
              <w:spacing w:val="0"/>
              <w:kern w:val="2"/>
              <w:sz w:val="24"/>
              <w:szCs w:val="25"/>
              <w:shd w:val="clear" w:fill="FFFFFF"/>
              <w:lang w:val="en-US" w:bidi="ar-SA"/>
            </w:rPr>
            <m:t>x</m:t>
          </m:r>
          <m:r>
            <m:rPr>
              <m:sty m:val="p"/>
            </m:rPr>
            <w:rPr>
              <w:rFonts w:hint="default" w:ascii="Cambria Math" w:hAnsi="Cambria Math" w:eastAsia="仿宋" w:cs="Times New Roman"/>
              <w:caps w:val="0"/>
              <w:color w:val="auto"/>
              <w:spacing w:val="0"/>
              <w:kern w:val="2"/>
              <w:sz w:val="24"/>
              <w:szCs w:val="25"/>
              <w:shd w:val="clear" w:fill="FFFFFF"/>
              <w:lang w:val="en-US" w:bidi="ar-SA"/>
            </w:rPr>
            <m:t>(k)=[x1(k),x2(k),…,x6(k)]T</m:t>
          </m:r>
        </m:oMath>
      </m:oMathPara>
    </w:p>
    <w:p w14:paraId="7695C37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满足约束：</w:t>
      </w:r>
      <m:oMath>
        <m:r>
          <m:rPr>
            <m:sty m:val="p"/>
          </m:rPr>
          <w:rPr>
            <w:rFonts w:hint="default" w:ascii="Cambria Math" w:hAnsi="Cambria Math" w:eastAsia="仿宋" w:cs="Times New Roman"/>
            <w:caps w:val="0"/>
            <w:color w:val="auto"/>
            <w:spacing w:val="0"/>
            <w:kern w:val="2"/>
            <w:sz w:val="24"/>
            <w:szCs w:val="25"/>
            <w:shd w:val="clear" w:fill="FFFFFF"/>
            <w:lang w:val="en-US" w:bidi="ar-SA"/>
          </w:rPr>
          <m:t>∑i=16xi(k)=1,xi(k)≥0</m:t>
        </m:r>
      </m:oMath>
      <w:r>
        <w:rPr>
          <w:rFonts w:hint="default" w:ascii="仿宋" w:hAnsi="Segoe UI" w:eastAsia="仿宋" w:cs="Segoe UI"/>
          <w:i w:val="0"/>
          <w:iCs w:val="0"/>
          <w:caps w:val="0"/>
          <w:color w:val="auto"/>
          <w:spacing w:val="0"/>
          <w:sz w:val="24"/>
          <w:szCs w:val="19"/>
          <w:shd w:val="clear" w:fill="FFFFFF"/>
        </w:rPr>
        <w:t>。</w:t>
      </w:r>
    </w:p>
    <w:p w14:paraId="240EA0A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目标比例向量记为 </w:t>
      </w:r>
      <m:oMath>
        <m:r>
          <m:rPr>
            <m:sty m:val="p"/>
          </m:rPr>
          <w:rPr>
            <w:rFonts w:hint="default" w:ascii="Cambria Math" w:hAnsi="Cambria Math" w:eastAsia="仿宋" w:cs="Times New Roman"/>
            <w:caps w:val="0"/>
            <w:color w:val="auto"/>
            <w:spacing w:val="0"/>
            <w:kern w:val="2"/>
            <w:sz w:val="24"/>
            <w:szCs w:val="25"/>
            <w:shd w:val="clear" w:fill="FFFFFF"/>
            <w:lang w:val="en-US" w:bidi="ar-SA"/>
          </w:rPr>
          <m:t>xref</m:t>
        </m:r>
      </m:oMath>
      <w:r>
        <w:rPr>
          <w:rFonts w:hint="default" w:ascii="仿宋" w:hAnsi="Times New Roman" w:eastAsia="仿宋" w:cs="Times New Roman"/>
          <w:i w:val="0"/>
          <w:iCs w:val="0"/>
          <w:caps w:val="0"/>
          <w:color w:val="auto"/>
          <w:spacing w:val="0"/>
          <w:sz w:val="24"/>
          <w:szCs w:val="1"/>
          <w:shd w:val="clear" w:fill="FFFFFF"/>
        </w:rPr>
        <w:t>​</w:t>
      </w:r>
      <w:r>
        <w:rPr>
          <w:rFonts w:hint="default" w:ascii="仿宋" w:hAnsi="Segoe UI" w:eastAsia="仿宋" w:cs="Segoe UI"/>
          <w:i w:val="0"/>
          <w:iCs w:val="0"/>
          <w:caps w:val="0"/>
          <w:color w:val="auto"/>
          <w:spacing w:val="0"/>
          <w:sz w:val="24"/>
          <w:szCs w:val="19"/>
          <w:shd w:val="clear" w:fill="FFFFFF"/>
        </w:rPr>
        <w:t>，具体数值见附录A。</w:t>
      </w:r>
    </w:p>
    <w:p w14:paraId="76CAE2F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：ZOH工作论文第2.1节。</w:t>
      </w:r>
    </w:p>
    <w:p w14:paraId="59A6FD54">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2.3 低波动资产与高波动资产的二分</w:t>
      </w:r>
    </w:p>
    <w:p w14:paraId="2AEB182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根据净值在单月时间尺度内的波动特性，将6类资产分为两个子集：</w:t>
      </w:r>
    </w:p>
    <w:p w14:paraId="4F12ACF7">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低波动资产L</w:t>
      </w:r>
      <w:r>
        <w:rPr>
          <w:rFonts w:hint="default" w:ascii="仿宋" w:hAnsi="Segoe UI" w:eastAsia="仿宋" w:cs="Segoe UI"/>
          <w:i w:val="0"/>
          <w:iCs w:val="0"/>
          <w:caps w:val="0"/>
          <w:color w:val="auto"/>
          <w:spacing w:val="0"/>
          <w:sz w:val="24"/>
          <w:szCs w:val="19"/>
          <w:shd w:val="clear" w:fill="FFFFFF"/>
        </w:rPr>
        <w:t>（货币基金、纯债基金）：月内净值变动极小（通常&lt;0.5%），在单月分析中可近似视为时不变</w:t>
      </w:r>
    </w:p>
    <w:p w14:paraId="6F1D5011">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高波动资产H</w:t>
      </w:r>
      <w:r>
        <w:rPr>
          <w:rFonts w:hint="default" w:ascii="仿宋" w:hAnsi="Segoe UI" w:eastAsia="仿宋" w:cs="Segoe UI"/>
          <w:i w:val="0"/>
          <w:iCs w:val="0"/>
          <w:caps w:val="0"/>
          <w:color w:val="auto"/>
          <w:spacing w:val="0"/>
          <w:sz w:val="24"/>
          <w:szCs w:val="19"/>
          <w:shd w:val="clear" w:fill="FFFFFF"/>
        </w:rPr>
        <w:t>（股票型、商品型基金）：月内净值变动显著（单月可达±10%以上），不可忽略</w:t>
      </w:r>
    </w:p>
    <w:p w14:paraId="37F8A90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核心假设：在单月时间尺度内，低波动资产的单位净值保持不变。</w:t>
      </w:r>
    </w:p>
    <w:p w14:paraId="5C4C634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这一分类标准不是控制论教材里的现成概念，而是我在真实账户操作中反复验证后提炼出来的方法论核心。它是整个控制论映射的起点。</w:t>
      </w:r>
    </w:p>
    <w:p w14:paraId="26E375E2">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：ZOH工作论文第2.2节。</w:t>
      </w:r>
    </w:p>
    <w:p w14:paraId="05AD57C6">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2.4 三步闭环操作</w:t>
      </w:r>
    </w:p>
    <w:p w14:paraId="7606F2DA">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本架构由三个步骤构成，每月执行一次：</w:t>
      </w:r>
    </w:p>
    <w:tbl>
      <w:tblPr>
        <w:tblStyle w:val="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4"/>
        <w:gridCol w:w="1268"/>
        <w:gridCol w:w="5118"/>
        <w:gridCol w:w="1342"/>
      </w:tblGrid>
      <w:tr w14:paraId="2B29F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94"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DB3A8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步骤</w:t>
            </w:r>
          </w:p>
        </w:tc>
        <w:tc>
          <w:tcPr>
            <w:tcW w:w="126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0BD7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时间点</w:t>
            </w:r>
          </w:p>
        </w:tc>
        <w:tc>
          <w:tcPr>
            <w:tcW w:w="511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B9222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操作</w:t>
            </w:r>
          </w:p>
        </w:tc>
        <w:tc>
          <w:tcPr>
            <w:tcW w:w="1342"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05120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控制论映射</w:t>
            </w:r>
          </w:p>
        </w:tc>
      </w:tr>
      <w:tr w14:paraId="4C336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9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85ED4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Step 1</w:t>
            </w:r>
          </w:p>
        </w:tc>
        <w:tc>
          <w:tcPr>
            <w:tcW w:w="12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33E8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月初 t₀</w:t>
            </w:r>
          </w:p>
        </w:tc>
        <w:tc>
          <w:tcPr>
            <w:tcW w:w="511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B47B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将当月定投总额 U 转入T+0货币基金账户</w:t>
            </w:r>
          </w:p>
        </w:tc>
        <w:tc>
          <w:tcPr>
            <w:tcW w:w="134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EEDD2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阶跃输入注入</w:t>
            </w:r>
          </w:p>
        </w:tc>
      </w:tr>
      <w:tr w14:paraId="486F0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9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63D54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Step 2</w:t>
            </w:r>
          </w:p>
        </w:tc>
        <w:tc>
          <w:tcPr>
            <w:tcW w:w="12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F29E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t₀（立即）</w:t>
            </w:r>
          </w:p>
        </w:tc>
        <w:tc>
          <w:tcPr>
            <w:tcW w:w="511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E7B4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检查L类资产实际比例与目标的偏差，用货币基金资金一次性补足</w:t>
            </w:r>
          </w:p>
        </w:tc>
        <w:tc>
          <w:tcPr>
            <w:tcW w:w="134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4EF53B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前馈补偿</w:t>
            </w:r>
          </w:p>
        </w:tc>
      </w:tr>
      <w:tr w14:paraId="2DE36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94"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51644F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Step 3</w:t>
            </w:r>
          </w:p>
        </w:tc>
        <w:tc>
          <w:tcPr>
            <w:tcW w:w="126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C5177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月内 t₀~tₑₙₐ</w:t>
            </w:r>
          </w:p>
        </w:tc>
        <w:tc>
          <w:tcPr>
            <w:tcW w:w="511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A4804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货币基金剩余资金按预设比例，每日自动扣款定投H类资产</w:t>
            </w:r>
          </w:p>
        </w:tc>
        <w:tc>
          <w:tcPr>
            <w:tcW w:w="1342"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2773D79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零阶保持释放</w:t>
            </w:r>
          </w:p>
        </w:tc>
      </w:tr>
    </w:tbl>
    <w:p w14:paraId="121244D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542" w:firstLineChars="200"/>
        <w:jc w:val="both"/>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Step 1：阶跃输入注入</w:t>
      </w:r>
    </w:p>
    <w:p w14:paraId="230DA00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将U一次性转入货币基金，等效于向系统注入一个阶跃输入。这一操作将本月全部新增资金的信息“打包”为一个离散脉冲，为后续的采样保持提供信号源。</w:t>
      </w:r>
    </w:p>
    <w:p w14:paraId="6292B3C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542" w:firstLineChars="200"/>
        <w:jc w:val="both"/>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Step 2：前馈补偿</w:t>
      </w:r>
    </w:p>
    <w:p w14:paraId="6B6A56A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Step 1执行后，立即计算L类资产的目标市值与实际市值之差。若该类资产比例偏低，则从货币基金中划出相应资金买入。若比例偏高，在基准方案中不做卖出操作——卖出会破坏零摩擦特性，且触发损失厌恶。超配的修正依赖后续定投的稀释效应。</w:t>
      </w:r>
    </w:p>
    <w:p w14:paraId="1D07EB6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542" w:firstLineChars="200"/>
        <w:jc w:val="both"/>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Step 3：零阶保持释放</w:t>
      </w:r>
    </w:p>
    <w:p w14:paraId="1C4249F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Step 2结束后，货币基金账户余额为U减去Step 2中用于补仓的金额。在月内，系统按预设的定投计划，每日从货币基金中自动扣款，买入H类资产。货币基金在此步骤中承担了ZOH的功能：它将月初采样得到的“需定投至H的总金额”这一离散信号，保持为一个常值，并在整个月内匀速释放。</w:t>
      </w:r>
    </w:p>
    <w:p w14:paraId="18301AB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：ZOH工作论文第3.1-3.4节。</w:t>
      </w:r>
    </w:p>
    <w:p w14:paraId="41175EBC">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2.5 比例收敛的理论保证</w:t>
      </w:r>
    </w:p>
    <w:p w14:paraId="7E00B9F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命题1：在低波动资产月内时不变假设成立且Step 2无卖出约束的理想条件下，L类资产在每月初Step 2执行后的比例，精确等于目标比例。</w:t>
      </w:r>
    </w:p>
    <w:p w14:paraId="27A16FE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证明：Step 2执行时，L类资产的总市值被设定为目标比例乘以期初总资产。由于Step 2紧接Step 1，此时期初总资产恰好为V(k)+U，故L类占比精确等于目标比例。</w:t>
      </w:r>
    </w:p>
    <w:p w14:paraId="6CD8FBE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月内，H类资产的涨跌会使总资产变化，导致L类比例暂时偏离目标。但该偏离不会跨月累积——下月初，Step 2将以新的总资产为基准，再次将L类比例复位至目标值。</w:t>
      </w:r>
    </w:p>
    <w:p w14:paraId="63B06BD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：ZOH工作论文第4.1节。</w:t>
      </w:r>
    </w:p>
    <w:p w14:paraId="60C638D6">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2.6 27天实盘验证的核心结论</w:t>
      </w:r>
    </w:p>
    <w:p w14:paraId="14B3C35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从2026年3月31日至4月27日的实盘运行数据，验证了以下关键结论：</w:t>
      </w:r>
    </w:p>
    <w:p w14:paraId="1B6B9D75">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ZOH匀速释放机制有效</w:t>
      </w:r>
      <w:r>
        <w:rPr>
          <w:rFonts w:hint="default" w:ascii="仿宋" w:hAnsi="Segoe UI" w:eastAsia="仿宋" w:cs="Segoe UI"/>
          <w:i w:val="0"/>
          <w:iCs w:val="0"/>
          <w:caps w:val="0"/>
          <w:color w:val="auto"/>
          <w:spacing w:val="0"/>
          <w:sz w:val="24"/>
          <w:szCs w:val="19"/>
          <w:shd w:val="clear" w:fill="FFFFFF"/>
        </w:rPr>
        <w:t>：余额宝余额持续下降（从600.90元降至103.40元），证明月初注入的阶跃信号正在被每日定投逐渐消耗</w:t>
      </w:r>
    </w:p>
    <w:p w14:paraId="5B9FBAE0">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跨月复位必要性被证实</w:t>
      </w:r>
      <w:r>
        <w:rPr>
          <w:rFonts w:hint="default" w:ascii="仿宋" w:hAnsi="Segoe UI" w:eastAsia="仿宋" w:cs="Segoe UI"/>
          <w:i w:val="0"/>
          <w:iCs w:val="0"/>
          <w:caps w:val="0"/>
          <w:color w:val="auto"/>
          <w:spacing w:val="0"/>
          <w:sz w:val="24"/>
          <w:szCs w:val="19"/>
          <w:shd w:val="clear" w:fill="FFFFFF"/>
        </w:rPr>
        <w:t>：货币类比例缓慢下滑（从9.89%降至8.38%），证明若没有5月初的Step 2，偏离将持续累积</w:t>
      </w:r>
    </w:p>
    <w:p w14:paraId="67F0B1FA">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市场变化被忠实反映</w:t>
      </w:r>
      <w:r>
        <w:rPr>
          <w:rFonts w:hint="default" w:ascii="仿宋" w:hAnsi="Segoe UI" w:eastAsia="仿宋" w:cs="Segoe UI"/>
          <w:i w:val="0"/>
          <w:iCs w:val="0"/>
          <w:caps w:val="0"/>
          <w:color w:val="auto"/>
          <w:spacing w:val="0"/>
          <w:sz w:val="24"/>
          <w:szCs w:val="19"/>
          <w:shd w:val="clear" w:fill="FFFFFF"/>
        </w:rPr>
        <w:t>：海外权益类持续上升（从19.57%升至22.09%），与4月纳斯达克实际走势一致，系统未触发恐慌性卖出</w:t>
      </w:r>
    </w:p>
    <w:p w14:paraId="3A3E4419">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执行噪声被识别</w:t>
      </w:r>
      <w:r>
        <w:rPr>
          <w:rFonts w:hint="default" w:ascii="仿宋" w:hAnsi="Segoe UI" w:eastAsia="仿宋" w:cs="Segoe UI"/>
          <w:i w:val="0"/>
          <w:iCs w:val="0"/>
          <w:caps w:val="0"/>
          <w:color w:val="auto"/>
          <w:spacing w:val="0"/>
          <w:sz w:val="24"/>
          <w:szCs w:val="19"/>
          <w:shd w:val="clear" w:fill="FFFFFF"/>
        </w:rPr>
        <w:t>：手动向余额宝补充小额资金的行为，源于操作者对“余额宝余额减少”的焦虑反应，为未来产品的界面设计提供了行为金融学依据</w:t>
      </w:r>
    </w:p>
    <w:p w14:paraId="0AE1010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：ZOH工作论文第5.4-5.5节。</w:t>
      </w:r>
    </w:p>
    <w:p w14:paraId="5F1B68C9">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hint="default" w:ascii="仿宋" w:hAnsi="Segoe UI" w:eastAsia="仿宋" w:cs="Segoe UI"/>
          <w:i w:val="0"/>
          <w:iCs w:val="0"/>
          <w:caps w:val="0"/>
          <w:color w:val="0F1115"/>
          <w:spacing w:val="0"/>
          <w:sz w:val="24"/>
          <w:szCs w:val="19"/>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A039E81">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第三章 领域知识层：六大类资产配置体系</w:t>
      </w:r>
    </w:p>
    <w:p w14:paraId="6145B5A2">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3.1 资产配置框架</w:t>
      </w:r>
    </w:p>
    <w:p w14:paraId="1A44240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以基金部分为100%，严格按比例配置：</w:t>
      </w:r>
    </w:p>
    <w:tbl>
      <w:tblPr>
        <w:tblStyle w:val="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3"/>
        <w:gridCol w:w="964"/>
        <w:gridCol w:w="4874"/>
        <w:gridCol w:w="1521"/>
      </w:tblGrid>
      <w:tr w14:paraId="7A488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63"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57BD35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大类</w:t>
            </w:r>
          </w:p>
        </w:tc>
        <w:tc>
          <w:tcPr>
            <w:tcW w:w="96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F494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目标比例</w:t>
            </w:r>
          </w:p>
        </w:tc>
        <w:tc>
          <w:tcPr>
            <w:tcW w:w="487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536E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内部结构</w:t>
            </w:r>
          </w:p>
        </w:tc>
        <w:tc>
          <w:tcPr>
            <w:tcW w:w="152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508C0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角色定位</w:t>
            </w:r>
          </w:p>
        </w:tc>
      </w:tr>
      <w:tr w14:paraId="46930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B22D5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货币类</w:t>
            </w:r>
          </w:p>
        </w:tc>
        <w:tc>
          <w:tcPr>
            <w:tcW w:w="96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7E5F1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w:t>
            </w:r>
          </w:p>
        </w:tc>
        <w:tc>
          <w:tcPr>
            <w:tcW w:w="487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51A0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核心：货币基金（中加货币E）</w:t>
            </w:r>
          </w:p>
        </w:tc>
        <w:tc>
          <w:tcPr>
            <w:tcW w:w="152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B19C7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流动性备用 + 定投水源</w:t>
            </w:r>
          </w:p>
        </w:tc>
      </w:tr>
      <w:tr w14:paraId="6D942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9E38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固收类</w:t>
            </w:r>
          </w:p>
        </w:tc>
        <w:tc>
          <w:tcPr>
            <w:tcW w:w="96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2864A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15%</w:t>
            </w:r>
          </w:p>
        </w:tc>
        <w:tc>
          <w:tcPr>
            <w:tcW w:w="487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8132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核心：国内纯债/短债（长城短债A、鹏华纯债D）；卫星：高波固收（安信新价值A）</w:t>
            </w:r>
          </w:p>
        </w:tc>
        <w:tc>
          <w:tcPr>
            <w:tcW w:w="152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4E75D2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稳健压舱石</w:t>
            </w:r>
          </w:p>
        </w:tc>
      </w:tr>
      <w:tr w14:paraId="6BB5E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9378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商品类</w:t>
            </w:r>
          </w:p>
        </w:tc>
        <w:tc>
          <w:tcPr>
            <w:tcW w:w="96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D491B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25%</w:t>
            </w:r>
          </w:p>
        </w:tc>
        <w:tc>
          <w:tcPr>
            <w:tcW w:w="487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1C0F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核心：黄金（国泰黄金A、国泰黄金C）；波段工具：华安黄金C</w:t>
            </w:r>
          </w:p>
        </w:tc>
        <w:tc>
          <w:tcPr>
            <w:tcW w:w="152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EFD57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抗通胀 + 避险</w:t>
            </w:r>
          </w:p>
        </w:tc>
      </w:tr>
      <w:tr w14:paraId="24D61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FD67A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A股权益类</w:t>
            </w:r>
          </w:p>
        </w:tc>
        <w:tc>
          <w:tcPr>
            <w:tcW w:w="96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288D4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25%</w:t>
            </w:r>
          </w:p>
        </w:tc>
        <w:tc>
          <w:tcPr>
            <w:tcW w:w="487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73E9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核心：中证A100A（大盘价值）；卫星：中证500C（中盘成长）；防御：广发价值回报C</w:t>
            </w:r>
          </w:p>
        </w:tc>
        <w:tc>
          <w:tcPr>
            <w:tcW w:w="152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528A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分享中国经济增长</w:t>
            </w:r>
          </w:p>
        </w:tc>
      </w:tr>
      <w:tr w14:paraId="14E64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DA893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海外权益类</w:t>
            </w:r>
          </w:p>
        </w:tc>
        <w:tc>
          <w:tcPr>
            <w:tcW w:w="96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49390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w:t>
            </w:r>
          </w:p>
        </w:tc>
        <w:tc>
          <w:tcPr>
            <w:tcW w:w="487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DA7B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核心：纳斯达克（天弘A/C、摩根A）；波段：招商纳斯达克C</w:t>
            </w:r>
          </w:p>
        </w:tc>
        <w:tc>
          <w:tcPr>
            <w:tcW w:w="152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C39C2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分散地域风险</w:t>
            </w:r>
          </w:p>
        </w:tc>
      </w:tr>
      <w:tr w14:paraId="17614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6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88D31D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港股/大中华类</w:t>
            </w:r>
          </w:p>
        </w:tc>
        <w:tc>
          <w:tcPr>
            <w:tcW w:w="96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1EED43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w:t>
            </w:r>
          </w:p>
        </w:tc>
        <w:tc>
          <w:tcPr>
            <w:tcW w:w="487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18D8D9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核心：恒生科技C；卫星：华安香港精选</w:t>
            </w:r>
          </w:p>
        </w:tc>
        <w:tc>
          <w:tcPr>
            <w:tcW w:w="152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BD33A2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大中华卫星探索</w:t>
            </w:r>
          </w:p>
        </w:tc>
      </w:tr>
    </w:tbl>
    <w:p w14:paraId="01E8112D">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ascii="仿宋" w:eastAsia="仿宋"/>
          <w:sz w:val="24"/>
        </w:rPr>
      </w:pPr>
      <w:r>
        <w:rPr>
          <w:rFonts w:hint="default" w:ascii="仿宋" w:hAnsi="Segoe UI" w:eastAsia="仿宋" w:cs="Segoe UI"/>
          <w:b/>
          <w:bCs/>
          <w:caps w:val="0"/>
          <w:color w:val="auto"/>
          <w:spacing w:val="0"/>
          <w:sz w:val="30"/>
          <w:szCs w:val="24"/>
          <w:shd w:val="clear" w:fill="FFFFFF"/>
        </w:rPr>
        <w:t>3.2 核心策略：A主C辅</w:t>
      </w:r>
    </w:p>
    <w:p w14:paraId="34042E23">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A类（底仓）</w:t>
      </w:r>
      <w:r>
        <w:rPr>
          <w:rFonts w:hint="default" w:ascii="仿宋" w:hAnsi="Segoe UI" w:eastAsia="仿宋" w:cs="Segoe UI"/>
          <w:i w:val="0"/>
          <w:iCs w:val="0"/>
          <w:caps w:val="0"/>
          <w:color w:val="auto"/>
          <w:spacing w:val="0"/>
          <w:sz w:val="24"/>
          <w:szCs w:val="19"/>
          <w:shd w:val="clear" w:fill="FFFFFF"/>
        </w:rPr>
        <w:t>：长期持有，享受复利。定投为主，每月按比例分配，除非基本面剧变或永久保留仓规则触发，否则永不卖出</w:t>
      </w:r>
    </w:p>
    <w:p w14:paraId="5CC6F7D0">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C类（波段）</w:t>
      </w:r>
      <w:r>
        <w:rPr>
          <w:rFonts w:hint="default" w:ascii="仿宋" w:hAnsi="Segoe UI" w:eastAsia="仿宋" w:cs="Segoe UI"/>
          <w:i w:val="0"/>
          <w:iCs w:val="0"/>
          <w:caps w:val="0"/>
          <w:color w:val="auto"/>
          <w:spacing w:val="0"/>
          <w:sz w:val="24"/>
          <w:szCs w:val="19"/>
          <w:shd w:val="clear" w:fill="FFFFFF"/>
        </w:rPr>
        <w:t>：捕捉短期波动。严格按规则买卖，不新增定投。规模随自然增长，若因盈利增加突破500元并满足永久保留仓条件，则按规则晋升</w:t>
      </w:r>
    </w:p>
    <w:p w14:paraId="7538495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A主C辅的核心定义：不是金额占比更大，而是优先级更高。A类定投计划具有最高执行优先级，不受市场涨跌、波段机会、现金流波动的任何影响。</w:t>
      </w:r>
    </w:p>
    <w:p w14:paraId="302D21B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：投资思想体系第三章。</w:t>
      </w:r>
    </w:p>
    <w:p w14:paraId="4EA67EE6">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3.3 资金管理：三水分流</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7"/>
        <w:gridCol w:w="1718"/>
        <w:gridCol w:w="2498"/>
        <w:gridCol w:w="1962"/>
      </w:tblGrid>
      <w:tr w14:paraId="5B529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2266C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资金池</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2B86C8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定位</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56A9B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来源</w:t>
            </w:r>
          </w:p>
        </w:tc>
        <w:tc>
          <w:tcPr>
            <w:tcW w:w="1962"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CB2B69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用途</w:t>
            </w:r>
          </w:p>
        </w:tc>
      </w:tr>
      <w:tr w14:paraId="4BF2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824F0F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货币基金（中加货币E）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C8237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六大类货币类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BAF1A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存量配置 + 增量按比例</w:t>
            </w:r>
          </w:p>
        </w:tc>
        <w:tc>
          <w:tcPr>
            <w:tcW w:w="196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700E03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长期配置，不动用</w:t>
            </w:r>
          </w:p>
        </w:tc>
      </w:tr>
      <w:tr w14:paraId="4FED8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0C46D4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余额宝</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1D390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定投专用池</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EDA51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每月从工行添利宝转入</w:t>
            </w:r>
          </w:p>
        </w:tc>
        <w:tc>
          <w:tcPr>
            <w:tcW w:w="196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2ABA96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自动扣划定投</w:t>
            </w:r>
          </w:p>
        </w:tc>
      </w:tr>
      <w:tr w14:paraId="4AFDC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5C0F5F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工行添利宝</w:t>
            </w:r>
          </w:p>
        </w:tc>
        <w:tc>
          <w:tcPr>
            <w:tcW w:w="171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924658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消费+波段备用</w:t>
            </w:r>
          </w:p>
        </w:tc>
        <w:tc>
          <w:tcPr>
            <w:tcW w:w="249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6E7B5D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工资、生活费、结余</w:t>
            </w:r>
          </w:p>
        </w:tc>
        <w:tc>
          <w:tcPr>
            <w:tcW w:w="1962"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446065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日常消费、波段操作</w:t>
            </w:r>
          </w:p>
        </w:tc>
      </w:tr>
    </w:tbl>
    <w:p w14:paraId="54F5661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原则</w:t>
      </w:r>
      <w:r>
        <w:rPr>
          <w:rFonts w:hint="default" w:ascii="仿宋" w:hAnsi="Segoe UI" w:eastAsia="仿宋" w:cs="Segoe UI"/>
          <w:i w:val="0"/>
          <w:iCs w:val="0"/>
          <w:caps w:val="0"/>
          <w:color w:val="auto"/>
          <w:spacing w:val="0"/>
          <w:sz w:val="24"/>
          <w:szCs w:val="19"/>
          <w:shd w:val="clear" w:fill="FFFFFF"/>
        </w:rPr>
        <w:t>：三类资金互不干扰，对账清晰。余额宝的“攒着”功能本质上是执行器保护锁，利用金融产品的规则约束消除了操作者挪用定投资金的可能。</w:t>
      </w:r>
    </w:p>
    <w:p w14:paraId="18F826F9">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3.4 行为偏差管理工具箱</w:t>
      </w:r>
    </w:p>
    <w:p w14:paraId="0442912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本系统从已有的资产配置规则中，识别出一套完整的行为偏差管理工具。每件工具均对应于特定行为偏差的规则化对抗，其共同内核是用规则替代理性：</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6"/>
        <w:gridCol w:w="3214"/>
        <w:gridCol w:w="3765"/>
      </w:tblGrid>
      <w:tr w14:paraId="701E3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B1A93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工具</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281D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对抗的行为偏差</w:t>
            </w:r>
          </w:p>
        </w:tc>
        <w:tc>
          <w:tcPr>
            <w:tcW w:w="376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9A8A0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控制论转译</w:t>
            </w:r>
          </w:p>
        </w:tc>
      </w:tr>
      <w:tr w14:paraId="7FAD5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544D2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永久保留仓</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B74C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处置效应（赚一点就想卖）</w:t>
            </w:r>
          </w:p>
        </w:tc>
        <w:tc>
          <w:tcPr>
            <w:tcW w:w="376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341A74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状态锁定——成功仓位移出控制回路</w:t>
            </w:r>
          </w:p>
        </w:tc>
      </w:tr>
      <w:tr w14:paraId="1D377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C1340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限流系统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1115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恐慌性买入（跌了就补）</w:t>
            </w:r>
          </w:p>
        </w:tc>
        <w:tc>
          <w:tcPr>
            <w:tcW w:w="376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407CF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执行器饱和保护——异常扰动时自动降增益</w:t>
            </w:r>
          </w:p>
        </w:tc>
      </w:tr>
      <w:tr w14:paraId="0F046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BF662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负定投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84CBC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追涨冲动（涨了还想追）</w:t>
            </w:r>
          </w:p>
        </w:tc>
        <w:tc>
          <w:tcPr>
            <w:tcW w:w="376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D7CFBF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反向阶跃输入——规则化卖出</w:t>
            </w:r>
          </w:p>
        </w:tc>
      </w:tr>
      <w:tr w14:paraId="47664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66369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A主C辅</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653F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心理账户（长短期资金混用）</w:t>
            </w:r>
          </w:p>
        </w:tc>
        <w:tc>
          <w:tcPr>
            <w:tcW w:w="376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C22BC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多频率控制器——快慢回路分离</w:t>
            </w:r>
          </w:p>
        </w:tc>
      </w:tr>
      <w:tr w14:paraId="2BFB7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589F7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三水分流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9F56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心理账户（资金用途混淆）</w:t>
            </w:r>
          </w:p>
        </w:tc>
        <w:tc>
          <w:tcPr>
            <w:tcW w:w="376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AFCFF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解耦——资金池物理隔离</w:t>
            </w:r>
          </w:p>
        </w:tc>
      </w:tr>
      <w:tr w14:paraId="69889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62998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现金水位硬约束</w:t>
            </w:r>
          </w:p>
        </w:tc>
        <w:tc>
          <w:tcPr>
            <w:tcW w:w="321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A198F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自我控制偏差（再投一点的滑坡）</w:t>
            </w:r>
          </w:p>
        </w:tc>
        <w:tc>
          <w:tcPr>
            <w:tcW w:w="376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23B35E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安全阈值——资源低于警戒线强制休眠</w:t>
            </w:r>
          </w:p>
        </w:tc>
      </w:tr>
    </w:tbl>
    <w:p w14:paraId="4597793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：ZOH工作论文第6.7节、投资思想体系第十四至十五章。</w:t>
      </w:r>
    </w:p>
    <w:p w14:paraId="74EB039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hint="default" w:ascii="仿宋" w:hAnsi="Segoe UI" w:eastAsia="仿宋" w:cs="Segoe UI"/>
          <w:i w:val="0"/>
          <w:iCs w:val="0"/>
          <w:caps w:val="0"/>
          <w:color w:val="0F1115"/>
          <w:spacing w:val="0"/>
          <w:sz w:val="24"/>
          <w:szCs w:val="19"/>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427D537">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第四章 核心算法设计</w:t>
      </w:r>
    </w:p>
    <w:p w14:paraId="2C025480">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4.1 二元一次方程组求解器</w:t>
      </w:r>
    </w:p>
    <w:p w14:paraId="659767E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算法目的</w:t>
      </w:r>
      <w:r>
        <w:rPr>
          <w:rFonts w:hint="default" w:ascii="仿宋" w:hAnsi="Segoe UI" w:eastAsia="仿宋" w:cs="Segoe UI"/>
          <w:i w:val="0"/>
          <w:iCs w:val="0"/>
          <w:caps w:val="0"/>
          <w:color w:val="auto"/>
          <w:spacing w:val="0"/>
          <w:sz w:val="24"/>
          <w:szCs w:val="19"/>
          <w:shd w:val="clear" w:fill="FFFFFF"/>
        </w:rPr>
        <w:t>：求解月初需向货币类和固收类补仓的精确金额，使低波动资产比例精确复位至目标值。</w:t>
      </w:r>
    </w:p>
    <w:p w14:paraId="3F32291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问题形式化</w:t>
      </w:r>
      <w:r>
        <w:rPr>
          <w:rFonts w:hint="default" w:ascii="仿宋" w:hAnsi="Segoe UI" w:eastAsia="仿宋" w:cs="Segoe UI"/>
          <w:i w:val="0"/>
          <w:iCs w:val="0"/>
          <w:caps w:val="0"/>
          <w:color w:val="auto"/>
          <w:spacing w:val="0"/>
          <w:sz w:val="24"/>
          <w:szCs w:val="19"/>
          <w:shd w:val="clear" w:fill="FFFFFF"/>
        </w:rPr>
        <w:t>：</w:t>
      </w:r>
    </w:p>
    <w:p w14:paraId="09298A7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月初需要补足的低波动资产金额，实际上由两部分构成：</w:t>
      </w:r>
    </w:p>
    <w:p w14:paraId="748DA0E5">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纠正存量偏离的再平衡补仓额 Δm、Δb</w:t>
      </w:r>
    </w:p>
    <w:p w14:paraId="5724A855">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当月定投中按目标比例应分配给低波动资产的份额 U_m_dca、U_b_dca</w:t>
      </w:r>
    </w:p>
    <w:p w14:paraId="4B5EC2A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传统做法将两者分离处理，导致操作步骤冗余且难以精确规划总投入。本算法将这一问题形式化为单次线性方程组求解问题。</w:t>
      </w:r>
    </w:p>
    <w:p w14:paraId="4080BE4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输入变量</w:t>
      </w:r>
      <w:r>
        <w:rPr>
          <w:rFonts w:hint="default" w:ascii="仿宋" w:hAnsi="Segoe UI" w:eastAsia="仿宋" w:cs="Segoe UI"/>
          <w:i w:val="0"/>
          <w:iCs w:val="0"/>
          <w:caps w:val="0"/>
          <w:color w:val="auto"/>
          <w:spacing w:val="0"/>
          <w:sz w:val="24"/>
          <w:szCs w:val="19"/>
          <w:shd w:val="clear" w:fill="FFFFFF"/>
        </w:rPr>
        <w:t>：</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2"/>
        <w:gridCol w:w="3917"/>
        <w:gridCol w:w="3346"/>
      </w:tblGrid>
      <w:tr w14:paraId="6BF66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557F89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变量</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CF00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含义</w:t>
            </w:r>
          </w:p>
        </w:tc>
        <w:tc>
          <w:tcPr>
            <w:tcW w:w="3346"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E48C4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来源</w:t>
            </w:r>
          </w:p>
        </w:tc>
      </w:tr>
      <w:tr w14:paraId="1BDEC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2AC4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V_curr</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9A20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当前六大类总资产</w:t>
            </w:r>
          </w:p>
        </w:tc>
        <w:tc>
          <w:tcPr>
            <w:tcW w:w="334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6724F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数据库最新快照</w:t>
            </w:r>
          </w:p>
        </w:tc>
      </w:tr>
      <w:tr w14:paraId="5A39D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EC53E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V_m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923B6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当前货币类市值</w:t>
            </w:r>
          </w:p>
        </w:tc>
        <w:tc>
          <w:tcPr>
            <w:tcW w:w="334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E21BC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数据库最新快照</w:t>
            </w:r>
          </w:p>
        </w:tc>
      </w:tr>
      <w:tr w14:paraId="46F66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6F11A0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V_b</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0F70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当前固收类市值</w:t>
            </w:r>
          </w:p>
        </w:tc>
        <w:tc>
          <w:tcPr>
            <w:tcW w:w="334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88C11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数据库最新快照</w:t>
            </w:r>
          </w:p>
        </w:tc>
      </w:tr>
      <w:tr w14:paraId="36615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607EDD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U_high</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1937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当月计划高波动定投总额</w:t>
            </w:r>
          </w:p>
        </w:tc>
        <w:tc>
          <w:tcPr>
            <w:tcW w:w="334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73630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用户预设（如560元）</w:t>
            </w:r>
          </w:p>
        </w:tc>
      </w:tr>
      <w:tr w14:paraId="19DB1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3D8E9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p_m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E887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货币类目标比例</w:t>
            </w:r>
          </w:p>
        </w:tc>
        <w:tc>
          <w:tcPr>
            <w:tcW w:w="334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9208D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用户配置（默认10%）</w:t>
            </w:r>
          </w:p>
        </w:tc>
      </w:tr>
      <w:tr w14:paraId="7EEC2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21575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p_b</w:t>
            </w:r>
          </w:p>
        </w:tc>
        <w:tc>
          <w:tcPr>
            <w:tcW w:w="391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9ED9B2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固收类目标比例</w:t>
            </w:r>
          </w:p>
        </w:tc>
        <w:tc>
          <w:tcPr>
            <w:tcW w:w="3346"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4F7FF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用户配置（默认15%）</w:t>
            </w:r>
          </w:p>
        </w:tc>
      </w:tr>
    </w:tbl>
    <w:p w14:paraId="7D6A5A5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仿宋" w:eastAsia="仿宋" w:cs="仿宋"/>
          <w:b/>
          <w:bCs/>
          <w:i w:val="0"/>
          <w:iCs w:val="0"/>
          <w:caps w:val="0"/>
          <w:color w:val="auto"/>
          <w:spacing w:val="0"/>
          <w:sz w:val="24"/>
          <w:szCs w:val="24"/>
          <w:shd w:val="clear" w:fill="FFFFFF"/>
        </w:rPr>
      </w:pPr>
      <w:r>
        <w:rPr>
          <w:rFonts w:hint="eastAsia" w:ascii="仿宋" w:hAnsi="仿宋" w:eastAsia="仿宋" w:cs="仿宋"/>
          <w:i w:val="0"/>
          <w:iCs w:val="0"/>
          <w:caps w:val="0"/>
          <w:color w:val="0F1115"/>
          <w:spacing w:val="0"/>
          <w:sz w:val="24"/>
          <w:szCs w:val="24"/>
          <w:shd w:val="clear" w:fill="FFFFFF"/>
          <w:lang w:val="en-US" w:eastAsia="zh-CN"/>
        </w:rPr>
        <w:t>关于U_high，</w:t>
      </w:r>
      <w:r>
        <w:rPr>
          <w:rFonts w:hint="eastAsia" w:ascii="仿宋" w:hAnsi="仿宋" w:eastAsia="仿宋" w:cs="仿宋"/>
          <w:i w:val="0"/>
          <w:iCs w:val="0"/>
          <w:caps w:val="0"/>
          <w:color w:val="0F1115"/>
          <w:spacing w:val="0"/>
          <w:sz w:val="24"/>
          <w:szCs w:val="24"/>
          <w:shd w:val="clear" w:fill="FFFFFF"/>
        </w:rPr>
        <w:t>此变量由用户在月度操作台页面的输入区中填入，默认值可配置为560元。实际值基于当月计划的高波动资产定投总额，不含低波动份额。低波动份额（U_m_dca、U_b_dca）由系统根据目标比例自动计算。</w:t>
      </w:r>
    </w:p>
    <w:p w14:paraId="5F2AA2C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当月低波动定投份额反推</w:t>
      </w:r>
      <w:r>
        <w:rPr>
          <w:rFonts w:hint="default" w:ascii="仿宋" w:hAnsi="Segoe UI" w:eastAsia="仿宋" w:cs="Segoe UI"/>
          <w:i w:val="0"/>
          <w:iCs w:val="0"/>
          <w:caps w:val="0"/>
          <w:color w:val="auto"/>
          <w:spacing w:val="0"/>
          <w:sz w:val="24"/>
          <w:szCs w:val="19"/>
          <w:shd w:val="clear" w:fill="FFFFFF"/>
        </w:rPr>
        <w:t>：</w:t>
      </w:r>
    </w:p>
    <w:p w14:paraId="66370702">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m:oMath>
        <m:r>
          <m:rPr/>
          <w:rPr>
            <w:rFonts w:hint="default" w:ascii="Cambria Math" w:hAnsi="Cambria Math" w:eastAsia="仿宋" w:cs="KaTeX_Math"/>
            <w:caps w:val="0"/>
            <w:color w:val="auto"/>
            <w:spacing w:val="0"/>
            <w:kern w:val="2"/>
            <w:sz w:val="24"/>
            <w:szCs w:val="25"/>
            <w:shd w:val="clear" w:fill="FFFFFF"/>
            <w:lang w:val="en-US" w:bidi="ar-SA"/>
          </w:rPr>
          <m:t>U</m:t>
        </m:r>
        <m:r>
          <m:rPr/>
          <w:rPr>
            <w:rFonts w:hint="default" w:ascii="Cambria Math" w:hAnsi="Cambria Math" w:eastAsia="仿宋" w:cs="KaTeX_Math"/>
            <w:caps w:val="0"/>
            <w:color w:val="auto"/>
            <w:spacing w:val="0"/>
            <w:kern w:val="2"/>
            <w:sz w:val="24"/>
            <w:szCs w:val="14"/>
            <w:shd w:val="clear" w:fill="FFFFFF"/>
            <w:lang w:val="en-US" w:bidi="ar-SA"/>
          </w:rPr>
          <m:t>m</m:t>
        </m:r>
        <m:r>
          <m:rPr>
            <m:sty m:val="p"/>
          </m:rPr>
          <w:rPr>
            <w:rFonts w:hint="default" w:ascii="Cambria Math" w:hAnsi="Cambria Math" w:eastAsia="仿宋" w:cs="Times New Roman"/>
            <w:caps w:val="0"/>
            <w:color w:val="auto"/>
            <w:spacing w:val="0"/>
            <w:kern w:val="2"/>
            <w:sz w:val="24"/>
            <w:szCs w:val="14"/>
            <w:shd w:val="clear" w:fill="FFFFFF"/>
            <w:lang w:val="en-US" w:bidi="ar-SA"/>
          </w:rPr>
          <m:t>_</m:t>
        </m:r>
        <m:r>
          <m:rPr/>
          <w:rPr>
            <w:rFonts w:hint="default" w:ascii="Cambria Math" w:hAnsi="Cambria Math" w:eastAsia="仿宋" w:cs="KaTeX_Math"/>
            <w:caps w:val="0"/>
            <w:color w:val="auto"/>
            <w:spacing w:val="0"/>
            <w:kern w:val="2"/>
            <w:sz w:val="24"/>
            <w:szCs w:val="14"/>
            <w:shd w:val="clear" w:fill="FFFFFF"/>
            <w:lang w:val="en-US" w:bidi="ar-SA"/>
          </w:rPr>
          <m:t>dca</m:t>
        </m:r>
        <m:r>
          <m:rPr>
            <m:sty m:val="p"/>
          </m:rPr>
          <w:rPr>
            <w:rFonts w:hint="default" w:ascii="Cambria Math" w:hAnsi="Cambria Math" w:eastAsia="仿宋" w:cs="Times New Roman"/>
            <w:caps w:val="0"/>
            <w:color w:val="auto"/>
            <w:spacing w:val="0"/>
            <w:kern w:val="2"/>
            <w:sz w:val="24"/>
            <w:szCs w:val="25"/>
            <w:shd w:val="clear" w:fill="FFFFFF"/>
            <w:lang w:val="en-US" w:bidi="ar-SA"/>
          </w:rPr>
          <m:t>=</m:t>
        </m:r>
        <m:r>
          <m:rPr/>
          <w:rPr>
            <w:rFonts w:hint="default" w:ascii="Cambria Math" w:hAnsi="Cambria Math" w:eastAsia="仿宋" w:cs="KaTeX_Math"/>
            <w:caps w:val="0"/>
            <w:color w:val="auto"/>
            <w:spacing w:val="0"/>
            <w:kern w:val="2"/>
            <w:sz w:val="24"/>
            <w:szCs w:val="25"/>
            <w:shd w:val="clear" w:fill="FFFFFF"/>
            <w:lang w:val="en-US" w:bidi="ar-SA"/>
          </w:rPr>
          <m:t>U</m:t>
        </m:r>
        <m:r>
          <m:rPr/>
          <w:rPr>
            <w:rFonts w:hint="default" w:ascii="Cambria Math" w:hAnsi="Cambria Math" w:eastAsia="仿宋" w:cs="KaTeX_Math"/>
            <w:caps w:val="0"/>
            <w:color w:val="auto"/>
            <w:spacing w:val="0"/>
            <w:kern w:val="2"/>
            <w:sz w:val="24"/>
            <w:szCs w:val="14"/>
            <w:shd w:val="clear" w:fill="FFFFFF"/>
            <w:lang w:val="en-US" w:bidi="ar-SA"/>
          </w:rPr>
          <m:t>high</m:t>
        </m:r>
        <m:r>
          <m:rPr>
            <m:sty m:val="p"/>
          </m:rPr>
          <w:rPr>
            <w:rFonts w:hint="default" w:ascii="Cambria Math" w:hAnsi="Cambria Math" w:eastAsia="仿宋" w:cs="Times New Roman"/>
            <w:caps w:val="0"/>
            <w:color w:val="auto"/>
            <w:spacing w:val="0"/>
            <w:kern w:val="2"/>
            <w:sz w:val="24"/>
            <w:szCs w:val="1"/>
            <w:shd w:val="clear" w:fill="FFFFFF"/>
            <w:lang w:val="en-US" w:bidi="ar-SA"/>
          </w:rPr>
          <m:t>​</m:t>
        </m:r>
        <m:r>
          <m:rPr>
            <m:sty m:val="p"/>
          </m:rPr>
          <w:rPr>
            <w:rFonts w:hint="default" w:ascii="Cambria Math" w:hAnsi="Cambria Math" w:eastAsia="仿宋" w:cs="Times New Roman"/>
            <w:caps w:val="0"/>
            <w:color w:val="auto"/>
            <w:spacing w:val="0"/>
            <w:kern w:val="2"/>
            <w:sz w:val="24"/>
            <w:szCs w:val="25"/>
            <w:shd w:val="clear" w:fill="FFFFFF"/>
            <w:lang w:val="en-US" w:bidi="ar-SA"/>
          </w:rPr>
          <m:t>×</m:t>
        </m:r>
        <m:r>
          <m:rPr>
            <m:sty m:val="p"/>
          </m:rPr>
          <w:rPr>
            <w:rFonts w:hint="default" w:ascii="Cambria Math" w:hAnsi="Cambria Math" w:eastAsia="仿宋" w:cs="Times New Roman"/>
            <w:caps w:val="0"/>
            <w:color w:val="auto"/>
            <w:spacing w:val="0"/>
            <w:kern w:val="2"/>
            <w:sz w:val="24"/>
            <w:szCs w:val="25"/>
            <w:shd w:val="clear" w:fill="FFFFFF"/>
            <w:lang w:val="en-US" w:eastAsia="zh-CN" w:bidi="ar-SA"/>
          </w:rPr>
          <m:t>(</m:t>
        </m:r>
        <m:r>
          <m:rPr>
            <m:sty m:val="p"/>
          </m:rPr>
          <w:rPr>
            <w:rFonts w:hint="default" w:ascii="Cambria Math" w:hAnsi="Cambria Math" w:eastAsia="仿宋" w:cs="Times New Roman"/>
            <w:caps w:val="0"/>
            <w:color w:val="auto"/>
            <w:spacing w:val="0"/>
            <w:kern w:val="2"/>
            <w:sz w:val="24"/>
            <w:szCs w:val="14"/>
            <w:shd w:val="clear" w:fill="FFFFFF"/>
            <w:lang w:val="en-US" w:bidi="ar-SA"/>
          </w:rPr>
          <m:t>1−</m:t>
        </m:r>
        <m:r>
          <m:rPr/>
          <w:rPr>
            <w:rFonts w:hint="default" w:ascii="Cambria Math" w:hAnsi="Cambria Math" w:eastAsia="仿宋" w:cs="KaTeX_Math"/>
            <w:caps w:val="0"/>
            <w:color w:val="auto"/>
            <w:spacing w:val="0"/>
            <w:kern w:val="2"/>
            <w:sz w:val="24"/>
            <w:szCs w:val="14"/>
            <w:shd w:val="clear" w:fill="FFFFFF"/>
            <w:lang w:val="en-US" w:bidi="ar-SA"/>
          </w:rPr>
          <m:t>p</m:t>
        </m:r>
        <m:r>
          <m:rPr/>
          <w:rPr>
            <w:rFonts w:hint="default" w:ascii="Cambria Math" w:hAnsi="Cambria Math" w:eastAsia="仿宋" w:cs="KaTeX_Math"/>
            <w:caps w:val="0"/>
            <w:color w:val="auto"/>
            <w:spacing w:val="0"/>
            <w:kern w:val="2"/>
            <w:sz w:val="24"/>
            <w:szCs w:val="15"/>
            <w:shd w:val="clear" w:fill="FFFFFF"/>
            <w:lang w:val="en-US" w:bidi="ar-SA"/>
          </w:rPr>
          <m:t>m</m:t>
        </m:r>
        <m:r>
          <m:rPr>
            <m:sty m:val="p"/>
          </m:rPr>
          <w:rPr>
            <w:rFonts w:hint="default" w:ascii="Cambria Math" w:hAnsi="Cambria Math" w:eastAsia="仿宋" w:cs="Times New Roman"/>
            <w:caps w:val="0"/>
            <w:color w:val="auto"/>
            <w:spacing w:val="0"/>
            <w:kern w:val="2"/>
            <w:sz w:val="24"/>
            <w:szCs w:val="14"/>
            <w:shd w:val="clear" w:fill="FFFFFF"/>
            <w:lang w:val="en-US" w:bidi="ar-SA"/>
          </w:rPr>
          <m:t>−</m:t>
        </m:r>
        <m:r>
          <m:rPr/>
          <w:rPr>
            <w:rFonts w:hint="default" w:ascii="Cambria Math" w:hAnsi="Cambria Math" w:eastAsia="仿宋" w:cs="KaTeX_Math"/>
            <w:caps w:val="0"/>
            <w:color w:val="auto"/>
            <w:spacing w:val="0"/>
            <w:kern w:val="2"/>
            <w:sz w:val="24"/>
            <w:szCs w:val="14"/>
            <w:shd w:val="clear" w:fill="FFFFFF"/>
            <w:lang w:val="en-US" w:bidi="ar-SA"/>
          </w:rPr>
          <m:t>p</m:t>
        </m:r>
        <m:r>
          <m:rPr/>
          <w:rPr>
            <w:rFonts w:hint="default" w:ascii="Cambria Math" w:hAnsi="Cambria Math" w:eastAsia="仿宋" w:cs="KaTeX_Math"/>
            <w:caps w:val="0"/>
            <w:color w:val="auto"/>
            <w:spacing w:val="0"/>
            <w:kern w:val="2"/>
            <w:sz w:val="24"/>
            <w:szCs w:val="14"/>
            <w:shd w:val="clear" w:fill="FFFFFF"/>
            <w:lang w:val="en-US" w:eastAsia="zh-CN" w:bidi="ar-SA"/>
          </w:rPr>
          <m:t>b)/</m:t>
        </m:r>
        <m:r>
          <m:rPr/>
          <w:rPr>
            <w:rFonts w:hint="default" w:ascii="Cambria Math" w:hAnsi="Cambria Math" w:eastAsia="仿宋" w:cs="KaTeX_Math"/>
            <w:caps w:val="0"/>
            <w:color w:val="auto"/>
            <w:spacing w:val="0"/>
            <w:kern w:val="2"/>
            <w:sz w:val="24"/>
            <w:szCs w:val="14"/>
            <w:shd w:val="clear" w:fill="FFFFFF"/>
            <w:lang w:val="en-US" w:bidi="ar-SA"/>
          </w:rPr>
          <m:t>p</m:t>
        </m:r>
        <m:r>
          <m:rPr/>
          <w:rPr>
            <w:rFonts w:hint="default" w:ascii="Cambria Math" w:hAnsi="Cambria Math" w:eastAsia="仿宋" w:cs="KaTeX_Math"/>
            <w:caps w:val="0"/>
            <w:color w:val="auto"/>
            <w:spacing w:val="0"/>
            <w:kern w:val="2"/>
            <w:sz w:val="24"/>
            <w:szCs w:val="15"/>
            <w:shd w:val="clear" w:fill="FFFFFF"/>
            <w:lang w:val="en-US" w:bidi="ar-SA"/>
          </w:rPr>
          <m:t>m</m:t>
        </m:r>
      </m:oMath>
      <w:r>
        <w:rPr>
          <w:rFonts w:hint="default" w:ascii="仿宋" w:hAnsi="Times New Roman" w:eastAsia="仿宋" w:cs="Times New Roman"/>
          <w:i w:val="0"/>
          <w:iCs w:val="0"/>
          <w:caps w:val="0"/>
          <w:color w:val="auto"/>
          <w:spacing w:val="0"/>
          <w:sz w:val="24"/>
          <w:szCs w:val="1"/>
          <w:shd w:val="clear" w:fill="FFFFFF"/>
        </w:rPr>
        <w:t>​​</w:t>
      </w:r>
    </w:p>
    <w:p w14:paraId="1CD2351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m:oMath>
        <m:r>
          <m:rPr/>
          <w:rPr>
            <w:rFonts w:hint="default" w:ascii="Cambria Math" w:hAnsi="Cambria Math" w:eastAsia="仿宋" w:cs="KaTeX_Math"/>
            <w:caps w:val="0"/>
            <w:color w:val="auto"/>
            <w:spacing w:val="0"/>
            <w:kern w:val="2"/>
            <w:sz w:val="24"/>
            <w:szCs w:val="25"/>
            <w:shd w:val="clear" w:fill="FFFFFF"/>
            <w:lang w:val="en-US" w:bidi="ar-SA"/>
          </w:rPr>
          <m:t>U</m:t>
        </m:r>
        <m:r>
          <m:rPr/>
          <w:rPr>
            <w:rFonts w:hint="default" w:ascii="Cambria Math" w:hAnsi="Cambria Math" w:eastAsia="仿宋" w:cs="KaTeX_Math"/>
            <w:caps w:val="0"/>
            <w:color w:val="auto"/>
            <w:spacing w:val="0"/>
            <w:kern w:val="2"/>
            <w:sz w:val="24"/>
            <w:szCs w:val="14"/>
            <w:shd w:val="clear" w:fill="FFFFFF"/>
            <w:lang w:val="en-US" w:bidi="ar-SA"/>
          </w:rPr>
          <m:t>b</m:t>
        </m:r>
        <m:r>
          <m:rPr>
            <m:sty m:val="p"/>
          </m:rPr>
          <w:rPr>
            <w:rFonts w:hint="default" w:ascii="Cambria Math" w:hAnsi="Cambria Math" w:eastAsia="仿宋" w:cs="Times New Roman"/>
            <w:caps w:val="0"/>
            <w:color w:val="auto"/>
            <w:spacing w:val="0"/>
            <w:kern w:val="2"/>
            <w:sz w:val="24"/>
            <w:szCs w:val="14"/>
            <w:shd w:val="clear" w:fill="FFFFFF"/>
            <w:lang w:val="en-US" w:bidi="ar-SA"/>
          </w:rPr>
          <m:t>_</m:t>
        </m:r>
        <m:r>
          <m:rPr/>
          <w:rPr>
            <w:rFonts w:hint="default" w:ascii="Cambria Math" w:hAnsi="Cambria Math" w:eastAsia="仿宋" w:cs="KaTeX_Math"/>
            <w:caps w:val="0"/>
            <w:color w:val="auto"/>
            <w:spacing w:val="0"/>
            <w:kern w:val="2"/>
            <w:sz w:val="24"/>
            <w:szCs w:val="14"/>
            <w:shd w:val="clear" w:fill="FFFFFF"/>
            <w:lang w:val="en-US" w:bidi="ar-SA"/>
          </w:rPr>
          <m:t>dca</m:t>
        </m:r>
        <m:r>
          <m:rPr>
            <m:sty m:val="p"/>
          </m:rPr>
          <w:rPr>
            <w:rFonts w:hint="default" w:ascii="Cambria Math" w:hAnsi="Cambria Math" w:eastAsia="仿宋" w:cs="Times New Roman"/>
            <w:caps w:val="0"/>
            <w:color w:val="auto"/>
            <w:spacing w:val="0"/>
            <w:kern w:val="2"/>
            <w:sz w:val="24"/>
            <w:szCs w:val="25"/>
            <w:shd w:val="clear" w:fill="FFFFFF"/>
            <w:lang w:val="en-US" w:bidi="ar-SA"/>
          </w:rPr>
          <m:t>=</m:t>
        </m:r>
        <m:r>
          <m:rPr/>
          <w:rPr>
            <w:rFonts w:hint="default" w:ascii="Cambria Math" w:hAnsi="Cambria Math" w:eastAsia="仿宋" w:cs="KaTeX_Math"/>
            <w:caps w:val="0"/>
            <w:color w:val="auto"/>
            <w:spacing w:val="0"/>
            <w:kern w:val="2"/>
            <w:sz w:val="24"/>
            <w:szCs w:val="25"/>
            <w:shd w:val="clear" w:fill="FFFFFF"/>
            <w:lang w:val="en-US" w:bidi="ar-SA"/>
          </w:rPr>
          <m:t>U</m:t>
        </m:r>
        <m:r>
          <m:rPr/>
          <w:rPr>
            <w:rFonts w:hint="default" w:ascii="Cambria Math" w:hAnsi="Cambria Math" w:eastAsia="仿宋" w:cs="KaTeX_Math"/>
            <w:caps w:val="0"/>
            <w:color w:val="auto"/>
            <w:spacing w:val="0"/>
            <w:kern w:val="2"/>
            <w:sz w:val="24"/>
            <w:szCs w:val="14"/>
            <w:shd w:val="clear" w:fill="FFFFFF"/>
            <w:lang w:val="en-US" w:bidi="ar-SA"/>
          </w:rPr>
          <m:t>high</m:t>
        </m:r>
        <m:r>
          <m:rPr>
            <m:sty m:val="p"/>
          </m:rPr>
          <w:rPr>
            <w:rFonts w:hint="default" w:ascii="Cambria Math" w:hAnsi="Cambria Math" w:eastAsia="仿宋" w:cs="Times New Roman"/>
            <w:caps w:val="0"/>
            <w:color w:val="auto"/>
            <w:spacing w:val="0"/>
            <w:kern w:val="2"/>
            <w:sz w:val="24"/>
            <w:szCs w:val="25"/>
            <w:shd w:val="clear" w:fill="FFFFFF"/>
            <w:lang w:val="en-US" w:bidi="ar-SA"/>
          </w:rPr>
          <m:t>×</m:t>
        </m:r>
        <m:r>
          <m:rPr>
            <m:sty m:val="p"/>
          </m:rPr>
          <w:rPr>
            <w:rFonts w:hint="default" w:ascii="Cambria Math" w:hAnsi="Cambria Math" w:eastAsia="仿宋" w:cs="Times New Roman"/>
            <w:caps w:val="0"/>
            <w:color w:val="auto"/>
            <w:spacing w:val="0"/>
            <w:kern w:val="2"/>
            <w:sz w:val="24"/>
            <w:szCs w:val="25"/>
            <w:shd w:val="clear" w:fill="FFFFFF"/>
            <w:lang w:val="en-US" w:eastAsia="zh-CN" w:bidi="ar-SA"/>
          </w:rPr>
          <m:t>(</m:t>
        </m:r>
        <m:r>
          <m:rPr>
            <m:sty m:val="p"/>
          </m:rPr>
          <w:rPr>
            <w:rFonts w:hint="default" w:ascii="Cambria Math" w:hAnsi="Cambria Math" w:eastAsia="仿宋" w:cs="Times New Roman"/>
            <w:caps w:val="0"/>
            <w:color w:val="auto"/>
            <w:spacing w:val="0"/>
            <w:kern w:val="2"/>
            <w:sz w:val="24"/>
            <w:szCs w:val="14"/>
            <w:shd w:val="clear" w:fill="FFFFFF"/>
            <w:lang w:val="en-US" w:bidi="ar-SA"/>
          </w:rPr>
          <m:t>1−</m:t>
        </m:r>
        <m:r>
          <m:rPr/>
          <w:rPr>
            <w:rFonts w:hint="default" w:ascii="Cambria Math" w:hAnsi="Cambria Math" w:eastAsia="仿宋" w:cs="KaTeX_Math"/>
            <w:caps w:val="0"/>
            <w:color w:val="auto"/>
            <w:spacing w:val="0"/>
            <w:kern w:val="2"/>
            <w:sz w:val="24"/>
            <w:szCs w:val="14"/>
            <w:shd w:val="clear" w:fill="FFFFFF"/>
            <w:lang w:val="en-US" w:bidi="ar-SA"/>
          </w:rPr>
          <m:t>p</m:t>
        </m:r>
        <m:r>
          <m:rPr/>
          <w:rPr>
            <w:rFonts w:hint="default" w:ascii="Cambria Math" w:hAnsi="Cambria Math" w:eastAsia="仿宋" w:cs="KaTeX_Math"/>
            <w:caps w:val="0"/>
            <w:color w:val="auto"/>
            <w:spacing w:val="0"/>
            <w:kern w:val="2"/>
            <w:sz w:val="24"/>
            <w:szCs w:val="15"/>
            <w:shd w:val="clear" w:fill="FFFFFF"/>
            <w:lang w:val="en-US" w:bidi="ar-SA"/>
          </w:rPr>
          <m:t>m</m:t>
        </m:r>
        <m:r>
          <m:rPr>
            <m:sty m:val="p"/>
          </m:rPr>
          <w:rPr>
            <w:rFonts w:hint="default" w:ascii="Cambria Math" w:hAnsi="Cambria Math" w:eastAsia="仿宋" w:cs="Times New Roman"/>
            <w:caps w:val="0"/>
            <w:color w:val="auto"/>
            <w:spacing w:val="0"/>
            <w:kern w:val="2"/>
            <w:sz w:val="24"/>
            <w:szCs w:val="14"/>
            <w:shd w:val="clear" w:fill="FFFFFF"/>
            <w:lang w:val="en-US" w:bidi="ar-SA"/>
          </w:rPr>
          <m:t>−</m:t>
        </m:r>
        <m:r>
          <m:rPr/>
          <w:rPr>
            <w:rFonts w:hint="default" w:ascii="Cambria Math" w:hAnsi="Cambria Math" w:eastAsia="仿宋" w:cs="KaTeX_Math"/>
            <w:caps w:val="0"/>
            <w:color w:val="auto"/>
            <w:spacing w:val="0"/>
            <w:kern w:val="2"/>
            <w:sz w:val="24"/>
            <w:szCs w:val="14"/>
            <w:shd w:val="clear" w:fill="FFFFFF"/>
            <w:lang w:val="en-US" w:bidi="ar-SA"/>
          </w:rPr>
          <m:t>p</m:t>
        </m:r>
        <m:r>
          <m:rPr/>
          <w:rPr>
            <w:rFonts w:hint="default" w:ascii="Cambria Math" w:hAnsi="Cambria Math" w:eastAsia="仿宋" w:cs="KaTeX_Math"/>
            <w:caps w:val="0"/>
            <w:color w:val="auto"/>
            <w:spacing w:val="0"/>
            <w:kern w:val="2"/>
            <w:sz w:val="24"/>
            <w:szCs w:val="15"/>
            <w:shd w:val="clear" w:fill="FFFFFF"/>
            <w:lang w:val="en-US" w:bidi="ar-SA"/>
          </w:rPr>
          <m:t>b</m:t>
        </m:r>
        <m:r>
          <m:rPr/>
          <w:rPr>
            <w:rFonts w:hint="default" w:ascii="Cambria Math" w:hAnsi="Cambria Math" w:eastAsia="仿宋" w:cs="KaTeX_Math"/>
            <w:caps w:val="0"/>
            <w:color w:val="auto"/>
            <w:spacing w:val="0"/>
            <w:kern w:val="2"/>
            <w:sz w:val="24"/>
            <w:szCs w:val="15"/>
            <w:shd w:val="clear" w:fill="FFFFFF"/>
            <w:lang w:val="en-US" w:eastAsia="zh-CN" w:bidi="ar-SA"/>
          </w:rPr>
          <m:t>)/pb</m:t>
        </m:r>
        <m:r>
          <m:rPr>
            <m:sty m:val="p"/>
          </m:rPr>
          <w:rPr>
            <w:rFonts w:hint="default" w:ascii="Cambria Math" w:hAnsi="Cambria Math" w:eastAsia="仿宋" w:cs="Times New Roman"/>
            <w:caps w:val="0"/>
            <w:color w:val="auto"/>
            <w:spacing w:val="0"/>
            <w:kern w:val="2"/>
            <w:sz w:val="24"/>
            <w:szCs w:val="1"/>
            <w:shd w:val="clear" w:fill="FFFFFF"/>
            <w:lang w:val="en-US" w:bidi="ar-SA"/>
          </w:rPr>
          <m:t>​</m:t>
        </m:r>
      </m:oMath>
      <w:r>
        <w:rPr>
          <w:rFonts w:hint="default" w:ascii="仿宋" w:hAnsi="Times New Roman" w:eastAsia="仿宋" w:cs="Times New Roman"/>
          <w:i w:val="0"/>
          <w:iCs w:val="0"/>
          <w:caps w:val="0"/>
          <w:color w:val="auto"/>
          <w:spacing w:val="0"/>
          <w:sz w:val="24"/>
          <w:szCs w:val="1"/>
          <w:shd w:val="clear" w:fill="FFFFFF"/>
        </w:rPr>
        <w:t>​</w:t>
      </w:r>
    </w:p>
    <w:p w14:paraId="1002B16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二元一次方程组</w:t>
      </w:r>
      <w:r>
        <w:rPr>
          <w:rFonts w:hint="default" w:ascii="仿宋" w:hAnsi="Segoe UI" w:eastAsia="仿宋" w:cs="Segoe UI"/>
          <w:i w:val="0"/>
          <w:iCs w:val="0"/>
          <w:caps w:val="0"/>
          <w:color w:val="auto"/>
          <w:spacing w:val="0"/>
          <w:sz w:val="24"/>
          <w:szCs w:val="19"/>
          <w:shd w:val="clear" w:fill="FFFFFF"/>
        </w:rPr>
        <w:t>：</w:t>
      </w:r>
    </w:p>
    <w:p w14:paraId="62E3E0D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设月初额外再平衡补仓额为 Δm、Δb，则月末低波动资产比例应精确回归目标值：</w:t>
      </w:r>
    </w:p>
    <w:p w14:paraId="2163574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hAnsi="Cambria Math" w:eastAsia="仿宋" w:cs="Times New Roman"/>
          <w:i w:val="0"/>
          <w:iCs w:val="0"/>
          <w:caps w:val="0"/>
          <w:color w:val="auto"/>
          <w:spacing w:val="0"/>
          <w:kern w:val="2"/>
          <w:sz w:val="24"/>
          <w:szCs w:val="25"/>
          <w:shd w:val="clear" w:fill="FFFFFF"/>
          <w:lang w:val="en-US" w:bidi="ar-SA"/>
        </w:rPr>
      </w:pPr>
      <m:oMathPara>
        <m:oMath>
          <m:r>
            <m:rPr/>
            <w:rPr>
              <w:rFonts w:hint="default" w:ascii="Cambria Math" w:hAnsi="Cambria Math" w:eastAsia="仿宋"/>
              <w:sz w:val="24"/>
            </w:rPr>
            <m:t>Vm+Δm+U</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d</m:t>
              </m:r>
              <m:ctrlPr>
                <w:rPr>
                  <w:rFonts w:ascii="Cambria Math" w:hAnsi="Cambria Math" w:eastAsia="仿宋"/>
                  <w:sz w:val="24"/>
                </w:rPr>
              </m:ctrlPr>
            </m:sub>
          </m:sSub>
          <m:r>
            <m:rPr/>
            <w:rPr>
              <w:rFonts w:hint="default" w:ascii="Cambria Math" w:hAnsi="Cambria Math" w:eastAsia="仿宋"/>
              <w:sz w:val="24"/>
            </w:rPr>
            <m:t>caVcurr+Δm+Δb+Utotal=pm</m:t>
          </m:r>
        </m:oMath>
      </m:oMathPara>
    </w:p>
    <w:p w14:paraId="3DE22F5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hAnsi="Cambria Math" w:eastAsia="仿宋" w:cs="Times New Roman"/>
          <w:i w:val="0"/>
          <w:iCs w:val="0"/>
          <w:caps w:val="0"/>
          <w:color w:val="auto"/>
          <w:spacing w:val="0"/>
          <w:kern w:val="2"/>
          <w:sz w:val="24"/>
          <w:szCs w:val="25"/>
          <w:shd w:val="clear" w:fill="FFFFFF"/>
          <w:lang w:val="en-US" w:bidi="ar-SA"/>
        </w:rPr>
      </w:pPr>
      <m:oMathPara>
        <m:oMath>
          <m:r>
            <m:rPr>
              <m:sty m:val="p"/>
            </m:rPr>
            <w:rPr>
              <w:rFonts w:hint="default" w:ascii="Cambria Math" w:hAnsi="Cambria Math" w:eastAsia="仿宋" w:cs="Times New Roman"/>
              <w:caps w:val="0"/>
              <w:color w:val="auto"/>
              <w:spacing w:val="0"/>
              <w:kern w:val="2"/>
              <w:sz w:val="24"/>
              <w:szCs w:val="25"/>
              <w:shd w:val="clear" w:fill="FFFFFF"/>
              <w:lang w:val="en-US" w:bidi="ar-SA"/>
            </w:rPr>
            <m:t>Vb+Δb+Ub_dcaVcurr+Δm+Δb+Utotal=pb</m:t>
          </m:r>
        </m:oMath>
      </m:oMathPara>
    </w:p>
    <w:p w14:paraId="49900912">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整理得：</w:t>
      </w:r>
    </w:p>
    <w:p w14:paraId="62C4982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hAnsi="Cambria Math" w:eastAsia="仿宋" w:cs="Times New Roman"/>
          <w:i w:val="0"/>
          <w:iCs w:val="0"/>
          <w:caps w:val="0"/>
          <w:color w:val="auto"/>
          <w:spacing w:val="0"/>
          <w:kern w:val="2"/>
          <w:sz w:val="24"/>
          <w:szCs w:val="25"/>
          <w:shd w:val="clear" w:fill="FFFFFF"/>
          <w:lang w:val="en-US" w:bidi="ar-SA"/>
        </w:rPr>
      </w:pPr>
      <m:oMathPara>
        <m:oMath>
          <m:r>
            <m:rPr/>
            <w:rPr>
              <w:rFonts w:hint="default" w:ascii="Cambria Math" w:hAnsi="Cambria Math" w:eastAsia="仿宋"/>
              <w:sz w:val="24"/>
            </w:rPr>
            <m:t>(1−pm​)Δm−pm​Δb=pm​(Vcurr​+Utotal​)−(Vm​+U</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d</m:t>
              </m:r>
              <m:ctrlPr>
                <w:rPr>
                  <w:rFonts w:ascii="Cambria Math" w:hAnsi="Cambria Math" w:eastAsia="仿宋"/>
                  <w:sz w:val="24"/>
                </w:rPr>
              </m:ctrlPr>
            </m:sub>
          </m:sSub>
          <m:r>
            <m:rPr/>
            <w:rPr>
              <w:rFonts w:hint="default" w:ascii="Cambria Math" w:hAnsi="Cambria Math" w:eastAsia="仿宋"/>
              <w:sz w:val="24"/>
            </w:rPr>
            <m:t>ca​)</m:t>
          </m:r>
        </m:oMath>
      </m:oMathPara>
    </w:p>
    <w:p w14:paraId="1767F04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hAnsi="Cambria Math" w:eastAsia="仿宋" w:cs="Times New Roman"/>
          <w:i w:val="0"/>
          <w:iCs w:val="0"/>
          <w:caps w:val="0"/>
          <w:color w:val="auto"/>
          <w:spacing w:val="0"/>
          <w:kern w:val="2"/>
          <w:sz w:val="24"/>
          <w:szCs w:val="25"/>
          <w:shd w:val="clear" w:fill="FFFFFF"/>
          <w:lang w:val="en-US" w:bidi="ar-SA"/>
        </w:rPr>
      </w:pPr>
      <m:oMathPara>
        <m:oMath>
          <m:r>
            <m:rPr>
              <m:sty m:val="p"/>
            </m:rPr>
            <w:rPr>
              <w:rFonts w:hint="default" w:ascii="Cambria Math" w:hAnsi="Cambria Math" w:eastAsia="仿宋" w:cs="Times New Roman"/>
              <w:caps w:val="0"/>
              <w:color w:val="auto"/>
              <w:spacing w:val="0"/>
              <w:kern w:val="2"/>
              <w:sz w:val="24"/>
              <w:szCs w:val="25"/>
              <w:shd w:val="clear" w:fill="FFFFFF"/>
              <w:lang w:val="en-US" w:bidi="ar-SA"/>
            </w:rPr>
            <m:t>−pbΔm+(1−pb)Δb=pb(Vcurr+Utotal)−(Vb+Ub_dca)</m:t>
          </m:r>
        </m:oMath>
      </m:oMathPara>
    </w:p>
    <w:p w14:paraId="0B1C91A6">
      <w:pPr>
        <w:pStyle w:val="7"/>
        <w:keepNext w:val="0"/>
        <w:keepLines w:val="0"/>
        <w:widowControl/>
        <w:suppressLineNumbers w:val="0"/>
        <w:shd w:val="clear" w:fill="FFFFFF"/>
        <w:snapToGrid/>
        <w:spacing w:before="192" w:beforeAutospacing="0" w:after="192" w:afterAutospacing="0" w:line="240" w:lineRule="auto"/>
        <w:ind w:right="0" w:rightChars="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系数矩阵行列式 </w:t>
      </w:r>
      <m:oMath>
        <m:r>
          <m:rPr>
            <m:sty m:val="p"/>
          </m:rPr>
          <w:rPr>
            <w:rFonts w:hint="default" w:ascii="Cambria Math" w:hAnsi="Cambria Math" w:eastAsia="仿宋" w:cs="Times New Roman"/>
            <w:caps w:val="0"/>
            <w:color w:val="auto"/>
            <w:spacing w:val="0"/>
            <w:kern w:val="2"/>
            <w:sz w:val="24"/>
            <w:szCs w:val="25"/>
            <w:shd w:val="clear" w:fill="FFFFFF"/>
            <w:lang w:val="en-US" w:bidi="ar-SA"/>
          </w:rPr>
          <m:t>=1−pm−pb=0.75≠0</m:t>
        </m:r>
      </m:oMath>
      <w:r>
        <w:rPr>
          <w:rFonts w:hint="default" w:ascii="仿宋" w:hAnsi="Segoe UI" w:eastAsia="仿宋" w:cs="Segoe UI"/>
          <w:i w:val="0"/>
          <w:iCs w:val="0"/>
          <w:caps w:val="0"/>
          <w:color w:val="auto"/>
          <w:spacing w:val="0"/>
          <w:sz w:val="24"/>
          <w:szCs w:val="19"/>
          <w:shd w:val="clear" w:fill="FFFFFF"/>
        </w:rPr>
        <w:t>，始终存在唯一解析解。</w:t>
      </w:r>
    </w:p>
    <w:p w14:paraId="393D57F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eastAsia" w:ascii="仿宋" w:eastAsia="仿宋"/>
          <w:sz w:val="24"/>
          <w:lang w:eastAsia="zh-CN"/>
        </w:rPr>
      </w:pPr>
      <w:r>
        <w:rPr>
          <w:rFonts w:hint="default" w:ascii="仿宋" w:hAnsi="Segoe UI" w:eastAsia="仿宋" w:cs="Segoe UI"/>
          <w:b/>
          <w:bCs/>
          <w:i w:val="0"/>
          <w:iCs w:val="0"/>
          <w:caps w:val="0"/>
          <w:color w:val="auto"/>
          <w:spacing w:val="0"/>
          <w:sz w:val="24"/>
          <w:szCs w:val="19"/>
          <w:shd w:val="clear" w:fill="FFFFFF"/>
        </w:rPr>
        <w:t>输出</w:t>
      </w:r>
      <w:r>
        <w:rPr>
          <w:rFonts w:hint="eastAsia" w:ascii="仿宋" w:hAnsi="Segoe UI" w:eastAsia="仿宋" w:cs="Segoe UI"/>
          <w:b/>
          <w:bCs/>
          <w:i w:val="0"/>
          <w:iCs w:val="0"/>
          <w:caps w:val="0"/>
          <w:color w:val="auto"/>
          <w:spacing w:val="0"/>
          <w:sz w:val="24"/>
          <w:szCs w:val="19"/>
          <w:shd w:val="clear" w:fill="FFFFFF"/>
          <w:lang w:eastAsia="zh-CN"/>
        </w:rPr>
        <w:t>：</w:t>
      </w:r>
    </w:p>
    <w:p w14:paraId="7CB3932E">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Δm：货币类存量修正补仓额</w:t>
      </w:r>
    </w:p>
    <w:p w14:paraId="6CC7F949">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Δb：固收类存量修正补仓额</w:t>
      </w:r>
    </w:p>
    <w:p w14:paraId="2A371C7A">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货币类月初合并操作额 = Δm + U_m_dca</w:t>
      </w:r>
    </w:p>
    <w:p w14:paraId="7B1D575F">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固收类月初合并操作额 = Δb + U_b_dca</w:t>
      </w:r>
    </w:p>
    <w:p w14:paraId="548DC72D">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当月总投入 = 合并操作额 + U_high</w:t>
      </w:r>
    </w:p>
    <w:p w14:paraId="200AF91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算法的控制论意义</w:t>
      </w:r>
      <w:r>
        <w:rPr>
          <w:rFonts w:hint="default" w:ascii="仿宋" w:hAnsi="Segoe UI" w:eastAsia="仿宋" w:cs="Segoe UI"/>
          <w:i w:val="0"/>
          <w:iCs w:val="0"/>
          <w:caps w:val="0"/>
          <w:color w:val="auto"/>
          <w:spacing w:val="0"/>
          <w:sz w:val="24"/>
          <w:szCs w:val="19"/>
          <w:shd w:val="clear" w:fill="FFFFFF"/>
        </w:rPr>
        <w:t>：</w:t>
      </w:r>
    </w:p>
    <w:p w14:paraId="53A4820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该求解过程的数学本质，是现代控制理论中状态反馈控制的降维特例。将六大类比例视为状态向量x，月初补仓与定投分配视为控制输入u，则月末状态演化可表为</w:t>
      </w:r>
      <m:oMath>
        <m:r>
          <m:rPr>
            <m:sty m:val="p"/>
          </m:rPr>
          <w:rPr>
            <w:rFonts w:hint="default" w:ascii="Cambria Math" w:hAnsi="Cambria Math" w:eastAsia="仿宋" w:cs="Segoe UI"/>
            <w:caps w:val="0"/>
            <w:color w:val="auto"/>
            <w:spacing w:val="0"/>
            <w:kern w:val="2"/>
            <w:sz w:val="24"/>
            <w:szCs w:val="19"/>
            <w:shd w:val="clear" w:fill="FFFFFF"/>
            <w:lang w:val="en-US" w:bidi="ar-SA"/>
          </w:rPr>
          <m:t> </m:t>
        </m:r>
        <m:r>
          <m:rPr>
            <m:sty m:val="p"/>
          </m:rPr>
          <w:rPr>
            <w:rFonts w:hint="default" w:ascii="Cambria Math" w:hAnsi="Cambria Math" w:eastAsia="仿宋" w:cs="Times New Roman"/>
            <w:caps w:val="0"/>
            <w:color w:val="auto"/>
            <w:spacing w:val="0"/>
            <w:kern w:val="2"/>
            <w:sz w:val="24"/>
            <w:szCs w:val="25"/>
            <w:shd w:val="clear" w:fill="FFFFFF"/>
            <w:lang w:val="en-US" w:bidi="ar-SA"/>
          </w:rPr>
          <m:t>x(k+1)=Ax(k)+Bu(k)</m:t>
        </m:r>
      </m:oMath>
      <w:r>
        <w:rPr>
          <w:rFonts w:hint="default" w:ascii="仿宋" w:hAnsi="Segoe UI" w:eastAsia="仿宋" w:cs="Segoe UI"/>
          <w:i w:val="0"/>
          <w:iCs w:val="0"/>
          <w:caps w:val="0"/>
          <w:color w:val="auto"/>
          <w:spacing w:val="0"/>
          <w:sz w:val="24"/>
          <w:szCs w:val="19"/>
          <w:shd w:val="clear" w:fill="FFFFFF"/>
        </w:rPr>
        <w:t>。从目标状态反推控制输入等价于求解状态反馈增益矩阵K。本研究通过将高波动资产归入"不可控但可观测"的扰动项，将六维状态空间解耦并降维至二维，从而将矩阵求逆问题简化为二元一次方程组求解。</w:t>
      </w:r>
    </w:p>
    <w:p w14:paraId="7E7A396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：ZOH工作论文第3.5节。</w:t>
      </w:r>
    </w:p>
    <w:p w14:paraId="6858A5D1">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4.2 三层约束处理规则</w:t>
      </w:r>
    </w:p>
    <w:p w14:paraId="3DB8EA1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理论计算出的补仓额在实际执行中面临真实金融产品的物理约束。本系统设计了三层约束处理规则：</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6020"/>
        <w:gridCol w:w="1311"/>
      </w:tblGrid>
      <w:tr w14:paraId="5EF6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64"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F7B23B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w:t>
            </w:r>
          </w:p>
        </w:tc>
        <w:tc>
          <w:tcPr>
            <w:tcW w:w="602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7031FA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处理方式</w:t>
            </w:r>
          </w:p>
        </w:tc>
        <w:tc>
          <w:tcPr>
            <w:tcW w:w="131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C9F383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用户交互</w:t>
            </w:r>
          </w:p>
        </w:tc>
      </w:tr>
      <w:tr w14:paraId="53AD1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89BD42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申购起点</w:t>
            </w:r>
          </w:p>
        </w:tc>
        <w:tc>
          <w:tcPr>
            <w:tcW w:w="602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3CA80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用户可配置（默认100元），低于起点的理论补仓额暂不执行</w:t>
            </w:r>
          </w:p>
        </w:tc>
        <w:tc>
          <w:tcPr>
            <w:tcW w:w="13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B70CD5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资产配置页面修改</w:t>
            </w:r>
          </w:p>
        </w:tc>
      </w:tr>
      <w:tr w14:paraId="2B440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6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EB56F1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现金流上限</w:t>
            </w:r>
          </w:p>
        </w:tc>
        <w:tc>
          <w:tcPr>
            <w:tcW w:w="602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D3C18D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用户可配置月度总投入上限，超出上限时削减高波校正预算（软约束）</w:t>
            </w:r>
            <w:r>
              <w:rPr>
                <w:rFonts w:hint="eastAsia" w:ascii="Segoe UI" w:hAnsi="Segoe UI" w:eastAsia="Segoe UI" w:cs="Segoe UI"/>
                <w:kern w:val="0"/>
                <w:sz w:val="18"/>
                <w:szCs w:val="18"/>
                <w:lang w:val="en-US" w:eastAsia="zh-CN" w:bidi="ar"/>
              </w:rPr>
              <w:t>，而非低波补仓额（硬约束）</w:t>
            </w:r>
          </w:p>
        </w:tc>
        <w:tc>
          <w:tcPr>
            <w:tcW w:w="13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D8CF5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资产配置页面修改</w:t>
            </w:r>
          </w:p>
        </w:tc>
      </w:tr>
      <w:tr w14:paraId="0DC87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64"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9710FF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取整误差</w:t>
            </w:r>
          </w:p>
        </w:tc>
        <w:tc>
          <w:tcPr>
            <w:tcW w:w="602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631070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系统给出取整建议（整十/百），用户可修改补仓数字，实时查看比例偏差，确认后入库</w:t>
            </w:r>
          </w:p>
        </w:tc>
        <w:tc>
          <w:tcPr>
            <w:tcW w:w="131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0792471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操作台弹窗交互</w:t>
            </w:r>
          </w:p>
        </w:tc>
      </w:tr>
    </w:tbl>
    <w:p w14:paraId="74FCAD1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取整误差交互流程</w:t>
      </w:r>
      <w:r>
        <w:rPr>
          <w:rFonts w:hint="default" w:ascii="仿宋" w:hAnsi="Segoe UI" w:eastAsia="仿宋" w:cs="Segoe UI"/>
          <w:i w:val="0"/>
          <w:iCs w:val="0"/>
          <w:caps w:val="0"/>
          <w:color w:val="auto"/>
          <w:spacing w:val="0"/>
          <w:sz w:val="24"/>
          <w:szCs w:val="19"/>
          <w:shd w:val="clear" w:fill="FFFFFF"/>
        </w:rPr>
        <w:t>：</w:t>
      </w:r>
    </w:p>
    <w:p w14:paraId="42269C88">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系统计算理论精确值（如货币169.79元，固收212.65元）</w:t>
      </w:r>
    </w:p>
    <w:p w14:paraId="129B110E">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系统给出取整建议（如货币170元，固收220元）</w:t>
      </w:r>
    </w:p>
    <w:p w14:paraId="297BCB6E">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系统计算取整后的比例偏差（如货币10.12%，固收15.07%）</w:t>
      </w:r>
    </w:p>
    <w:p w14:paraId="53CC0028">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用户可在弹窗中手动修改补仓数字，系统实时重算偏差</w:t>
      </w:r>
    </w:p>
    <w:p w14:paraId="72247F47">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用户确认后，最终补仓额写入数据库</w:t>
      </w:r>
    </w:p>
    <w:p w14:paraId="7BACC71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约束优先级</w:t>
      </w:r>
      <w:r>
        <w:rPr>
          <w:rFonts w:hint="default" w:ascii="仿宋" w:hAnsi="Segoe UI" w:eastAsia="仿宋" w:cs="Segoe UI"/>
          <w:i w:val="0"/>
          <w:iCs w:val="0"/>
          <w:caps w:val="0"/>
          <w:color w:val="auto"/>
          <w:spacing w:val="0"/>
          <w:sz w:val="24"/>
          <w:szCs w:val="19"/>
          <w:shd w:val="clear" w:fill="FFFFFF"/>
        </w:rPr>
        <w:t>：</w:t>
      </w:r>
    </w:p>
    <w:p w14:paraId="415E166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定投额U_high不可削减（系统核心纪律）&gt; 低波补仓额Δm、Δb不可妥协（低波比例必须达标）&gt; 高波校正可被削减（软约束，可通过α调节）</w:t>
      </w:r>
    </w:p>
    <w:p w14:paraId="7D645E6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设计知识来源</w:t>
      </w:r>
      <w:r>
        <w:rPr>
          <w:rFonts w:hint="default" w:ascii="仿宋" w:hAnsi="Segoe UI" w:eastAsia="仿宋" w:cs="Segoe UI"/>
          <w:i w:val="0"/>
          <w:iCs w:val="0"/>
          <w:caps w:val="0"/>
          <w:color w:val="auto"/>
          <w:spacing w:val="0"/>
          <w:sz w:val="24"/>
          <w:szCs w:val="19"/>
          <w:shd w:val="clear" w:fill="FFFFFF"/>
        </w:rPr>
        <w:t>：ZOH工作论文第3.5节、第5.3.1节、第6.2节。</w:t>
      </w:r>
    </w:p>
    <w:p w14:paraId="2E23A1D0">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4.3 LQR季度联动算法（</w:t>
      </w:r>
      <w:r>
        <w:rPr>
          <w:rFonts w:hint="eastAsia" w:ascii="仿宋" w:hAnsi="Segoe UI" w:eastAsia="仿宋" w:cs="Segoe UI"/>
          <w:b/>
          <w:bCs/>
          <w:caps w:val="0"/>
          <w:color w:val="auto"/>
          <w:spacing w:val="0"/>
          <w:sz w:val="30"/>
          <w:szCs w:val="24"/>
          <w:shd w:val="clear" w:fill="FFFFFF"/>
          <w:lang w:val="en-US" w:eastAsia="zh-CN"/>
        </w:rPr>
        <w:t>设计知识归档，</w:t>
      </w:r>
      <w:r>
        <w:rPr>
          <w:rFonts w:hint="default" w:ascii="仿宋" w:hAnsi="Segoe UI" w:eastAsia="仿宋" w:cs="Segoe UI"/>
          <w:b/>
          <w:bCs/>
          <w:caps w:val="0"/>
          <w:color w:val="auto"/>
          <w:spacing w:val="0"/>
          <w:sz w:val="30"/>
          <w:szCs w:val="24"/>
          <w:shd w:val="clear" w:fill="FFFFFF"/>
        </w:rPr>
        <w:t>远期</w:t>
      </w:r>
      <w:r>
        <w:rPr>
          <w:rFonts w:hint="eastAsia" w:ascii="仿宋" w:hAnsi="Segoe UI" w:eastAsia="仿宋" w:cs="Segoe UI"/>
          <w:b/>
          <w:bCs/>
          <w:caps w:val="0"/>
          <w:color w:val="auto"/>
          <w:spacing w:val="0"/>
          <w:sz w:val="30"/>
          <w:szCs w:val="24"/>
          <w:shd w:val="clear" w:fill="FFFFFF"/>
          <w:lang w:val="en-US" w:eastAsia="zh-CN"/>
        </w:rPr>
        <w:t>实现</w:t>
      </w:r>
      <w:r>
        <w:rPr>
          <w:rFonts w:hint="default" w:ascii="仿宋" w:hAnsi="Segoe UI" w:eastAsia="仿宋" w:cs="Segoe UI"/>
          <w:b/>
          <w:bCs/>
          <w:caps w:val="0"/>
          <w:color w:val="auto"/>
          <w:spacing w:val="0"/>
          <w:sz w:val="30"/>
          <w:szCs w:val="24"/>
          <w:shd w:val="clear" w:fill="FFFFFF"/>
        </w:rPr>
        <w:t>）</w:t>
      </w:r>
    </w:p>
    <w:p w14:paraId="17EAF20B">
      <w:pPr>
        <w:pStyle w:val="4"/>
        <w:bidi w:val="0"/>
        <w:rPr>
          <w:rFonts w:hint="default"/>
          <w:lang w:val="en-US" w:eastAsia="zh-CN"/>
        </w:rPr>
      </w:pPr>
      <w:r>
        <w:rPr>
          <w:rFonts w:hint="default"/>
          <w:lang w:val="en-US" w:eastAsia="zh-CN"/>
        </w:rPr>
        <w:t>4.3.1 算法定位与分层控制关系</w:t>
      </w:r>
    </w:p>
    <w:p w14:paraId="7CA2909B">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本算法与月度二元一次方程组（低波精确复位）共同构成“微观控制金融学”的分层控制架构：</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7"/>
        <w:gridCol w:w="1007"/>
        <w:gridCol w:w="1441"/>
        <w:gridCol w:w="3622"/>
        <w:gridCol w:w="1438"/>
      </w:tblGrid>
      <w:tr w14:paraId="67B8F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987"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32FD8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控制回路</w:t>
            </w:r>
          </w:p>
        </w:tc>
        <w:tc>
          <w:tcPr>
            <w:tcW w:w="100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BC18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采样周期</w:t>
            </w:r>
          </w:p>
        </w:tc>
        <w:tc>
          <w:tcPr>
            <w:tcW w:w="1441"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C9FC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算法</w:t>
            </w:r>
          </w:p>
        </w:tc>
        <w:tc>
          <w:tcPr>
            <w:tcW w:w="362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709B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功能</w:t>
            </w:r>
          </w:p>
        </w:tc>
        <w:tc>
          <w:tcPr>
            <w:tcW w:w="143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CA4E2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约束性质</w:t>
            </w:r>
          </w:p>
        </w:tc>
      </w:tr>
      <w:tr w14:paraId="40F43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B510F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快回路</w:t>
            </w:r>
          </w:p>
        </w:tc>
        <w:tc>
          <w:tcPr>
            <w:tcW w:w="100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26D22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每月初</w:t>
            </w:r>
          </w:p>
        </w:tc>
        <w:tc>
          <w:tcPr>
            <w:tcW w:w="14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37AD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二元一次方程组</w:t>
            </w:r>
          </w:p>
        </w:tc>
        <w:tc>
          <w:tcPr>
            <w:tcW w:w="362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3C0B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低波动资产（货币类、固收类）比例精确复位</w:t>
            </w:r>
          </w:p>
        </w:tc>
        <w:tc>
          <w:tcPr>
            <w:tcW w:w="143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7B7486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硬约束</w:t>
            </w:r>
          </w:p>
        </w:tc>
      </w:tr>
      <w:tr w14:paraId="7291E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69D8C3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慢回路</w:t>
            </w:r>
          </w:p>
        </w:tc>
        <w:tc>
          <w:tcPr>
            <w:tcW w:w="100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F01CA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每季度末</w:t>
            </w:r>
          </w:p>
        </w:tc>
        <w:tc>
          <w:tcPr>
            <w:tcW w:w="144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F979F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本算法</w:t>
            </w:r>
          </w:p>
        </w:tc>
        <w:tc>
          <w:tcPr>
            <w:tcW w:w="362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EA135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高波动资产内部比例校正 + 低波动资产比例复位</w:t>
            </w:r>
          </w:p>
        </w:tc>
        <w:tc>
          <w:tcPr>
            <w:tcW w:w="143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5BEE4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高波部分为软约束</w:t>
            </w:r>
          </w:p>
        </w:tc>
      </w:tr>
    </w:tbl>
    <w:p w14:paraId="25D0951F">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两种策略共享同一个CorrectionStrategy接口。CorrectionDispatcher根据当前日期判断——非季度末调用MonthlyCorrectionStrategy，季度末调用QuarterlyCorrectionStrategy。</w:t>
      </w:r>
    </w:p>
    <w:p w14:paraId="6202D9BE">
      <w:pPr>
        <w:pStyle w:val="4"/>
        <w:bidi w:val="0"/>
        <w:rPr>
          <w:rFonts w:hint="default"/>
          <w:lang w:val="en-US" w:eastAsia="zh-CN"/>
        </w:rPr>
      </w:pPr>
      <w:r>
        <w:rPr>
          <w:rFonts w:hint="default"/>
          <w:lang w:val="en-US" w:eastAsia="zh-CN"/>
        </w:rPr>
        <w:t>4.3.2 三参数动态调控体系</w:t>
      </w:r>
    </w:p>
    <w:p w14:paraId="1C41D13F">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LQR分层校正由三个参数共同构成完整的调控体系。它们不是预设的固定常数，而是随市场状态自适应调节的动态参数。</w:t>
      </w:r>
    </w:p>
    <w:p w14:paraId="023C3E93">
      <w:pPr>
        <w:pStyle w:val="5"/>
        <w:bidi w:val="0"/>
        <w:rPr>
          <w:rFonts w:hint="default"/>
          <w:lang w:val="en-US" w:eastAsia="zh-CN"/>
        </w:rPr>
      </w:pPr>
      <w:r>
        <w:rPr>
          <w:rFonts w:hint="default"/>
          <w:lang w:val="en-US" w:eastAsia="zh-CN"/>
        </w:rPr>
        <w:t>Alpha（α）——预算分配杠杆</w:t>
      </w:r>
    </w:p>
    <w:p w14:paraId="010B4BAD">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eastAsia" w:ascii="仿宋" w:hAnsi="仿宋" w:eastAsia="仿宋" w:cs="仿宋"/>
          <w:i w:val="0"/>
          <w:iCs w:val="0"/>
          <w:caps w:val="0"/>
          <w:color w:val="auto"/>
          <w:spacing w:val="0"/>
          <w:kern w:val="2"/>
          <w:sz w:val="24"/>
          <w:szCs w:val="19"/>
          <w:shd w:val="clear" w:fill="FFFFFF"/>
          <w:lang w:val="en-US" w:eastAsia="zh-CN" w:bidi="ar-SA"/>
        </w:rPr>
        <w:t>控制高波校正预算占总投入上限的比例。初始值50%，但非固定——根据市场状态双向动态调节。高波大涨时调低α，优先保护低波复位；高波大跌时调高α，低位积累修复结构；高波均衡时反向调高α，主动触发低波操作防止系统僵化。α的调节方向取决于高波整体涨跌与内部分化程度的组合状态，是预算分配的核心杠杆。</w:t>
      </w:r>
    </w:p>
    <w:p w14:paraId="1604035D">
      <w:pPr>
        <w:pStyle w:val="5"/>
        <w:bidi w:val="0"/>
        <w:rPr>
          <w:rFonts w:hint="default"/>
          <w:lang w:val="en-US" w:eastAsia="zh-CN"/>
        </w:rPr>
      </w:pPr>
      <w:r>
        <w:rPr>
          <w:rFonts w:hint="default"/>
          <w:lang w:val="en-US" w:eastAsia="zh-CN"/>
        </w:rPr>
        <w:t>Beta（β）——极端防线</w:t>
      </w:r>
    </w:p>
    <w:p w14:paraId="633A4A56">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触发校正卖出的硬性阈值。以某类高波资产占六大类总资产的实际比例相对于其设计比例的偏差来衡量：r_</w:t>
      </w:r>
      <m:oMath>
        <m:r>
          <m:rPr/>
          <w:rPr>
            <w:rFonts w:hint="default" w:ascii="Cambria Math"/>
          </w:rPr>
          <m:t>i=(</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actual/</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target)−1</m:t>
        </m:r>
      </m:oMath>
      <w:r>
        <w:rPr>
          <w:rFonts w:hint="default" w:ascii="仿宋" w:hAnsi="Segoe UI" w:eastAsia="仿宋" w:cs="Segoe UI"/>
          <w:i w:val="0"/>
          <w:iCs w:val="0"/>
          <w:caps w:val="0"/>
          <w:color w:val="auto"/>
          <w:spacing w:val="0"/>
          <w:kern w:val="2"/>
          <w:sz w:val="24"/>
          <w:szCs w:val="19"/>
          <w:shd w:val="clear" w:fill="FFFFFF"/>
          <w:lang w:val="en-US" w:eastAsia="zh-CN" w:bidi="ar-SA"/>
        </w:rPr>
        <w:t>。当r_i ≥ 20%时，触发一次性校正卖出。核心目的是防止单一资产风险过度集中，威胁整个账户的风险结构。触发频率极低，是系统的硬防线。</w:t>
      </w:r>
    </w:p>
    <w:p w14:paraId="14EA9932">
      <w:pPr>
        <w:pStyle w:val="5"/>
        <w:bidi w:val="0"/>
        <w:rPr>
          <w:rFonts w:hint="default"/>
          <w:lang w:val="en-US" w:eastAsia="zh-CN"/>
        </w:rPr>
      </w:pPr>
      <w:r>
        <w:rPr>
          <w:rFonts w:hint="default"/>
          <w:lang w:val="en-US" w:eastAsia="zh-CN"/>
        </w:rPr>
        <w:t>Gamma（γ）——柔性防线（未来参数）</w:t>
      </w:r>
    </w:p>
    <w:p w14:paraId="1D55B2BA">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处理严重内部分化但未达Beta阈值的死锁地带。当Beta未触发、Alpha又被压制不敢用时，Gamma允许执行温和的、有限的校正卖出，从严重超配的内部资产中释放资金用于补仓严重低配资产。具体标定需更多实盘数据支撑，是未来研究的课题。</w:t>
      </w:r>
    </w:p>
    <w:p w14:paraId="46A15EDB">
      <w:pPr>
        <w:pStyle w:val="4"/>
        <w:bidi w:val="0"/>
        <w:rPr>
          <w:rFonts w:hint="default"/>
          <w:lang w:val="en-US" w:eastAsia="zh-CN"/>
        </w:rPr>
      </w:pPr>
      <w:r>
        <w:rPr>
          <w:rFonts w:hint="default"/>
          <w:lang w:val="en-US" w:eastAsia="zh-CN"/>
        </w:rPr>
        <w:t>4.3.3 高波状态完全分类矩阵</w:t>
      </w:r>
    </w:p>
    <w:p w14:paraId="259C2CBD">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高波状态由两个维度共同决定：高波整体涨跌速率（大涨、小涨、横盘、小跌、大跌）和高波内部分化程度（严重分化、轻微分化）。两维度组合，形成六种状态：</w:t>
      </w:r>
      <w:bookmarkStart w:id="0" w:name="_GoBack"/>
      <w:bookmarkEnd w:id="0"/>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5"/>
        <w:gridCol w:w="3268"/>
        <w:gridCol w:w="2157"/>
        <w:gridCol w:w="1495"/>
      </w:tblGrid>
      <w:tr w14:paraId="667CF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576"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B206EE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状态</w:t>
            </w:r>
          </w:p>
        </w:tc>
        <w:tc>
          <w:tcPr>
            <w:tcW w:w="326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D5DB7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Alpha调节方向</w:t>
            </w:r>
          </w:p>
        </w:tc>
        <w:tc>
          <w:tcPr>
            <w:tcW w:w="215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21D5D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Beta/Gamma触发</w:t>
            </w:r>
          </w:p>
        </w:tc>
        <w:tc>
          <w:tcPr>
            <w:tcW w:w="149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5B61EB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宏观经济映射</w:t>
            </w:r>
          </w:p>
        </w:tc>
      </w:tr>
      <w:tr w14:paraId="3DE82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B7D1FD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大涨+轻微分化</w:t>
            </w:r>
          </w:p>
        </w:tc>
        <w:tc>
          <w:tcPr>
            <w:tcW w:w="32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7ACAC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保持中性（良性上涨）或调低（恶性上涨）</w:t>
            </w:r>
          </w:p>
        </w:tc>
        <w:tc>
          <w:tcPr>
            <w:tcW w:w="21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10155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不触发</w:t>
            </w:r>
          </w:p>
        </w:tc>
        <w:tc>
          <w:tcPr>
            <w:tcW w:w="149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A4EC19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温和复苏/经济过热</w:t>
            </w:r>
          </w:p>
        </w:tc>
      </w:tr>
      <w:tr w14:paraId="3C994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A9D447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大涨+严重分化</w:t>
            </w:r>
          </w:p>
        </w:tc>
        <w:tc>
          <w:tcPr>
            <w:tcW w:w="32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956F1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必须调低，优先保护低波复位</w:t>
            </w:r>
          </w:p>
        </w:tc>
        <w:tc>
          <w:tcPr>
            <w:tcW w:w="21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713A0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Beta可能触发</w:t>
            </w:r>
          </w:p>
        </w:tc>
        <w:tc>
          <w:tcPr>
            <w:tcW w:w="149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91FABB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经济过热/通胀</w:t>
            </w:r>
          </w:p>
        </w:tc>
      </w:tr>
      <w:tr w14:paraId="47C82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C7EC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小跌/停滞+严重分化</w:t>
            </w:r>
          </w:p>
        </w:tc>
        <w:tc>
          <w:tcPr>
            <w:tcW w:w="32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BF7BD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不能大幅调高，只能压制</w:t>
            </w:r>
          </w:p>
        </w:tc>
        <w:tc>
          <w:tcPr>
            <w:tcW w:w="21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C9951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Gamma未来可发挥作用</w:t>
            </w:r>
          </w:p>
        </w:tc>
        <w:tc>
          <w:tcPr>
            <w:tcW w:w="149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8B1B7A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滞胀</w:t>
            </w:r>
          </w:p>
        </w:tc>
      </w:tr>
      <w:tr w14:paraId="4905D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C74822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大跌+轻微分化</w:t>
            </w:r>
          </w:p>
        </w:tc>
        <w:tc>
          <w:tcPr>
            <w:tcW w:w="32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4FE32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调高，利用闲置资金低位补仓</w:t>
            </w:r>
          </w:p>
        </w:tc>
        <w:tc>
          <w:tcPr>
            <w:tcW w:w="21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05354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不触发</w:t>
            </w:r>
          </w:p>
        </w:tc>
        <w:tc>
          <w:tcPr>
            <w:tcW w:w="149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460762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衰退/通缩</w:t>
            </w:r>
          </w:p>
        </w:tc>
      </w:tr>
      <w:tr w14:paraId="5AE35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5A7DE3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大跌+严重分化</w:t>
            </w:r>
          </w:p>
        </w:tc>
        <w:tc>
          <w:tcPr>
            <w:tcW w:w="32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8F9B3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调高，但需警惕“校正性超配”陷阱</w:t>
            </w:r>
          </w:p>
        </w:tc>
        <w:tc>
          <w:tcPr>
            <w:tcW w:w="21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BD58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Beta可能触发</w:t>
            </w:r>
          </w:p>
        </w:tc>
        <w:tc>
          <w:tcPr>
            <w:tcW w:w="149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3CC88C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危机/崩溃</w:t>
            </w:r>
          </w:p>
        </w:tc>
      </w:tr>
      <w:tr w14:paraId="231EC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DC8643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微涨微跌+轻微分化</w:t>
            </w:r>
          </w:p>
        </w:tc>
        <w:tc>
          <w:tcPr>
            <w:tcW w:w="326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0F9C83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保持中性，可反向调高防止僵化</w:t>
            </w:r>
          </w:p>
        </w:tc>
        <w:tc>
          <w:tcPr>
            <w:tcW w:w="215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AEEFDC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不触发</w:t>
            </w:r>
          </w:p>
        </w:tc>
        <w:tc>
          <w:tcPr>
            <w:tcW w:w="149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B6E473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理想/复苏</w:t>
            </w:r>
          </w:p>
        </w:tc>
      </w:tr>
    </w:tbl>
    <w:p w14:paraId="72F02E50">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核心逻辑：Alpha的调节方向取决于高波整体涨跌与内部分化程度的组合状态，不是单一方向的线性调节，而是在二维约束下的动态平衡。</w:t>
      </w:r>
    </w:p>
    <w:p w14:paraId="20C0F9C6">
      <w:pPr>
        <w:pStyle w:val="4"/>
        <w:bidi w:val="0"/>
        <w:rPr>
          <w:rFonts w:hint="default"/>
          <w:lang w:val="en-US" w:eastAsia="zh-CN"/>
        </w:rPr>
      </w:pPr>
      <w:r>
        <w:rPr>
          <w:rFonts w:hint="default"/>
          <w:lang w:val="en-US" w:eastAsia="zh-CN"/>
        </w:rPr>
        <w:t>4.3.4 五大边界处理规则</w:t>
      </w:r>
    </w:p>
    <w:p w14:paraId="042FC4CF">
      <w:pPr>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边界一：</w:t>
      </w:r>
      <w:r>
        <w:rPr>
          <w:rFonts w:hint="default" w:ascii="仿宋" w:hAnsi="Segoe UI" w:eastAsia="仿宋" w:cs="Segoe UI"/>
          <w:i w:val="0"/>
          <w:iCs w:val="0"/>
          <w:caps w:val="0"/>
          <w:color w:val="auto"/>
          <w:spacing w:val="0"/>
          <w:kern w:val="2"/>
          <w:sz w:val="24"/>
          <w:szCs w:val="19"/>
          <w:shd w:val="clear" w:fill="FFFFFF"/>
          <w:lang w:val="en-US" w:eastAsia="zh-CN" w:bidi="ar-SA"/>
        </w:rPr>
        <w:t>方程组负值解（低波被动超配）</w:t>
      </w:r>
    </w:p>
    <w:p w14:paraId="04C74522">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触发条件：高波下跌且LQR校正无法对冲，校正后高波总市值仍下降，低波被动超配，二元一次方程组给出负值补仓额。</w:t>
      </w:r>
    </w:p>
    <w:p w14:paraId="33F171A4">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处理：负值强制置零，不卖低波。接受低波超配现状，下月低波定投照常投入。高波定投U_high不变。</w:t>
      </w:r>
    </w:p>
    <w:p w14:paraId="3C8EE08A">
      <w:pPr>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边界二：</w:t>
      </w:r>
      <w:r>
        <w:rPr>
          <w:rFonts w:hint="default" w:ascii="仿宋" w:hAnsi="Segoe UI" w:eastAsia="仿宋" w:cs="Segoe UI"/>
          <w:i w:val="0"/>
          <w:iCs w:val="0"/>
          <w:caps w:val="0"/>
          <w:color w:val="auto"/>
          <w:spacing w:val="0"/>
          <w:kern w:val="2"/>
          <w:sz w:val="24"/>
          <w:szCs w:val="19"/>
          <w:shd w:val="clear" w:fill="FFFFFF"/>
          <w:lang w:val="en-US" w:eastAsia="zh-CN" w:bidi="ar-SA"/>
        </w:rPr>
        <w:t>总约束无法满足低波需求</w:t>
      </w:r>
    </w:p>
    <w:p w14:paraId="020DD7A4">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触发条件：α降至0后，低波补仓额仍超过M_max。</w:t>
      </w:r>
    </w:p>
    <w:p w14:paraId="3A89363A">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处理：优先保证货币类补仓；削减固收补仓额；仍不足则启动跨平台置换；再不足则固收缺口遗留至下月。</w:t>
      </w:r>
    </w:p>
    <w:p w14:paraId="741A7460">
      <w:pPr>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边界三：</w:t>
      </w:r>
      <w:r>
        <w:rPr>
          <w:rFonts w:hint="default" w:ascii="仿宋" w:hAnsi="Segoe UI" w:eastAsia="仿宋" w:cs="Segoe UI"/>
          <w:i w:val="0"/>
          <w:iCs w:val="0"/>
          <w:caps w:val="0"/>
          <w:color w:val="auto"/>
          <w:spacing w:val="0"/>
          <w:kern w:val="2"/>
          <w:sz w:val="24"/>
          <w:szCs w:val="19"/>
          <w:shd w:val="clear" w:fill="FFFFFF"/>
          <w:lang w:val="en-US" w:eastAsia="zh-CN" w:bidi="ar-SA"/>
        </w:rPr>
        <w:t>高波上涨且校正后低波需增量</w:t>
      </w:r>
    </w:p>
    <w:p w14:paraId="5E0D9DEC">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触发条件：高波上涨+内部校正，总资产膨胀，低波需补更多资金。</w:t>
      </w:r>
    </w:p>
    <w:p w14:paraId="203F420A">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处理：按方程组精确求解；若总投入超限，削减α而非低波补仓。低波复位优先级高于高波校正。</w:t>
      </w:r>
    </w:p>
    <w:p w14:paraId="3C3E7681">
      <w:pPr>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边界四：</w:t>
      </w:r>
      <w:r>
        <w:rPr>
          <w:rFonts w:hint="default" w:ascii="仿宋" w:hAnsi="Segoe UI" w:eastAsia="仿宋" w:cs="Segoe UI"/>
          <w:i w:val="0"/>
          <w:iCs w:val="0"/>
          <w:caps w:val="0"/>
          <w:color w:val="auto"/>
          <w:spacing w:val="0"/>
          <w:kern w:val="2"/>
          <w:sz w:val="24"/>
          <w:szCs w:val="19"/>
          <w:shd w:val="clear" w:fill="FFFFFF"/>
          <w:lang w:val="en-US" w:eastAsia="zh-CN" w:bidi="ar-SA"/>
        </w:rPr>
        <w:t>极端超配阈值触发（负定投）</w:t>
      </w:r>
    </w:p>
    <w:p w14:paraId="566BDDCA">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触发条件：某高波资产相对六大类比例偏差≥20%。</w:t>
      </w:r>
    </w:p>
    <w:p w14:paraId="22A8928E">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处理：允许卖出至阈值以下，回笼资金加入高波校正预算。</w:t>
      </w:r>
    </w:p>
    <w:p w14:paraId="25D58580">
      <w:pPr>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边界五：</w:t>
      </w:r>
      <w:r>
        <w:rPr>
          <w:rFonts w:hint="default" w:ascii="仿宋" w:hAnsi="Segoe UI" w:eastAsia="仿宋" w:cs="Segoe UI"/>
          <w:i w:val="0"/>
          <w:iCs w:val="0"/>
          <w:caps w:val="0"/>
          <w:color w:val="auto"/>
          <w:spacing w:val="0"/>
          <w:kern w:val="2"/>
          <w:sz w:val="24"/>
          <w:szCs w:val="19"/>
          <w:shd w:val="clear" w:fill="FFFFFF"/>
          <w:lang w:val="en-US" w:eastAsia="zh-CN" w:bidi="ar-SA"/>
        </w:rPr>
        <w:t>高波低配时校正反超</w:t>
      </w:r>
    </w:p>
    <w:p w14:paraId="4775D560">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触发条件：校正前高波&lt;75%，内部校正后&gt;75%，导致额外低波补仓需求，总投入超限。</w:t>
      </w:r>
    </w:p>
    <w:p w14:paraId="37365F8E">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处理：迭代削减α，降低校正规模；极限情况可完全放弃内部校正，仅维持低波复位。</w:t>
      </w:r>
    </w:p>
    <w:p w14:paraId="48C2F430">
      <w:pPr>
        <w:pStyle w:val="4"/>
        <w:bidi w:val="0"/>
        <w:rPr>
          <w:rFonts w:hint="default"/>
          <w:lang w:val="en-US" w:eastAsia="zh-CN"/>
        </w:rPr>
      </w:pPr>
      <w:r>
        <w:rPr>
          <w:rFonts w:hint="default"/>
          <w:lang w:val="en-US" w:eastAsia="zh-CN"/>
        </w:rPr>
        <w:t>4.3.5 财务纪律体系</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6"/>
        <w:gridCol w:w="2386"/>
        <w:gridCol w:w="2403"/>
        <w:gridCol w:w="2460"/>
      </w:tblGrid>
      <w:tr w14:paraId="5F39A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79B7C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优先级</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D3B43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约束对象</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8993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资金来源</w:t>
            </w:r>
          </w:p>
        </w:tc>
        <w:tc>
          <w:tcPr>
            <w:tcW w:w="246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BAB0F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可调整性</w:t>
            </w:r>
          </w:p>
        </w:tc>
      </w:tr>
      <w:tr w14:paraId="08882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5EC23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1（最高）</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CA08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高波定投U_high</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6B3CE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严格当月结余</w:t>
            </w:r>
          </w:p>
        </w:tc>
        <w:tc>
          <w:tcPr>
            <w:tcW w:w="24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D9CBD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不可削减、不可置换</w:t>
            </w:r>
          </w:p>
        </w:tc>
      </w:tr>
      <w:tr w14:paraId="02D62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BF3E0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7C7B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低波补仓Δm、Δb</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355C3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当月结余+理财置换</w:t>
            </w:r>
          </w:p>
        </w:tc>
        <w:tc>
          <w:tcPr>
            <w:tcW w:w="24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0E3D4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不可削减，可动用置换</w:t>
            </w:r>
          </w:p>
        </w:tc>
      </w:tr>
      <w:tr w14:paraId="679AF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A8640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E68C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高波内部校正Δhigh</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51FA0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当月结余+理财置换</w:t>
            </w:r>
          </w:p>
        </w:tc>
        <w:tc>
          <w:tcPr>
            <w:tcW w:w="24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CF1C1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可削减（通过α调节）</w:t>
            </w:r>
          </w:p>
        </w:tc>
      </w:tr>
      <w:tr w14:paraId="5BA85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4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68C5FF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w:t>
            </w:r>
          </w:p>
        </w:tc>
        <w:tc>
          <w:tcPr>
            <w:tcW w:w="238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C69E5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总投入上限M_max</w:t>
            </w:r>
          </w:p>
        </w:tc>
        <w:tc>
          <w:tcPr>
            <w:tcW w:w="240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F2946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结余+置换</w:t>
            </w:r>
          </w:p>
        </w:tc>
        <w:tc>
          <w:tcPr>
            <w:tcW w:w="246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62D839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1.8倍结余，软上限</w:t>
            </w:r>
          </w:p>
        </w:tc>
      </w:tr>
    </w:tbl>
    <w:p w14:paraId="352031D3">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这套体系确保在任何资金压力下，系统的核心纪律（每月必须投出去的活钱）和核心比例（低波占比）都不会被破坏，而高波内部结构的优化属于“锦上添花”，资源充裕时做，资源紧张时放。</w:t>
      </w:r>
    </w:p>
    <w:p w14:paraId="4E19DBC8">
      <w:pPr>
        <w:pStyle w:val="4"/>
        <w:bidi w:val="0"/>
        <w:rPr>
          <w:rFonts w:hint="default"/>
          <w:lang w:val="en-US" w:eastAsia="zh-CN"/>
        </w:rPr>
      </w:pPr>
      <w:r>
        <w:rPr>
          <w:rFonts w:hint="default"/>
          <w:lang w:val="en-US" w:eastAsia="zh-CN"/>
        </w:rPr>
        <w:t>4.3.6 策略模式中的接口规范</w:t>
      </w:r>
    </w:p>
    <w:p w14:paraId="6AB21CEE">
      <w:pPr>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QuarterlyCorrectionStrategy与MonthlyCorrectionStrategy共享同一个CorrectionStrategy接口。季度策略的输入数据结构与月度策略相同（CorrectionInput），输出数据结构也相同（CorrectionResult）。两者的区别仅在内部实现——月度策略调用二元一次方程组求解器，季度策略额外执行极端超配阈值检查、高波内部归一化LQR求解、α迭代调整，再联动二元一次方程组求解低波补仓额。</w:t>
      </w:r>
    </w:p>
    <w:p w14:paraId="12CFD62B">
      <w:pPr>
        <w:pStyle w:val="7"/>
        <w:keepNext w:val="0"/>
        <w:keepLines w:val="0"/>
        <w:widowControl/>
        <w:suppressLineNumbers w:val="0"/>
        <w:spacing w:before="192" w:beforeAutospacing="0" w:after="192" w:afterAutospacing="0"/>
        <w:ind w:left="0" w:leftChars="0" w:right="0" w:firstLine="420" w:firstLineChars="0"/>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调度逻辑：CorrectionDispatcher根据当前日期判断——若当前月份为3、6、9、12月且当前日期为月末，调用QuarterlyCorrectionStrategy；否则调用MonthlyCorrectionStrategy。</w:t>
      </w:r>
    </w:p>
    <w:p w14:paraId="61EDA98D">
      <w:pPr>
        <w:pStyle w:val="4"/>
        <w:bidi w:val="0"/>
        <w:rPr>
          <w:rFonts w:hint="default"/>
          <w:lang w:val="en-US" w:eastAsia="zh-CN"/>
        </w:rPr>
      </w:pPr>
      <w:r>
        <w:rPr>
          <w:rFonts w:hint="default"/>
          <w:lang w:val="en-US" w:eastAsia="zh-CN"/>
        </w:rPr>
        <w:t>4.3.7 当前不做实现的原因与远期集成路径</w:t>
      </w:r>
    </w:p>
    <w:p w14:paraId="3C0F92E6">
      <w:pPr>
        <w:keepNext w:val="0"/>
        <w:keepLines w:val="0"/>
        <w:widowControl/>
        <w:suppressLineNumbers w:val="0"/>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LQR季度联动算法当前不做实现，原因有三：理论未经实战验证（首次实战节点为6月末），实证周期长（季度频次，至少需要2-3个季度数据），复杂度高（六种状态分类、α迭代机制、Beta防线触发）。</w:t>
      </w:r>
    </w:p>
    <w:p w14:paraId="5CE02915">
      <w:pPr>
        <w:keepNext w:val="0"/>
        <w:keepLines w:val="0"/>
        <w:widowControl/>
        <w:suppressLineNumbers w:val="0"/>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6月末首次实战后的集成路径：根据真实数据反馈，对Alpha的动态调节机制、Beta阈值的合理性、Gamma的具体标定进行验证和必要修正。调整后的算法正式集成到QuarterlyCorrectionStrategy的实现类中。asset_snapshot表的sub_detail JSON字段可存储高波内部校正的详细结果。</w:t>
      </w:r>
    </w:p>
    <w:p w14:paraId="5CD2A345">
      <w:pPr>
        <w:keepNext w:val="0"/>
        <w:keepLines w:val="0"/>
        <w:widowControl/>
        <w:suppressLineNumbers w:val="0"/>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设计知识来源：LQR算法文档。</w:t>
      </w:r>
    </w:p>
    <w:p w14:paraId="4F00847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hint="default" w:ascii="仿宋" w:hAnsi="Segoe UI" w:eastAsia="仿宋" w:cs="Segoe UI"/>
          <w:i w:val="0"/>
          <w:iCs w:val="0"/>
          <w:caps w:val="0"/>
          <w:color w:val="0F1115"/>
          <w:spacing w:val="0"/>
          <w:sz w:val="24"/>
          <w:szCs w:val="1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76A94C3">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第五章 架构总览</w:t>
      </w:r>
    </w:p>
    <w:p w14:paraId="658C70BF">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5.1 整体架构</w:t>
      </w:r>
    </w:p>
    <w:p w14:paraId="3A696C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5"/>
        </w:rPr>
      </w:pPr>
      <w:r>
        <w:rPr>
          <w:rFonts w:hint="default" w:ascii="仿宋" w:hAnsi="Consolas" w:eastAsia="仿宋" w:cs="Consolas"/>
          <w:i w:val="0"/>
          <w:iCs w:val="0"/>
          <w:caps w:val="0"/>
          <w:color w:val="auto"/>
          <w:spacing w:val="0"/>
          <w:kern w:val="0"/>
          <w:sz w:val="24"/>
          <w:szCs w:val="14"/>
          <w:shd w:val="clear" w:fill="FFFFFF"/>
          <w:lang w:val="en-US" w:eastAsia="zh-CN" w:bidi="ar"/>
        </w:rPr>
        <w:t>text</w:t>
      </w:r>
    </w:p>
    <w:p w14:paraId="2AA296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Web前端        │ ←→  │   Java后端       │ ←→  │   MySQL数据库    ││   (React)        │     │   (Spring Boot)  │     │                 │├─────────────────┤     ├─────────────────┤     ├─────────────────┤│ - 侧边栏导航     │     │ - Controller层   │     │ - asset_raw     ││ - 首页数据卡片   │     │ - Service层      │     │ - asset_snapshot││ - 月度操作台     │     │ - DeepSeek API   │     │ - prompt_versions││ - 净值曲线       │     │ - 二元一次方程组  │     │ - chat_history  ││ - 比例演化看板   │     │ - 数据校验        │     │ - user_config   ││ - 数据管理       │     │ - 汇总计算        │     │                 ││ - AI顾问         │     │                  │     │                 │└─────────────────┘     └─────────────────┘     └─────────────────┘</w:t>
      </w:r>
    </w:p>
    <w:p w14:paraId="7F2EECDE">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5.1.1 截图解析技术说明</w:t>
      </w:r>
    </w:p>
    <w:p w14:paraId="3A62A971">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截图解析服务通过集成DeepSeek API的图片识别能力实现，用于将用户上传的支付宝资产截图转化为结构化JSON数据。本系统未自行开发OCR或手写文字识别算法。API调用封装在</w:t>
      </w:r>
      <w:r>
        <w:rPr>
          <w:rStyle w:val="11"/>
          <w:rFonts w:hint="eastAsia" w:ascii="仿宋" w:hAnsi="仿宋" w:eastAsia="仿宋" w:cs="仿宋"/>
          <w:i w:val="0"/>
          <w:iCs w:val="0"/>
          <w:caps w:val="0"/>
          <w:color w:val="0F1115"/>
          <w:spacing w:val="0"/>
          <w:sz w:val="24"/>
          <w:szCs w:val="24"/>
          <w:shd w:val="clear" w:fill="EBEEF2"/>
        </w:rPr>
        <w:t>AssetParserService</w:t>
      </w:r>
      <w:r>
        <w:rPr>
          <w:rFonts w:hint="eastAsia" w:ascii="仿宋" w:hAnsi="仿宋" w:eastAsia="仿宋" w:cs="仿宋"/>
          <w:i w:val="0"/>
          <w:iCs w:val="0"/>
          <w:caps w:val="0"/>
          <w:color w:val="0F1115"/>
          <w:spacing w:val="0"/>
          <w:sz w:val="24"/>
          <w:szCs w:val="24"/>
          <w:shd w:val="clear" w:fill="FFFFFF"/>
        </w:rPr>
        <w:t>中，Prompt模板详见附录B.1。</w:t>
      </w:r>
    </w:p>
    <w:p w14:paraId="3ACAE4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p>
    <w:p w14:paraId="0C469F17">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5.2 技术栈选型与推演过程</w:t>
      </w:r>
    </w:p>
    <w:p w14:paraId="24E024F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前端选型：React</w:t>
      </w:r>
    </w:p>
    <w:p w14:paraId="5083A2E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DecisionMate项目已使用React，积累了React组件化、状态管理、前后端API通信的实战经验。FinControl的Web前端和DecisionMate的鸿蒙前端在React层面的代码结构高度相似。选择React而非Vue，可复用DecisionMate的开发经验，保持简历技术栈的一致性。</w:t>
      </w:r>
    </w:p>
    <w:p w14:paraId="785CB1B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后端选型：Java Spring Boot 3.x + MyBatis-Plus</w:t>
      </w:r>
    </w:p>
    <w:p w14:paraId="32BEC82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Java是业界全栈项目的主流选择，我的软考软件设计师备考让我对面向对象设计、接口定义、分层架构有系统性理解。Spring Boot + MyBatis-Plus组合成熟稳定，社区资源丰富。这一选型恰好弥补了微控金融（ArkTS）和DecisionMate（Python）之外的技术栈空白。</w:t>
      </w:r>
    </w:p>
    <w:p w14:paraId="6362443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数据库选型：MySQL 8.0</w:t>
      </w:r>
    </w:p>
    <w:p w14:paraId="42FD29B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MySQL 8.0支持JSON字段、窗口函数、CTE，完全满足FinControl的需求。Phase 1-3本地部署，不使用Docker，保持开发环境的轻量性。</w:t>
      </w:r>
    </w:p>
    <w:p w14:paraId="05D40D3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AI服务选型：DeepSeek API</w:t>
      </w:r>
    </w:p>
    <w:p w14:paraId="3679044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DeepSeek API的价格极低（约0.14元/百万token），每日一次的截图解析成本可忽略不计。我在DecisionMate和微控金融中已经验证过其稳定性和响应速度。截图解析的Prompt已反复验证，识别准确率满足需求。</w:t>
      </w:r>
    </w:p>
    <w:p w14:paraId="43645C62">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5.3 项目结构</w:t>
      </w:r>
    </w:p>
    <w:p w14:paraId="7D0432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5"/>
        </w:rPr>
      </w:pPr>
      <w:r>
        <w:rPr>
          <w:rFonts w:hint="default" w:ascii="仿宋" w:hAnsi="Consolas" w:eastAsia="仿宋" w:cs="Consolas"/>
          <w:i w:val="0"/>
          <w:iCs w:val="0"/>
          <w:caps w:val="0"/>
          <w:color w:val="auto"/>
          <w:spacing w:val="0"/>
          <w:kern w:val="0"/>
          <w:sz w:val="24"/>
          <w:szCs w:val="14"/>
          <w:shd w:val="clear" w:fill="FFFFFF"/>
          <w:lang w:val="en-US" w:eastAsia="zh-CN" w:bidi="ar"/>
        </w:rPr>
        <w:t>text</w:t>
      </w:r>
    </w:p>
    <w:p w14:paraId="0F09DA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fincontrol-backend/</w:t>
      </w:r>
    </w:p>
    <w:p w14:paraId="652A65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src/main/java/com/fincontrol/</w:t>
      </w:r>
    </w:p>
    <w:p w14:paraId="706988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controller/          # API接口层</w:t>
      </w:r>
    </w:p>
    <w:p w14:paraId="20D115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SnapshotController.java</w:t>
      </w:r>
    </w:p>
    <w:p w14:paraId="70D795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AssetController.java</w:t>
      </w:r>
    </w:p>
    <w:p w14:paraId="63D4C4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CorrectionController.java</w:t>
      </w:r>
    </w:p>
    <w:p w14:paraId="3C3F97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ChatController.java</w:t>
      </w:r>
    </w:p>
    <w:p w14:paraId="1EB42B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service/             # 业务逻辑层</w:t>
      </w:r>
    </w:p>
    <w:p w14:paraId="395E426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AssetParserService.java   # DeepSeek API调用</w:t>
      </w:r>
    </w:p>
    <w:p w14:paraId="690A97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SnapshotService.java      # 快照汇总计算</w:t>
      </w:r>
    </w:p>
    <w:p w14:paraId="6AEE14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CorrectionStrategy.java   # 校正策略接口</w:t>
      </w:r>
    </w:p>
    <w:p w14:paraId="3CF933D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MonthlyCorrectionService.java # 月度ZOH校正实现</w:t>
      </w:r>
    </w:p>
    <w:p w14:paraId="0AADDD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QuarterlyCorrectionService.java # 季度LQR校正(远期)</w:t>
      </w:r>
    </w:p>
    <w:p w14:paraId="1F553A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mapper/              # 数据访问层</w:t>
      </w:r>
    </w:p>
    <w:p w14:paraId="4C971E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AssetRawMapper.java</w:t>
      </w:r>
    </w:p>
    <w:p w14:paraId="7A765C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AssetSnapshotMapper.java</w:t>
      </w:r>
    </w:p>
    <w:p w14:paraId="149F4A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PromptVersionMapper.java</w:t>
      </w:r>
    </w:p>
    <w:p w14:paraId="4073ED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entity/              # 实体类</w:t>
      </w:r>
    </w:p>
    <w:p w14:paraId="3340D3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AssetRaw.java</w:t>
      </w:r>
    </w:p>
    <w:p w14:paraId="348E1E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AssetSnapshot.java</w:t>
      </w:r>
    </w:p>
    <w:p w14:paraId="3F8499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PromptVersion.java</w:t>
      </w:r>
    </w:p>
    <w:p w14:paraId="21D9E8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config/              # 配置类</w:t>
      </w:r>
    </w:p>
    <w:p w14:paraId="6CCED9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DeepSeekConfig.java</w:t>
      </w:r>
    </w:p>
    <w:p w14:paraId="525BE1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WebConfig.java</w:t>
      </w:r>
    </w:p>
    <w:p w14:paraId="7C570D7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src/main/resources/</w:t>
      </w:r>
    </w:p>
    <w:p w14:paraId="19F40C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application.yml</w:t>
      </w:r>
    </w:p>
    <w:p w14:paraId="3A41DA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mapper/</w:t>
      </w:r>
    </w:p>
    <w:p w14:paraId="7ABE94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pom.xml</w:t>
      </w:r>
    </w:p>
    <w:p w14:paraId="70272D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p>
    <w:p w14:paraId="75862C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fincontrol-frontend/</w:t>
      </w:r>
    </w:p>
    <w:p w14:paraId="328C41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src/</w:t>
      </w:r>
    </w:p>
    <w:p w14:paraId="27EE80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components/</w:t>
      </w:r>
    </w:p>
    <w:p w14:paraId="3EB87D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Layout.jsx              # 侧边栏+主内容区布局</w:t>
      </w:r>
    </w:p>
    <w:p w14:paraId="5155F8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AssetOverview.jsx       # 首页资产总览</w:t>
      </w:r>
    </w:p>
    <w:p w14:paraId="04CC37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RatioEvolution.jsx      # 比例演化看板</w:t>
      </w:r>
    </w:p>
    <w:p w14:paraId="00503D6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NavCurve.jsx            # 净值曲线</w:t>
      </w:r>
    </w:p>
    <w:p w14:paraId="1A0249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MonthlyOperation.jsx    # 月度操作台</w:t>
      </w:r>
    </w:p>
    <w:p w14:paraId="4D5499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DataManagement.jsx      # 数据管理（上传截图）</w:t>
      </w:r>
    </w:p>
    <w:p w14:paraId="55CAC4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AIAssistant.jsx         # AI顾问对话界面</w:t>
      </w:r>
    </w:p>
    <w:p w14:paraId="15200B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AssetConfig.jsx         # 资产配置页面</w:t>
      </w:r>
    </w:p>
    <w:p w14:paraId="74E372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services/</w:t>
      </w:r>
    </w:p>
    <w:p w14:paraId="147B7C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 api.js                  # 封装所有后端API调用</w:t>
      </w:r>
    </w:p>
    <w:p w14:paraId="080F96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App.jsx</w:t>
      </w:r>
    </w:p>
    <w:p w14:paraId="6E0588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 index.js</w:t>
      </w:r>
    </w:p>
    <w:p w14:paraId="2F29AB24">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5.4 核心接口设计：校正策略模式</w:t>
      </w:r>
    </w:p>
    <w:p w14:paraId="5BCE39C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定义一个统一的校正策略接口，月度ZOH和季度LQR分别实现此接口。系统根据当前日期自动选择调用哪个策略。</w:t>
      </w:r>
    </w:p>
    <w:p w14:paraId="057A50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5"/>
        </w:rPr>
      </w:pPr>
      <w:r>
        <w:rPr>
          <w:rFonts w:hint="default" w:ascii="仿宋" w:hAnsi="Consolas" w:eastAsia="仿宋" w:cs="Consolas"/>
          <w:i w:val="0"/>
          <w:iCs w:val="0"/>
          <w:caps w:val="0"/>
          <w:color w:val="auto"/>
          <w:spacing w:val="0"/>
          <w:kern w:val="0"/>
          <w:sz w:val="24"/>
          <w:szCs w:val="14"/>
          <w:shd w:val="clear" w:fill="FFFFFF"/>
          <w:lang w:val="en-US" w:eastAsia="zh-CN" w:bidi="ar"/>
        </w:rPr>
        <w:t>java</w:t>
      </w:r>
    </w:p>
    <w:p w14:paraId="5CD6A80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统一的校正策略接口</w:t>
      </w:r>
    </w:p>
    <w:p w14:paraId="7029BC0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public interface CorrectionStrategy {</w:t>
      </w:r>
    </w:p>
    <w:p w14:paraId="678E2C2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CorrectionResult execute(CorrectionInput input);</w:t>
      </w:r>
    </w:p>
    <w:p w14:paraId="1E53064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w:t>
      </w:r>
    </w:p>
    <w:p w14:paraId="5E8CB59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p>
    <w:p w14:paraId="7B21A60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校正输入（通用）</w:t>
      </w:r>
    </w:p>
    <w:p w14:paraId="7EC7D24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public class CorrectionInput {</w:t>
      </w:r>
    </w:p>
    <w:p w14:paraId="2191F44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Date date;              // 校正日期</w:t>
      </w:r>
    </w:p>
    <w:p w14:paraId="387AFAA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BigDecimal totalAsset;  // 当前六大类总资产</w:t>
      </w:r>
    </w:p>
    <w:p w14:paraId="41DA740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Map&lt;String, BigDecimal&gt; categoryAmounts; // 各类资产市值</w:t>
      </w:r>
    </w:p>
    <w:p w14:paraId="30467F1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BigDecimal uHigh;       // 当月高波定投总额</w:t>
      </w:r>
    </w:p>
    <w:p w14:paraId="31FCB78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BigDecimal budgetLimit; // 月度总投入上限</w:t>
      </w:r>
    </w:p>
    <w:p w14:paraId="1C7B51A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BigDecimal threshold;   // 申购起点</w:t>
      </w:r>
    </w:p>
    <w:p w14:paraId="062CDF8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w:t>
      </w:r>
    </w:p>
    <w:p w14:paraId="09251BA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p>
    <w:p w14:paraId="3984BEC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校正输出（通用）</w:t>
      </w:r>
    </w:p>
    <w:p w14:paraId="48D823D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public class CorrectionResult {</w:t>
      </w:r>
    </w:p>
    <w:p w14:paraId="33CCBF8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Map&lt;String, BigDecimal&gt; corrections; // 各类资产补仓额</w:t>
      </w:r>
    </w:p>
    <w:p w14:paraId="0BB7BCC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Map&lt;String, BigDecimal&gt; ratiosAfter; // 校正后比例</w:t>
      </w:r>
    </w:p>
    <w:p w14:paraId="5D9C387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BigDecimal totalInvestment;          // 总投入</w:t>
      </w:r>
    </w:p>
    <w:p w14:paraId="0464AF5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 xml:space="preserve">    private List&lt;String&gt; warnings;               // 约束警告信息</w:t>
      </w:r>
    </w:p>
    <w:p w14:paraId="7B4E9B1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iCs/>
          <w:caps w:val="0"/>
          <w:color w:val="auto"/>
          <w:spacing w:val="0"/>
          <w:sz w:val="24"/>
          <w:szCs w:val="15"/>
        </w:rPr>
      </w:pPr>
      <w:r>
        <w:rPr>
          <w:rFonts w:hint="default" w:ascii="仿宋" w:hAnsi="Consolas" w:eastAsia="仿宋" w:cs="Consolas"/>
          <w:i/>
          <w:iCs/>
          <w:caps w:val="0"/>
          <w:color w:val="auto"/>
          <w:spacing w:val="0"/>
          <w:sz w:val="24"/>
          <w:szCs w:val="15"/>
        </w:rPr>
        <w:t>}</w:t>
      </w:r>
    </w:p>
    <w:p w14:paraId="235C24D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当前实现</w:t>
      </w:r>
      <w:r>
        <w:rPr>
          <w:rFonts w:hint="default" w:ascii="仿宋" w:hAnsi="Segoe UI" w:eastAsia="仿宋" w:cs="Segoe UI"/>
          <w:i w:val="0"/>
          <w:iCs w:val="0"/>
          <w:caps w:val="0"/>
          <w:color w:val="auto"/>
          <w:spacing w:val="0"/>
          <w:sz w:val="24"/>
          <w:szCs w:val="19"/>
          <w:shd w:val="clear" w:fill="FFFFFF"/>
        </w:rPr>
        <w:t>：</w:t>
      </w:r>
      <w:r>
        <w:rPr>
          <w:rStyle w:val="11"/>
          <w:rFonts w:hint="default" w:ascii="仿宋" w:hAnsi="Consolas" w:eastAsia="仿宋" w:cs="Consolas"/>
          <w:i w:val="0"/>
          <w:iCs w:val="0"/>
          <w:caps w:val="0"/>
          <w:color w:val="auto"/>
          <w:spacing w:val="0"/>
          <w:sz w:val="24"/>
          <w:szCs w:val="18"/>
          <w:shd w:val="clear" w:fill="EBEEF2"/>
        </w:rPr>
        <w:t>MonthlyCorrectionStrategy</w:t>
      </w:r>
      <w:r>
        <w:rPr>
          <w:rFonts w:hint="default" w:ascii="仿宋" w:hAnsi="Segoe UI" w:eastAsia="仿宋" w:cs="Segoe UI"/>
          <w:i w:val="0"/>
          <w:iCs w:val="0"/>
          <w:caps w:val="0"/>
          <w:color w:val="auto"/>
          <w:spacing w:val="0"/>
          <w:sz w:val="24"/>
          <w:szCs w:val="19"/>
          <w:shd w:val="clear" w:fill="FFFFFF"/>
        </w:rPr>
        <w:t>（二元一次方程组求解器 + 三层约束处理）</w:t>
      </w:r>
    </w:p>
    <w:p w14:paraId="0DAC0DD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b/>
          <w:bCs/>
          <w:i w:val="0"/>
          <w:iCs w:val="0"/>
          <w:caps w:val="0"/>
          <w:color w:val="auto"/>
          <w:spacing w:val="0"/>
          <w:sz w:val="24"/>
          <w:szCs w:val="19"/>
          <w:shd w:val="clear" w:fill="FFFFFF"/>
        </w:rPr>
        <w:t>远期实现</w:t>
      </w:r>
      <w:r>
        <w:rPr>
          <w:rFonts w:hint="default" w:ascii="仿宋" w:hAnsi="Segoe UI" w:eastAsia="仿宋" w:cs="Segoe UI"/>
          <w:i w:val="0"/>
          <w:iCs w:val="0"/>
          <w:caps w:val="0"/>
          <w:color w:val="auto"/>
          <w:spacing w:val="0"/>
          <w:sz w:val="24"/>
          <w:szCs w:val="19"/>
          <w:shd w:val="clear" w:fill="FFFFFF"/>
        </w:rPr>
        <w:t>：</w:t>
      </w:r>
      <w:r>
        <w:rPr>
          <w:rStyle w:val="11"/>
          <w:rFonts w:hint="default" w:ascii="仿宋" w:hAnsi="Consolas" w:eastAsia="仿宋" w:cs="Consolas"/>
          <w:i w:val="0"/>
          <w:iCs w:val="0"/>
          <w:caps w:val="0"/>
          <w:color w:val="auto"/>
          <w:spacing w:val="0"/>
          <w:sz w:val="24"/>
          <w:szCs w:val="18"/>
          <w:shd w:val="clear" w:fill="EBEEF2"/>
        </w:rPr>
        <w:t>QuarterlyCorrectionStrategy</w:t>
      </w:r>
      <w:r>
        <w:rPr>
          <w:rFonts w:hint="default" w:ascii="仿宋" w:hAnsi="Segoe UI" w:eastAsia="仿宋" w:cs="Segoe UI"/>
          <w:i w:val="0"/>
          <w:iCs w:val="0"/>
          <w:caps w:val="0"/>
          <w:color w:val="auto"/>
          <w:spacing w:val="0"/>
          <w:sz w:val="24"/>
          <w:szCs w:val="19"/>
          <w:shd w:val="clear" w:fill="FFFFFF"/>
        </w:rPr>
        <w:t>（归一化高波内部LQR + 低波精确复位联动算法）</w:t>
      </w:r>
    </w:p>
    <w:p w14:paraId="2F540AC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调度逻辑</w:t>
      </w:r>
      <w:r>
        <w:rPr>
          <w:rFonts w:hint="default" w:ascii="仿宋" w:hAnsi="Segoe UI" w:eastAsia="仿宋" w:cs="Segoe UI"/>
          <w:i w:val="0"/>
          <w:iCs w:val="0"/>
          <w:caps w:val="0"/>
          <w:color w:val="auto"/>
          <w:spacing w:val="0"/>
          <w:sz w:val="24"/>
          <w:szCs w:val="19"/>
          <w:shd w:val="clear" w:fill="FFFFFF"/>
        </w:rPr>
        <w:t>：</w:t>
      </w:r>
      <w:r>
        <w:rPr>
          <w:rStyle w:val="11"/>
          <w:rFonts w:hint="default" w:ascii="仿宋" w:hAnsi="Consolas" w:eastAsia="仿宋" w:cs="Consolas"/>
          <w:i w:val="0"/>
          <w:iCs w:val="0"/>
          <w:caps w:val="0"/>
          <w:color w:val="auto"/>
          <w:spacing w:val="0"/>
          <w:sz w:val="24"/>
          <w:szCs w:val="18"/>
          <w:shd w:val="clear" w:fill="EBEEF2"/>
        </w:rPr>
        <w:t>CorrectionDispatcher</w:t>
      </w:r>
      <w:r>
        <w:rPr>
          <w:rFonts w:hint="default" w:ascii="仿宋" w:hAnsi="Segoe UI" w:eastAsia="仿宋" w:cs="Segoe UI"/>
          <w:i w:val="0"/>
          <w:iCs w:val="0"/>
          <w:caps w:val="0"/>
          <w:color w:val="auto"/>
          <w:spacing w:val="0"/>
          <w:sz w:val="24"/>
          <w:szCs w:val="19"/>
          <w:shd w:val="clear" w:fill="FFFFFF"/>
        </w:rPr>
        <w:t>根据当前日期判断——非季度末调用月度策略，季度末调用季度策略。</w:t>
      </w:r>
    </w:p>
    <w:p w14:paraId="76D588CA">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shd w:val="clear" w:fill="FFFFFF"/>
        </w:rPr>
      </w:pPr>
      <w:r>
        <w:rPr>
          <w:rFonts w:hint="default" w:ascii="仿宋" w:hAnsi="Segoe UI" w:eastAsia="仿宋" w:cs="Segoe UI"/>
          <w:b/>
          <w:bCs/>
          <w:caps w:val="0"/>
          <w:color w:val="auto"/>
          <w:spacing w:val="0"/>
          <w:sz w:val="30"/>
          <w:szCs w:val="24"/>
          <w:shd w:val="clear" w:fill="FFFFFF"/>
        </w:rPr>
        <w:t>5.5 AI顾问</w:t>
      </w:r>
      <w:r>
        <w:rPr>
          <w:rFonts w:hint="eastAsia" w:ascii="仿宋" w:hAnsi="Segoe UI" w:eastAsia="仿宋" w:cs="Segoe UI"/>
          <w:b/>
          <w:bCs/>
          <w:caps w:val="0"/>
          <w:color w:val="auto"/>
          <w:spacing w:val="0"/>
          <w:sz w:val="30"/>
          <w:szCs w:val="24"/>
          <w:shd w:val="clear" w:fill="FFFFFF"/>
          <w:lang w:val="en-US" w:eastAsia="zh-CN"/>
        </w:rPr>
        <w:t>的</w:t>
      </w:r>
      <w:r>
        <w:rPr>
          <w:rFonts w:hint="default" w:ascii="仿宋" w:hAnsi="Segoe UI" w:eastAsia="仿宋" w:cs="Segoe UI"/>
          <w:b/>
          <w:bCs/>
          <w:caps w:val="0"/>
          <w:color w:val="auto"/>
          <w:spacing w:val="0"/>
          <w:sz w:val="30"/>
          <w:szCs w:val="24"/>
          <w:shd w:val="clear" w:fill="FFFFFF"/>
        </w:rPr>
        <w:t>分流设计</w:t>
      </w:r>
    </w:p>
    <w:p w14:paraId="14AFBAC2">
      <w:pPr>
        <w:pStyle w:val="4"/>
        <w:bidi w:val="0"/>
        <w:rPr>
          <w:rFonts w:hint="default"/>
        </w:rPr>
      </w:pPr>
      <w:r>
        <w:rPr>
          <w:rFonts w:hint="default"/>
        </w:rPr>
        <w:t>5.5.1 设计动机</w:t>
      </w:r>
    </w:p>
    <w:p w14:paraId="5076FCA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微控金融鸿蒙版的AI顾问存在一个体验问题：用户问一句“你是什么模型”，它会回复一大段投资理论——因为System Prompt将其锁死为“ZOH理论顾问”。FinControl不能让这个问题延续下去。</w:t>
      </w:r>
    </w:p>
    <w:p w14:paraId="7745951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同时，FinControl的AI顾问也不需要像DecisionMate那样构建完整的元认知调度器+Agent集群——DecisionMate是多Agent协作的决策系统，FinControl的AI顾问只是一个单Agent的对话助手。但它需要一个轻量级的“意图分类”机制。</w:t>
      </w:r>
    </w:p>
    <w:p w14:paraId="134E0099">
      <w:pPr>
        <w:pStyle w:val="4"/>
        <w:bidi w:val="0"/>
        <w:rPr>
          <w:rFonts w:hint="default"/>
        </w:rPr>
      </w:pPr>
      <w:r>
        <w:rPr>
          <w:rFonts w:hint="default"/>
        </w:rPr>
        <w:t>5.5.2 分流逻辑</w:t>
      </w:r>
    </w:p>
    <w:p w14:paraId="063E64F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AI顾问内部实现两条回路：</w:t>
      </w:r>
    </w:p>
    <w:p w14:paraId="0470D90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垃圾回</w:t>
      </w:r>
      <w:r>
        <w:rPr>
          <w:rFonts w:hint="eastAsia" w:ascii="仿宋" w:hAnsi="Segoe UI" w:eastAsia="仿宋" w:cs="Segoe UI"/>
          <w:b/>
          <w:bCs/>
          <w:i w:val="0"/>
          <w:iCs w:val="0"/>
          <w:caps w:val="0"/>
          <w:color w:val="auto"/>
          <w:spacing w:val="0"/>
          <w:sz w:val="24"/>
          <w:szCs w:val="19"/>
          <w:shd w:val="clear" w:fill="FFFFFF"/>
          <w:lang w:val="en-US" w:eastAsia="zh-CN"/>
        </w:rPr>
        <w:t>路</w:t>
      </w:r>
      <w:r>
        <w:rPr>
          <w:rFonts w:hint="default" w:ascii="仿宋" w:hAnsi="Segoe UI" w:eastAsia="仿宋" w:cs="Segoe UI"/>
          <w:b/>
          <w:bCs/>
          <w:i w:val="0"/>
          <w:iCs w:val="0"/>
          <w:caps w:val="0"/>
          <w:color w:val="auto"/>
          <w:spacing w:val="0"/>
          <w:sz w:val="24"/>
          <w:szCs w:val="19"/>
          <w:shd w:val="clear" w:fill="FFFFFF"/>
        </w:rPr>
        <w:t>：</w:t>
      </w:r>
      <w:r>
        <w:rPr>
          <w:rFonts w:hint="default" w:ascii="仿宋" w:hAnsi="Segoe UI" w:eastAsia="仿宋" w:cs="Segoe UI"/>
          <w:i w:val="0"/>
          <w:iCs w:val="0"/>
          <w:caps w:val="0"/>
          <w:color w:val="auto"/>
          <w:spacing w:val="0"/>
          <w:sz w:val="24"/>
          <w:szCs w:val="19"/>
          <w:shd w:val="clear" w:fill="FFFFFF"/>
        </w:rPr>
        <w:t>用户输入的问题经意图分类器判定为“非投资决策类”（如“你是什么模型”“今天天气怎么样”“帮我写一首诗”），直接透传给DeepSeek API，用通用模式回答，不加载任何投资理论的System Prompt。延迟低，不浪费token。对用户的感知是“这是一个正常的AI助手”。</w:t>
      </w:r>
    </w:p>
    <w:p w14:paraId="54BB213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主回路（慢回路）：</w:t>
      </w:r>
      <w:r>
        <w:rPr>
          <w:rFonts w:hint="default" w:ascii="仿宋" w:hAnsi="Segoe UI" w:eastAsia="仿宋" w:cs="Segoe UI"/>
          <w:i w:val="0"/>
          <w:iCs w:val="0"/>
          <w:caps w:val="0"/>
          <w:color w:val="auto"/>
          <w:spacing w:val="0"/>
          <w:sz w:val="24"/>
          <w:szCs w:val="19"/>
          <w:shd w:val="clear" w:fill="FFFFFF"/>
        </w:rPr>
        <w:t>用户输入的问题经意图分类器判定为“投资决策类”（如“当前货币类占比8.5%，本月应该补仓多少”“海外权益类超配了怎么办”），加载完整的ZOH理论System Prompt，进行专业的投资决策建议。回复中包含具体的操作金额、偏差分析、风险提示和合规声明。</w:t>
      </w:r>
    </w:p>
    <w:p w14:paraId="211C5A15">
      <w:pPr>
        <w:keepNext w:val="0"/>
        <w:keepLines w:val="0"/>
        <w:widowControl/>
        <w:numPr>
          <w:ilvl w:val="0"/>
          <w:numId w:val="0"/>
        </w:numPr>
        <w:suppressLineNumbers w:val="0"/>
        <w:spacing w:before="72" w:beforeAutospacing="0" w:after="0" w:afterAutospacing="1"/>
      </w:pPr>
    </w:p>
    <w:p w14:paraId="4C41AA0B">
      <w:pPr>
        <w:pStyle w:val="4"/>
        <w:bidi w:val="0"/>
        <w:rPr>
          <w:rFonts w:hint="default"/>
        </w:rPr>
      </w:pPr>
      <w:r>
        <w:rPr>
          <w:rFonts w:hint="default"/>
        </w:rPr>
        <w:t>5.5.3 意图分类器的实现</w:t>
      </w:r>
    </w:p>
    <w:p w14:paraId="2F82A85A">
      <w:pPr>
        <w:pStyle w:val="7"/>
        <w:keepNext w:val="0"/>
        <w:keepLines w:val="0"/>
        <w:widowControl/>
        <w:suppressLineNumbers w:val="0"/>
        <w:spacing w:before="0" w:beforeAutospacing="0" w:after="0" w:afterAutospacing="0"/>
        <w:ind w:left="0" w:right="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意图分类器是一个极简的Prompt，只做一件事：判断用户的问题是否与投资决策相关。</w:t>
      </w:r>
    </w:p>
    <w:p w14:paraId="517A3EE5">
      <w:pPr>
        <w:pStyle w:val="7"/>
        <w:keepNext w:val="0"/>
        <w:keepLines w:val="0"/>
        <w:widowControl/>
        <w:suppressLineNumbers w:val="0"/>
        <w:spacing w:before="0" w:beforeAutospacing="0" w:after="0" w:afterAutospacing="0"/>
        <w:ind w:left="0" w:right="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分类Prompt设计思路：</w:t>
      </w:r>
      <w:r>
        <w:rPr>
          <w:rFonts w:hint="default" w:ascii="仿宋" w:hAnsi="Segoe UI" w:eastAsia="仿宋" w:cs="Segoe UI"/>
          <w:i w:val="0"/>
          <w:iCs w:val="0"/>
          <w:caps w:val="0"/>
          <w:color w:val="auto"/>
          <w:spacing w:val="0"/>
          <w:kern w:val="2"/>
          <w:sz w:val="24"/>
          <w:szCs w:val="19"/>
          <w:shd w:val="clear" w:fill="FFFFFF"/>
          <w:lang w:val="en-US" w:eastAsia="zh-CN" w:bidi="ar-SA"/>
        </w:rPr>
        <w:t>给定用户输入，判断是否属于“投资决策咨询”。如果是，返回true；如果不是，返回false。分类Prompt长度极短，调用成本极低。</w:t>
      </w:r>
    </w:p>
    <w:p w14:paraId="04B26952">
      <w:pPr>
        <w:pStyle w:val="7"/>
        <w:keepNext w:val="0"/>
        <w:keepLines w:val="0"/>
        <w:widowControl/>
        <w:suppressLineNumbers w:val="0"/>
        <w:spacing w:before="0" w:beforeAutospacing="0" w:after="0" w:afterAutospacing="0"/>
        <w:ind w:left="0" w:right="0" w:firstLine="420" w:firstLineChars="0"/>
        <w:rPr>
          <w:rFonts w:hint="default" w:ascii="仿宋" w:hAnsi="Segoe UI" w:eastAsia="仿宋" w:cs="Segoe UI"/>
          <w:b/>
          <w:bCs/>
          <w:i w:val="0"/>
          <w:iCs w:val="0"/>
          <w:caps w:val="0"/>
          <w:color w:val="auto"/>
          <w:spacing w:val="0"/>
          <w:kern w:val="2"/>
          <w:sz w:val="24"/>
          <w:szCs w:val="19"/>
          <w:shd w:val="clear" w:fill="FFFFFF"/>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分类结果处理：</w:t>
      </w:r>
    </w:p>
    <w:p w14:paraId="0C9A11F0">
      <w:pPr>
        <w:pStyle w:val="7"/>
        <w:keepNext w:val="0"/>
        <w:keepLines w:val="0"/>
        <w:widowControl/>
        <w:suppressLineNumbers w:val="0"/>
        <w:spacing w:before="0" w:beforeAutospacing="0" w:after="0" w:afterAutospacing="0"/>
        <w:ind w:left="0" w:right="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false → 走垃圾回路，直接透传给DeepSeek API，不加载投资理论System Prompt</w:t>
      </w:r>
    </w:p>
    <w:p w14:paraId="1E03C737">
      <w:pPr>
        <w:pStyle w:val="7"/>
        <w:keepNext w:val="0"/>
        <w:keepLines w:val="0"/>
        <w:widowControl/>
        <w:suppressLineNumbers w:val="0"/>
        <w:spacing w:before="0" w:beforeAutospacing="0" w:after="0" w:afterAutospacing="0"/>
        <w:ind w:left="0" w:right="0" w:firstLine="420" w:firstLineChars="0"/>
      </w:pPr>
      <w:r>
        <w:rPr>
          <w:rFonts w:hint="default" w:ascii="仿宋" w:hAnsi="Segoe UI" w:eastAsia="仿宋" w:cs="Segoe UI"/>
          <w:i w:val="0"/>
          <w:iCs w:val="0"/>
          <w:caps w:val="0"/>
          <w:color w:val="auto"/>
          <w:spacing w:val="0"/>
          <w:kern w:val="2"/>
          <w:sz w:val="24"/>
          <w:szCs w:val="19"/>
          <w:shd w:val="clear" w:fill="FFFFFF"/>
          <w:lang w:val="en-US" w:eastAsia="zh-CN" w:bidi="ar-SA"/>
        </w:rPr>
        <w:t>true → 走主回路，加载完整的ZOH理论System Prompt</w:t>
      </w:r>
    </w:p>
    <w:p w14:paraId="07BAABBB">
      <w:pPr>
        <w:pStyle w:val="4"/>
        <w:bidi w:val="0"/>
        <w:rPr>
          <w:rFonts w:hint="default"/>
        </w:rPr>
      </w:pPr>
      <w:r>
        <w:rPr>
          <w:rFonts w:hint="default"/>
        </w:rPr>
        <w:t>5.5.4 与DecisionMate快慢回路的同构关系</w:t>
      </w:r>
    </w:p>
    <w:p w14:paraId="5AC039D8">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DecisionMate的快慢回路都是做决策的——快回路处理紧急直觉决策，慢回路做深度分析。它没有实现垃圾回路来处理非决策类型的闲聊，这是DecisionMate的一个已知遗憾。</w:t>
      </w:r>
    </w:p>
    <w:p w14:paraId="61CC665A">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FinControl可以弥补这个遗憾。垃圾回路解决的是“用户问了一个与投资完全无关的问题，AI却回复了一大堆投资理论”的体验问题。本质上是一个轻量级的“元认知调度器”，和DecisionMate的元认知调度器在功能上一致——只是DecisionMate的调度器需要管理五个Agent的协作，FinControl的调度器只需要做二分类。</w:t>
      </w:r>
    </w:p>
    <w:p w14:paraId="2DB58D52">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shd w:val="clear" w:fill="FFFFFF"/>
        </w:rPr>
      </w:pPr>
      <w:r>
        <w:rPr>
          <w:rFonts w:hint="default" w:ascii="仿宋" w:hAnsi="Segoe UI" w:eastAsia="仿宋" w:cs="Segoe UI"/>
          <w:b/>
          <w:bCs/>
          <w:caps w:val="0"/>
          <w:color w:val="auto"/>
          <w:spacing w:val="0"/>
          <w:sz w:val="30"/>
          <w:szCs w:val="24"/>
          <w:shd w:val="clear" w:fill="FFFFFF"/>
        </w:rPr>
        <w:t>5.</w:t>
      </w:r>
      <w:r>
        <w:rPr>
          <w:rFonts w:hint="eastAsia" w:ascii="仿宋" w:hAnsi="Segoe UI" w:eastAsia="仿宋" w:cs="Segoe UI"/>
          <w:b/>
          <w:bCs/>
          <w:caps w:val="0"/>
          <w:color w:val="auto"/>
          <w:spacing w:val="0"/>
          <w:sz w:val="30"/>
          <w:szCs w:val="24"/>
          <w:shd w:val="clear" w:fill="FFFFFF"/>
          <w:lang w:val="en-US" w:eastAsia="zh-CN"/>
        </w:rPr>
        <w:t>6</w:t>
      </w:r>
      <w:r>
        <w:rPr>
          <w:rFonts w:hint="default" w:ascii="仿宋" w:hAnsi="Segoe UI" w:eastAsia="仿宋" w:cs="Segoe UI"/>
          <w:b/>
          <w:bCs/>
          <w:caps w:val="0"/>
          <w:color w:val="auto"/>
          <w:spacing w:val="0"/>
          <w:sz w:val="30"/>
          <w:szCs w:val="24"/>
          <w:shd w:val="clear" w:fill="FFFFFF"/>
        </w:rPr>
        <w:t xml:space="preserve"> 大类确认的图形交互流程</w:t>
      </w:r>
    </w:p>
    <w:p w14:paraId="58F1A14E">
      <w:pPr>
        <w:pStyle w:val="4"/>
        <w:bidi w:val="0"/>
        <w:rPr>
          <w:rFonts w:hint="default"/>
        </w:rPr>
      </w:pPr>
      <w:r>
        <w:rPr>
          <w:rFonts w:hint="default"/>
        </w:rPr>
        <w:t>5.6.1 工作流总览</w:t>
      </w:r>
    </w:p>
    <w:p w14:paraId="3078913F">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截图解析数据管理页面的核心功能。采用对话式交互，用户上传截图后，系统自动创建截图解析对话，调用DeepSeek API解析截图，以对话气泡形式返回结构化的资产明细报告。用户在对话气泡中点击“确认入库”，触发大类归属确认面板，确认后数据写入数据库。</w:t>
      </w:r>
    </w:p>
    <w:p w14:paraId="275F60B9">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b/>
          <w:bCs/>
          <w:sz w:val="24"/>
          <w:szCs w:val="24"/>
        </w:rPr>
      </w:pPr>
      <w:r>
        <w:rPr>
          <w:rFonts w:hint="eastAsia" w:ascii="仿宋" w:hAnsi="仿宋" w:eastAsia="仿宋" w:cs="仿宋"/>
          <w:b/>
          <w:bCs/>
          <w:i w:val="0"/>
          <w:iCs w:val="0"/>
          <w:caps w:val="0"/>
          <w:color w:val="0F1115"/>
          <w:spacing w:val="0"/>
          <w:sz w:val="24"/>
          <w:szCs w:val="24"/>
          <w:shd w:val="clear" w:fill="FFFFFF"/>
        </w:rPr>
        <w:t>完整工作流：</w:t>
      </w:r>
    </w:p>
    <w:p w14:paraId="09B6BA5D">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用户上传截图 → 创建截图解析对话</w:t>
      </w:r>
    </w:p>
    <w:p w14:paraId="3FABE6E0">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后端调用DeepSeek API（加载</w:t>
      </w:r>
      <w:r>
        <w:rPr>
          <w:rStyle w:val="11"/>
          <w:rFonts w:hint="eastAsia" w:ascii="仿宋" w:hAnsi="仿宋" w:eastAsia="仿宋" w:cs="仿宋"/>
          <w:i w:val="0"/>
          <w:iCs w:val="0"/>
          <w:caps w:val="0"/>
          <w:color w:val="0F1115"/>
          <w:spacing w:val="0"/>
          <w:sz w:val="24"/>
          <w:szCs w:val="24"/>
          <w:shd w:val="clear" w:fill="EBEEF2"/>
        </w:rPr>
        <w:t>screenshot_parser</w:t>
      </w:r>
      <w:r>
        <w:rPr>
          <w:rFonts w:hint="eastAsia" w:ascii="仿宋" w:hAnsi="仿宋" w:eastAsia="仿宋" w:cs="仿宋"/>
          <w:i w:val="0"/>
          <w:iCs w:val="0"/>
          <w:caps w:val="0"/>
          <w:color w:val="0F1115"/>
          <w:spacing w:val="0"/>
          <w:sz w:val="24"/>
          <w:szCs w:val="24"/>
          <w:shd w:val="clear" w:fill="FFFFFF"/>
        </w:rPr>
        <w:t> v1.0 Prompt）→ 返回结构化JSON + Markdown报告</w:t>
      </w:r>
    </w:p>
    <w:p w14:paraId="695B7110">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前端以对话气泡形式展示AI返回的完整报告</w:t>
      </w:r>
    </w:p>
    <w:p w14:paraId="3F10D85A">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用户点击“确认入库”→ 触发大类确认面板</w:t>
      </w:r>
    </w:p>
    <w:p w14:paraId="4C1E35A0">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用户确认大类归属 → 数据写入</w:t>
      </w:r>
      <w:r>
        <w:rPr>
          <w:rStyle w:val="11"/>
          <w:rFonts w:hint="eastAsia" w:ascii="仿宋" w:hAnsi="仿宋" w:eastAsia="仿宋" w:cs="仿宋"/>
          <w:i w:val="0"/>
          <w:iCs w:val="0"/>
          <w:caps w:val="0"/>
          <w:color w:val="0F1115"/>
          <w:spacing w:val="0"/>
          <w:sz w:val="24"/>
          <w:szCs w:val="24"/>
          <w:shd w:val="clear" w:fill="EBEEF2"/>
        </w:rPr>
        <w:t>asset_raw</w:t>
      </w:r>
      <w:r>
        <w:rPr>
          <w:rFonts w:hint="eastAsia" w:ascii="仿宋" w:hAnsi="仿宋" w:eastAsia="仿宋" w:cs="仿宋"/>
          <w:i w:val="0"/>
          <w:iCs w:val="0"/>
          <w:caps w:val="0"/>
          <w:color w:val="0F1115"/>
          <w:spacing w:val="0"/>
          <w:sz w:val="24"/>
          <w:szCs w:val="24"/>
          <w:shd w:val="clear" w:fill="FFFFFF"/>
        </w:rPr>
        <w:t>表 + </w:t>
      </w:r>
      <w:r>
        <w:rPr>
          <w:rStyle w:val="11"/>
          <w:rFonts w:hint="eastAsia" w:ascii="仿宋" w:hAnsi="仿宋" w:eastAsia="仿宋" w:cs="仿宋"/>
          <w:i w:val="0"/>
          <w:iCs w:val="0"/>
          <w:caps w:val="0"/>
          <w:color w:val="0F1115"/>
          <w:spacing w:val="0"/>
          <w:sz w:val="24"/>
          <w:szCs w:val="24"/>
          <w:shd w:val="clear" w:fill="EBEEF2"/>
        </w:rPr>
        <w:t>fund_category_map</w:t>
      </w:r>
      <w:r>
        <w:rPr>
          <w:rFonts w:hint="eastAsia" w:ascii="仿宋" w:hAnsi="仿宋" w:eastAsia="仿宋" w:cs="仿宋"/>
          <w:i w:val="0"/>
          <w:iCs w:val="0"/>
          <w:caps w:val="0"/>
          <w:color w:val="0F1115"/>
          <w:spacing w:val="0"/>
          <w:sz w:val="24"/>
          <w:szCs w:val="24"/>
          <w:shd w:val="clear" w:fill="FFFFFF"/>
        </w:rPr>
        <w:t>表 + 自动汇总写入</w:t>
      </w:r>
      <w:r>
        <w:rPr>
          <w:rStyle w:val="11"/>
          <w:rFonts w:hint="eastAsia" w:ascii="仿宋" w:hAnsi="仿宋" w:eastAsia="仿宋" w:cs="仿宋"/>
          <w:i w:val="0"/>
          <w:iCs w:val="0"/>
          <w:caps w:val="0"/>
          <w:color w:val="0F1115"/>
          <w:spacing w:val="0"/>
          <w:sz w:val="24"/>
          <w:szCs w:val="24"/>
          <w:shd w:val="clear" w:fill="EBEEF2"/>
        </w:rPr>
        <w:t>asset_snapshot</w:t>
      </w:r>
      <w:r>
        <w:rPr>
          <w:rFonts w:hint="eastAsia" w:ascii="仿宋" w:hAnsi="仿宋" w:eastAsia="仿宋" w:cs="仿宋"/>
          <w:i w:val="0"/>
          <w:iCs w:val="0"/>
          <w:caps w:val="0"/>
          <w:color w:val="0F1115"/>
          <w:spacing w:val="0"/>
          <w:sz w:val="24"/>
          <w:szCs w:val="24"/>
          <w:shd w:val="clear" w:fill="FFFFFF"/>
        </w:rPr>
        <w:t>表</w:t>
      </w:r>
    </w:p>
    <w:p w14:paraId="048B6FEA">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对话气泡更新为“已入库”状态</w:t>
      </w:r>
    </w:p>
    <w:p w14:paraId="3932682E">
      <w:pPr>
        <w:pStyle w:val="4"/>
        <w:bidi w:val="0"/>
        <w:rPr>
          <w:rFonts w:hint="default"/>
        </w:rPr>
      </w:pPr>
      <w:r>
        <w:rPr>
          <w:rFonts w:hint="default"/>
        </w:rPr>
        <w:t>5.6.2 对话创建与API调用</w:t>
      </w:r>
    </w:p>
    <w:p w14:paraId="233270C5">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用户上传截图后，后端自动创建一个新的截图解析对话（</w:t>
      </w:r>
      <w:r>
        <w:rPr>
          <w:rStyle w:val="11"/>
          <w:rFonts w:hint="eastAsia" w:ascii="仿宋" w:hAnsi="仿宋" w:eastAsia="仿宋" w:cs="仿宋"/>
          <w:i w:val="0"/>
          <w:iCs w:val="0"/>
          <w:caps w:val="0"/>
          <w:color w:val="0F1115"/>
          <w:spacing w:val="0"/>
          <w:sz w:val="24"/>
          <w:szCs w:val="24"/>
          <w:shd w:val="clear" w:fill="EBEEF2"/>
        </w:rPr>
        <w:t>conversation_type = 'screenshot_parse'</w:t>
      </w:r>
      <w:r>
        <w:rPr>
          <w:rFonts w:hint="eastAsia" w:ascii="仿宋" w:hAnsi="仿宋" w:eastAsia="仿宋" w:cs="仿宋"/>
          <w:i w:val="0"/>
          <w:iCs w:val="0"/>
          <w:caps w:val="0"/>
          <w:color w:val="0F1115"/>
          <w:spacing w:val="0"/>
          <w:sz w:val="24"/>
          <w:szCs w:val="24"/>
          <w:shd w:val="clear" w:fill="FFFFFF"/>
        </w:rPr>
        <w:t>），对话ID为UUID。系统将截图转为Base64，调用DeepSeek API，加载</w:t>
      </w:r>
      <w:r>
        <w:rPr>
          <w:rStyle w:val="11"/>
          <w:rFonts w:hint="eastAsia" w:ascii="仿宋" w:hAnsi="仿宋" w:eastAsia="仿宋" w:cs="仿宋"/>
          <w:i w:val="0"/>
          <w:iCs w:val="0"/>
          <w:caps w:val="0"/>
          <w:color w:val="0F1115"/>
          <w:spacing w:val="0"/>
          <w:sz w:val="24"/>
          <w:szCs w:val="24"/>
          <w:shd w:val="clear" w:fill="EBEEF2"/>
        </w:rPr>
        <w:t>screenshot_parser</w:t>
      </w:r>
      <w:r>
        <w:rPr>
          <w:rFonts w:hint="eastAsia" w:ascii="仿宋" w:hAnsi="仿宋" w:eastAsia="仿宋" w:cs="仿宋"/>
          <w:i w:val="0"/>
          <w:iCs w:val="0"/>
          <w:caps w:val="0"/>
          <w:color w:val="0F1115"/>
          <w:spacing w:val="0"/>
          <w:sz w:val="24"/>
          <w:szCs w:val="24"/>
          <w:shd w:val="clear" w:fill="FFFFFF"/>
        </w:rPr>
        <w:t> v1.0 Prompt。</w:t>
      </w:r>
    </w:p>
    <w:p w14:paraId="575134A6">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用户消息气泡</w:t>
      </w:r>
      <w:r>
        <w:rPr>
          <w:rFonts w:hint="eastAsia" w:ascii="仿宋" w:hAnsi="仿宋" w:eastAsia="仿宋" w:cs="仿宋"/>
          <w:i w:val="0"/>
          <w:iCs w:val="0"/>
          <w:caps w:val="0"/>
          <w:color w:val="0F1115"/>
          <w:spacing w:val="0"/>
          <w:sz w:val="24"/>
          <w:szCs w:val="24"/>
          <w:shd w:val="clear" w:fill="FFFFFF"/>
        </w:rPr>
        <w:t>（系统自动发送）：</w:t>
      </w:r>
    </w:p>
    <w:p w14:paraId="5C3A202B">
      <w:pPr>
        <w:pStyle w:val="13"/>
        <w:bidi w:val="0"/>
        <w:outlineLvl w:val="9"/>
        <w:rPr>
          <w:rFonts w:hint="eastAsia"/>
        </w:rPr>
      </w:pPr>
      <w:r>
        <w:rPr>
          <w:rFonts w:hint="eastAsia"/>
          <w:lang w:val="en-US" w:eastAsia="zh-CN"/>
        </w:rPr>
        <w:t>text</w:t>
      </w:r>
    </w:p>
    <w:p w14:paraId="139D548D">
      <w:pPr>
        <w:pStyle w:val="13"/>
        <w:bidi w:val="0"/>
        <w:outlineLvl w:val="9"/>
        <w:rPr>
          <w:rFonts w:hint="eastAsia"/>
        </w:rPr>
      </w:pPr>
      <w:r>
        <w:rPr>
          <w:rFonts w:hint="eastAsia"/>
        </w:rPr>
        <w:t>请解析以下支付宝资产截图[截图缩略图]</w:t>
      </w:r>
    </w:p>
    <w:p w14:paraId="24320FB9">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b/>
          <w:bCs/>
          <w:i w:val="0"/>
          <w:iCs w:val="0"/>
          <w:caps w:val="0"/>
          <w:color w:val="0F1115"/>
          <w:spacing w:val="0"/>
          <w:sz w:val="24"/>
          <w:szCs w:val="24"/>
          <w:shd w:val="clear" w:fill="FFFFFF"/>
        </w:rPr>
        <w:t>AI回复气泡</w:t>
      </w:r>
      <w:r>
        <w:rPr>
          <w:rFonts w:hint="eastAsia" w:ascii="仿宋" w:hAnsi="仿宋" w:eastAsia="仿宋" w:cs="仿宋"/>
          <w:i w:val="0"/>
          <w:iCs w:val="0"/>
          <w:caps w:val="0"/>
          <w:color w:val="0F1115"/>
          <w:spacing w:val="0"/>
          <w:sz w:val="24"/>
          <w:szCs w:val="24"/>
          <w:shd w:val="clear" w:fill="FFFFFF"/>
        </w:rPr>
        <w:t>（DeepSeek返回的完整内容，以6月9日真实数据为例）：</w:t>
      </w:r>
    </w:p>
    <w:p w14:paraId="4C711888">
      <w:pPr>
        <w:pStyle w:val="13"/>
        <w:bidi w:val="0"/>
        <w:rPr>
          <w:rFonts w:hint="eastAsia"/>
          <w:lang w:val="en-US" w:eastAsia="zh-CN"/>
        </w:rPr>
      </w:pPr>
      <w:r>
        <w:rPr>
          <w:rFonts w:hint="eastAsia"/>
          <w:lang w:val="en-US" w:eastAsia="zh-CN"/>
        </w:rPr>
        <w:t>text</w:t>
      </w:r>
    </w:p>
    <w:p w14:paraId="16F0EC3C">
      <w:pPr>
        <w:pStyle w:val="13"/>
        <w:bidi w:val="0"/>
        <w:outlineLvl w:val="9"/>
        <w:rPr>
          <w:rFonts w:hint="eastAsia"/>
          <w:lang w:val="en-US" w:eastAsia="zh-CN"/>
        </w:rPr>
      </w:pPr>
      <w:r>
        <w:rPr>
          <w:rFonts w:hint="eastAsia"/>
          <w:lang w:val="en-US" w:eastAsia="zh-CN"/>
        </w:rPr>
        <w:t>识别到18只基金，六大类资产明细如下：</w:t>
      </w:r>
    </w:p>
    <w:p w14:paraId="7DA34631">
      <w:pPr>
        <w:pStyle w:val="13"/>
        <w:bidi w:val="0"/>
        <w:outlineLvl w:val="9"/>
        <w:rPr>
          <w:rFonts w:hint="eastAsia"/>
          <w:lang w:val="en-US" w:eastAsia="zh-CN"/>
        </w:rPr>
      </w:pPr>
    </w:p>
    <w:p w14:paraId="483DF34B">
      <w:pPr>
        <w:pStyle w:val="13"/>
        <w:bidi w:val="0"/>
        <w:outlineLvl w:val="9"/>
        <w:rPr>
          <w:rFonts w:hint="eastAsia"/>
          <w:lang w:val="en-US" w:eastAsia="zh-CN"/>
        </w:rPr>
      </w:pPr>
      <w:r>
        <w:rPr>
          <w:rFonts w:hint="eastAsia"/>
          <w:lang w:val="en-US" w:eastAsia="zh-CN"/>
        </w:rPr>
        <w:t>### 支付宝资产明细（截至2026年6月9日 9:04）</w:t>
      </w:r>
    </w:p>
    <w:p w14:paraId="0B48AF42">
      <w:pPr>
        <w:pStyle w:val="13"/>
        <w:bidi w:val="0"/>
        <w:outlineLvl w:val="9"/>
        <w:rPr>
          <w:rFonts w:hint="eastAsia"/>
          <w:lang w:val="en-US" w:eastAsia="zh-CN"/>
        </w:rPr>
      </w:pPr>
    </w:p>
    <w:p w14:paraId="102B0B87">
      <w:pPr>
        <w:pStyle w:val="13"/>
        <w:bidi w:val="0"/>
        <w:outlineLvl w:val="9"/>
        <w:rPr>
          <w:rFonts w:hint="eastAsia"/>
          <w:lang w:val="en-US" w:eastAsia="zh-CN"/>
        </w:rPr>
      </w:pPr>
      <w:r>
        <w:rPr>
          <w:rFonts w:hint="eastAsia"/>
          <w:lang w:val="en-US" w:eastAsia="zh-CN"/>
        </w:rPr>
        <w:t>| 基金名称 | 持仓金额（元） | 持有收益（元） | 六大类归属 |</w:t>
      </w:r>
    </w:p>
    <w:p w14:paraId="60F4C33D">
      <w:pPr>
        <w:pStyle w:val="13"/>
        <w:bidi w:val="0"/>
        <w:outlineLvl w:val="9"/>
        <w:rPr>
          <w:rFonts w:hint="eastAsia"/>
          <w:lang w:val="en-US" w:eastAsia="zh-CN"/>
        </w:rPr>
      </w:pPr>
      <w:r>
        <w:rPr>
          <w:rFonts w:hint="eastAsia"/>
          <w:lang w:val="en-US" w:eastAsia="zh-CN"/>
        </w:rPr>
        <w:t>|----------|---------------|---------------|-----------|</w:t>
      </w:r>
    </w:p>
    <w:p w14:paraId="07157CE5">
      <w:pPr>
        <w:pStyle w:val="13"/>
        <w:bidi w:val="0"/>
        <w:outlineLvl w:val="9"/>
        <w:rPr>
          <w:rFonts w:hint="eastAsia"/>
          <w:lang w:val="en-US" w:eastAsia="zh-CN"/>
        </w:rPr>
      </w:pPr>
      <w:r>
        <w:rPr>
          <w:rFonts w:hint="eastAsia"/>
          <w:lang w:val="en-US" w:eastAsia="zh-CN"/>
        </w:rPr>
        <w:t>| **货币类** | | | |</w:t>
      </w:r>
    </w:p>
    <w:p w14:paraId="384BF1D8">
      <w:pPr>
        <w:pStyle w:val="13"/>
        <w:bidi w:val="0"/>
        <w:outlineLvl w:val="9"/>
        <w:rPr>
          <w:rFonts w:hint="eastAsia"/>
          <w:lang w:val="en-US" w:eastAsia="zh-CN"/>
        </w:rPr>
      </w:pPr>
      <w:r>
        <w:rPr>
          <w:rFonts w:hint="eastAsia"/>
          <w:lang w:val="en-US" w:eastAsia="zh-CN"/>
        </w:rPr>
        <w:t>| 中加货币E | 641.49 | +1.49 | 货币类 |</w:t>
      </w:r>
    </w:p>
    <w:p w14:paraId="2FABF733">
      <w:pPr>
        <w:pStyle w:val="13"/>
        <w:bidi w:val="0"/>
        <w:outlineLvl w:val="9"/>
        <w:rPr>
          <w:rFonts w:hint="eastAsia"/>
          <w:lang w:val="en-US" w:eastAsia="zh-CN"/>
        </w:rPr>
      </w:pPr>
      <w:r>
        <w:rPr>
          <w:rFonts w:hint="eastAsia"/>
          <w:lang w:val="en-US" w:eastAsia="zh-CN"/>
        </w:rPr>
        <w:t>| **货币类合计** | **641.49** | | **占支付宝总资产 9.30%** |</w:t>
      </w:r>
    </w:p>
    <w:p w14:paraId="04EFB6EB">
      <w:pPr>
        <w:pStyle w:val="13"/>
        <w:bidi w:val="0"/>
        <w:outlineLvl w:val="9"/>
        <w:rPr>
          <w:rFonts w:hint="eastAsia"/>
          <w:lang w:val="en-US" w:eastAsia="zh-CN"/>
        </w:rPr>
      </w:pPr>
      <w:r>
        <w:rPr>
          <w:rFonts w:hint="eastAsia"/>
          <w:lang w:val="en-US" w:eastAsia="zh-CN"/>
        </w:rPr>
        <w:t>| **固收类** | | | |</w:t>
      </w:r>
    </w:p>
    <w:p w14:paraId="65178DAD">
      <w:pPr>
        <w:pStyle w:val="13"/>
        <w:bidi w:val="0"/>
        <w:outlineLvl w:val="9"/>
        <w:rPr>
          <w:rFonts w:hint="eastAsia"/>
          <w:lang w:val="en-US" w:eastAsia="zh-CN"/>
        </w:rPr>
      </w:pPr>
      <w:r>
        <w:rPr>
          <w:rFonts w:hint="eastAsia"/>
          <w:lang w:val="en-US" w:eastAsia="zh-CN"/>
        </w:rPr>
        <w:t>| 鹏华纯债债券D | 350.53 | +1.33 | 固收类 |</w:t>
      </w:r>
    </w:p>
    <w:p w14:paraId="4CEFF3F8">
      <w:pPr>
        <w:pStyle w:val="13"/>
        <w:bidi w:val="0"/>
        <w:outlineLvl w:val="9"/>
        <w:rPr>
          <w:rFonts w:hint="eastAsia"/>
          <w:lang w:val="en-US" w:eastAsia="zh-CN"/>
        </w:rPr>
      </w:pPr>
      <w:r>
        <w:rPr>
          <w:rFonts w:hint="eastAsia"/>
          <w:lang w:val="en-US" w:eastAsia="zh-CN"/>
        </w:rPr>
        <w:t>| 长城短债债券A | 304.30 | +4.30 | 固收类 |</w:t>
      </w:r>
    </w:p>
    <w:p w14:paraId="57B4C66A">
      <w:pPr>
        <w:pStyle w:val="13"/>
        <w:bidi w:val="0"/>
        <w:outlineLvl w:val="9"/>
        <w:rPr>
          <w:rFonts w:hint="eastAsia"/>
          <w:lang w:val="en-US" w:eastAsia="zh-CN"/>
        </w:rPr>
      </w:pPr>
      <w:r>
        <w:rPr>
          <w:rFonts w:hint="eastAsia"/>
          <w:lang w:val="en-US" w:eastAsia="zh-CN"/>
        </w:rPr>
        <w:t>| 安信新价值灵活配置混合A | 299.41 | -0.59 | 固收类 |</w:t>
      </w:r>
    </w:p>
    <w:p w14:paraId="033239BD">
      <w:pPr>
        <w:pStyle w:val="13"/>
        <w:bidi w:val="0"/>
        <w:outlineLvl w:val="9"/>
        <w:rPr>
          <w:rFonts w:hint="eastAsia"/>
          <w:lang w:val="en-US" w:eastAsia="zh-CN"/>
        </w:rPr>
      </w:pPr>
      <w:r>
        <w:rPr>
          <w:rFonts w:hint="eastAsia"/>
          <w:lang w:val="en-US" w:eastAsia="zh-CN"/>
        </w:rPr>
        <w:t>| **固收类合计** | **954.24** | | **占支付宝总资产 13.83%** |</w:t>
      </w:r>
    </w:p>
    <w:p w14:paraId="7F15C73D">
      <w:pPr>
        <w:pStyle w:val="13"/>
        <w:bidi w:val="0"/>
        <w:outlineLvl w:val="9"/>
        <w:rPr>
          <w:rFonts w:hint="eastAsia"/>
          <w:lang w:val="en-US" w:eastAsia="zh-CN"/>
        </w:rPr>
      </w:pPr>
      <w:r>
        <w:rPr>
          <w:rFonts w:hint="eastAsia"/>
          <w:lang w:val="en-US" w:eastAsia="zh-CN"/>
        </w:rPr>
        <w:t>| **商品类** | | | |</w:t>
      </w:r>
    </w:p>
    <w:p w14:paraId="6260747B">
      <w:pPr>
        <w:pStyle w:val="13"/>
        <w:bidi w:val="0"/>
        <w:outlineLvl w:val="9"/>
        <w:rPr>
          <w:rFonts w:hint="eastAsia"/>
          <w:lang w:val="en-US" w:eastAsia="zh-CN"/>
        </w:rPr>
      </w:pPr>
      <w:r>
        <w:rPr>
          <w:rFonts w:hint="eastAsia"/>
          <w:lang w:val="en-US" w:eastAsia="zh-CN"/>
        </w:rPr>
        <w:t>| 国泰黄金ETF联接A | 742.76 | -70.24 | 商品类 |</w:t>
      </w:r>
    </w:p>
    <w:p w14:paraId="39F24325">
      <w:pPr>
        <w:pStyle w:val="13"/>
        <w:bidi w:val="0"/>
        <w:outlineLvl w:val="9"/>
        <w:rPr>
          <w:rFonts w:hint="eastAsia"/>
          <w:lang w:val="en-US" w:eastAsia="zh-CN"/>
        </w:rPr>
      </w:pPr>
      <w:r>
        <w:rPr>
          <w:rFonts w:hint="eastAsia"/>
          <w:lang w:val="en-US" w:eastAsia="zh-CN"/>
        </w:rPr>
        <w:t>| 国泰黄金ETF联接C | 576.87 | -3.24 | 商品类 |</w:t>
      </w:r>
    </w:p>
    <w:p w14:paraId="5C35766C">
      <w:pPr>
        <w:pStyle w:val="13"/>
        <w:bidi w:val="0"/>
        <w:outlineLvl w:val="9"/>
        <w:rPr>
          <w:rFonts w:hint="eastAsia"/>
          <w:lang w:val="en-US" w:eastAsia="zh-CN"/>
        </w:rPr>
      </w:pPr>
      <w:r>
        <w:rPr>
          <w:rFonts w:hint="eastAsia"/>
          <w:lang w:val="en-US" w:eastAsia="zh-CN"/>
        </w:rPr>
        <w:t>| 华安黄金ETF联接C | 118.99 | -17.76 | 商品类 |</w:t>
      </w:r>
    </w:p>
    <w:p w14:paraId="32FEFB77">
      <w:pPr>
        <w:pStyle w:val="13"/>
        <w:bidi w:val="0"/>
        <w:outlineLvl w:val="9"/>
        <w:rPr>
          <w:rFonts w:hint="eastAsia"/>
          <w:lang w:val="en-US" w:eastAsia="zh-CN"/>
        </w:rPr>
      </w:pPr>
      <w:r>
        <w:rPr>
          <w:rFonts w:hint="eastAsia"/>
          <w:lang w:val="en-US" w:eastAsia="zh-CN"/>
        </w:rPr>
        <w:t>| **商品类合计** | **1,438.62** | | **占支付宝总资产 20.85%** |</w:t>
      </w:r>
    </w:p>
    <w:p w14:paraId="0E9CB20D">
      <w:pPr>
        <w:pStyle w:val="13"/>
        <w:bidi w:val="0"/>
        <w:outlineLvl w:val="9"/>
        <w:rPr>
          <w:rFonts w:hint="eastAsia"/>
          <w:lang w:val="en-US" w:eastAsia="zh-CN"/>
        </w:rPr>
      </w:pPr>
      <w:r>
        <w:rPr>
          <w:rFonts w:hint="eastAsia"/>
          <w:lang w:val="en-US" w:eastAsia="zh-CN"/>
        </w:rPr>
        <w:t>| **A股权益类** | | | |</w:t>
      </w:r>
    </w:p>
    <w:p w14:paraId="0BD6BCAA">
      <w:pPr>
        <w:pStyle w:val="13"/>
        <w:bidi w:val="0"/>
        <w:outlineLvl w:val="9"/>
        <w:rPr>
          <w:rFonts w:hint="eastAsia"/>
          <w:lang w:val="en-US" w:eastAsia="zh-CN"/>
        </w:rPr>
      </w:pPr>
      <w:r>
        <w:rPr>
          <w:rFonts w:hint="eastAsia"/>
          <w:lang w:val="en-US" w:eastAsia="zh-CN"/>
        </w:rPr>
        <w:t>| 诺安中证A100指数A | 1,071.16 | +37.16 | A股权益类 |</w:t>
      </w:r>
    </w:p>
    <w:p w14:paraId="3E08B721">
      <w:pPr>
        <w:pStyle w:val="13"/>
        <w:bidi w:val="0"/>
        <w:outlineLvl w:val="9"/>
        <w:rPr>
          <w:rFonts w:hint="eastAsia"/>
          <w:lang w:val="en-US" w:eastAsia="zh-CN"/>
        </w:rPr>
      </w:pPr>
      <w:r>
        <w:rPr>
          <w:rFonts w:hint="eastAsia"/>
          <w:lang w:val="en-US" w:eastAsia="zh-CN"/>
        </w:rPr>
        <w:t>| 国泰海通中证500指数增强C | 240.14 | +0.14 | A股权益类 |</w:t>
      </w:r>
    </w:p>
    <w:p w14:paraId="6973EA89">
      <w:pPr>
        <w:pStyle w:val="13"/>
        <w:bidi w:val="0"/>
        <w:outlineLvl w:val="9"/>
        <w:rPr>
          <w:rFonts w:hint="eastAsia"/>
          <w:lang w:val="en-US" w:eastAsia="zh-CN"/>
        </w:rPr>
      </w:pPr>
      <w:r>
        <w:rPr>
          <w:rFonts w:hint="eastAsia"/>
          <w:lang w:val="en-US" w:eastAsia="zh-CN"/>
        </w:rPr>
        <w:t>| 广发价值回报混合C | 114.03 | -5.97 | A股权益类 |</w:t>
      </w:r>
    </w:p>
    <w:p w14:paraId="15A7A0B2">
      <w:pPr>
        <w:pStyle w:val="13"/>
        <w:bidi w:val="0"/>
        <w:outlineLvl w:val="9"/>
        <w:rPr>
          <w:rFonts w:hint="eastAsia"/>
          <w:lang w:val="en-US" w:eastAsia="zh-CN"/>
        </w:rPr>
      </w:pPr>
      <w:r>
        <w:rPr>
          <w:rFonts w:hint="eastAsia"/>
          <w:lang w:val="en-US" w:eastAsia="zh-CN"/>
        </w:rPr>
        <w:t>| 易方达机器人ETF联接C | 123.18 | +23.18 | A股权益类 |</w:t>
      </w:r>
    </w:p>
    <w:p w14:paraId="4A408BBB">
      <w:pPr>
        <w:pStyle w:val="13"/>
        <w:bidi w:val="0"/>
        <w:outlineLvl w:val="9"/>
        <w:rPr>
          <w:rFonts w:hint="eastAsia"/>
          <w:lang w:val="en-US" w:eastAsia="zh-CN"/>
        </w:rPr>
      </w:pPr>
      <w:r>
        <w:rPr>
          <w:rFonts w:hint="eastAsia"/>
          <w:lang w:val="en-US" w:eastAsia="zh-CN"/>
        </w:rPr>
        <w:t>| 诺安中证A100指数C | 104.50 | +4.50 | A股权益类 |</w:t>
      </w:r>
    </w:p>
    <w:p w14:paraId="5B8ABC20">
      <w:pPr>
        <w:pStyle w:val="13"/>
        <w:bidi w:val="0"/>
        <w:outlineLvl w:val="9"/>
        <w:rPr>
          <w:rFonts w:hint="eastAsia"/>
          <w:lang w:val="en-US" w:eastAsia="zh-CN"/>
        </w:rPr>
      </w:pPr>
      <w:r>
        <w:rPr>
          <w:rFonts w:hint="eastAsia"/>
          <w:lang w:val="en-US" w:eastAsia="zh-CN"/>
        </w:rPr>
        <w:t>| **A股权益类合计** | **1,653.01** | | **占支付宝总资产 23.96%** |</w:t>
      </w:r>
    </w:p>
    <w:p w14:paraId="1B3CEDBA">
      <w:pPr>
        <w:pStyle w:val="13"/>
        <w:bidi w:val="0"/>
        <w:outlineLvl w:val="9"/>
        <w:rPr>
          <w:rFonts w:hint="eastAsia"/>
          <w:lang w:val="en-US" w:eastAsia="zh-CN"/>
        </w:rPr>
      </w:pPr>
      <w:r>
        <w:rPr>
          <w:rFonts w:hint="eastAsia"/>
          <w:lang w:val="en-US" w:eastAsia="zh-CN"/>
        </w:rPr>
        <w:t>| **海外权益类** | | | |</w:t>
      </w:r>
    </w:p>
    <w:p w14:paraId="4C4E6BE6">
      <w:pPr>
        <w:pStyle w:val="13"/>
        <w:bidi w:val="0"/>
        <w:outlineLvl w:val="9"/>
        <w:rPr>
          <w:rFonts w:hint="eastAsia"/>
          <w:lang w:val="en-US" w:eastAsia="zh-CN"/>
        </w:rPr>
      </w:pPr>
      <w:r>
        <w:rPr>
          <w:rFonts w:hint="eastAsia"/>
          <w:lang w:val="en-US" w:eastAsia="zh-CN"/>
        </w:rPr>
        <w:t>| 天弘纳斯达克100指数(QDII)A | 631.44 | +49.44 | 海外权益类 |</w:t>
      </w:r>
    </w:p>
    <w:p w14:paraId="6101DB72">
      <w:pPr>
        <w:pStyle w:val="13"/>
        <w:bidi w:val="0"/>
        <w:outlineLvl w:val="9"/>
        <w:rPr>
          <w:rFonts w:hint="eastAsia"/>
          <w:lang w:val="en-US" w:eastAsia="zh-CN"/>
        </w:rPr>
      </w:pPr>
      <w:r>
        <w:rPr>
          <w:rFonts w:hint="eastAsia"/>
          <w:lang w:val="en-US" w:eastAsia="zh-CN"/>
        </w:rPr>
        <w:t>| 天弘纳斯达克100指数(QDII)C | 307.95 | +32.95 | 海外权益类 |</w:t>
      </w:r>
    </w:p>
    <w:p w14:paraId="565D23C5">
      <w:pPr>
        <w:pStyle w:val="13"/>
        <w:bidi w:val="0"/>
        <w:outlineLvl w:val="9"/>
        <w:rPr>
          <w:rFonts w:hint="eastAsia"/>
          <w:lang w:val="en-US" w:eastAsia="zh-CN"/>
        </w:rPr>
      </w:pPr>
      <w:r>
        <w:rPr>
          <w:rFonts w:hint="eastAsia"/>
          <w:lang w:val="en-US" w:eastAsia="zh-CN"/>
        </w:rPr>
        <w:t>| 摩根纳斯达克100指数(QDII)A | 335.55 | +35.55 | 海外权益类 |</w:t>
      </w:r>
    </w:p>
    <w:p w14:paraId="383C1414">
      <w:pPr>
        <w:pStyle w:val="13"/>
        <w:bidi w:val="0"/>
        <w:outlineLvl w:val="9"/>
        <w:rPr>
          <w:rFonts w:hint="eastAsia"/>
          <w:lang w:val="en-US" w:eastAsia="zh-CN"/>
        </w:rPr>
      </w:pPr>
      <w:r>
        <w:rPr>
          <w:rFonts w:hint="eastAsia"/>
          <w:lang w:val="en-US" w:eastAsia="zh-CN"/>
        </w:rPr>
        <w:t>| 招商纳斯达克100ETF联接(QDII)C | 184.08 | +24.08 | 海外权益类 |</w:t>
      </w:r>
    </w:p>
    <w:p w14:paraId="164CA7EA">
      <w:pPr>
        <w:pStyle w:val="13"/>
        <w:bidi w:val="0"/>
        <w:outlineLvl w:val="9"/>
        <w:rPr>
          <w:rFonts w:hint="eastAsia"/>
          <w:lang w:val="en-US" w:eastAsia="zh-CN"/>
        </w:rPr>
      </w:pPr>
      <w:r>
        <w:rPr>
          <w:rFonts w:hint="eastAsia"/>
          <w:lang w:val="en-US" w:eastAsia="zh-CN"/>
        </w:rPr>
        <w:t>| **海外权益类合计** | **1,459.02** | | **占支付宝总资产 21.15%** |</w:t>
      </w:r>
    </w:p>
    <w:p w14:paraId="7B49E7CC">
      <w:pPr>
        <w:pStyle w:val="13"/>
        <w:bidi w:val="0"/>
        <w:outlineLvl w:val="9"/>
        <w:rPr>
          <w:rFonts w:hint="eastAsia"/>
          <w:lang w:val="en-US" w:eastAsia="zh-CN"/>
        </w:rPr>
      </w:pPr>
      <w:r>
        <w:rPr>
          <w:rFonts w:hint="eastAsia"/>
          <w:lang w:val="en-US" w:eastAsia="zh-CN"/>
        </w:rPr>
        <w:t>| **港股/大中华类** | | | |</w:t>
      </w:r>
    </w:p>
    <w:p w14:paraId="45613C65">
      <w:pPr>
        <w:pStyle w:val="13"/>
        <w:bidi w:val="0"/>
        <w:outlineLvl w:val="9"/>
        <w:rPr>
          <w:rFonts w:hint="eastAsia"/>
          <w:lang w:val="en-US" w:eastAsia="zh-CN"/>
        </w:rPr>
      </w:pPr>
      <w:r>
        <w:rPr>
          <w:rFonts w:hint="eastAsia"/>
          <w:lang w:val="en-US" w:eastAsia="zh-CN"/>
        </w:rPr>
        <w:t>| 易方达恒生科技ETF联接(QDII)C | 207.77 | -8.23 | 港股/大中华类 |</w:t>
      </w:r>
    </w:p>
    <w:p w14:paraId="6F66D3AC">
      <w:pPr>
        <w:pStyle w:val="13"/>
        <w:bidi w:val="0"/>
        <w:outlineLvl w:val="9"/>
        <w:rPr>
          <w:rFonts w:hint="eastAsia"/>
          <w:lang w:val="en-US" w:eastAsia="zh-CN"/>
        </w:rPr>
      </w:pPr>
      <w:r>
        <w:rPr>
          <w:rFonts w:hint="eastAsia"/>
          <w:lang w:val="en-US" w:eastAsia="zh-CN"/>
        </w:rPr>
        <w:t>| 华安香港精选股票(QDII) | 126.76 | +6.76 | 港股/大中华类 |</w:t>
      </w:r>
    </w:p>
    <w:p w14:paraId="730A5B93">
      <w:pPr>
        <w:pStyle w:val="13"/>
        <w:bidi w:val="0"/>
        <w:outlineLvl w:val="9"/>
        <w:rPr>
          <w:rFonts w:hint="eastAsia"/>
          <w:lang w:val="en-US" w:eastAsia="zh-CN"/>
        </w:rPr>
      </w:pPr>
      <w:r>
        <w:rPr>
          <w:rFonts w:hint="eastAsia"/>
          <w:lang w:val="en-US" w:eastAsia="zh-CN"/>
        </w:rPr>
        <w:t>| **港股/大中华类合计** | **334.53** | | **占支付宝总资产 4.85%** |</w:t>
      </w:r>
    </w:p>
    <w:p w14:paraId="637E8560">
      <w:pPr>
        <w:pStyle w:val="13"/>
        <w:bidi w:val="0"/>
        <w:outlineLvl w:val="9"/>
        <w:rPr>
          <w:rFonts w:hint="eastAsia"/>
          <w:lang w:val="en-US" w:eastAsia="zh-CN"/>
        </w:rPr>
      </w:pPr>
      <w:r>
        <w:rPr>
          <w:rFonts w:hint="eastAsia"/>
          <w:lang w:val="en-US" w:eastAsia="zh-CN"/>
        </w:rPr>
        <w:t>| **余额类** | | | |</w:t>
      </w:r>
    </w:p>
    <w:p w14:paraId="0C8BE8ED">
      <w:pPr>
        <w:pStyle w:val="13"/>
        <w:bidi w:val="0"/>
        <w:outlineLvl w:val="9"/>
        <w:rPr>
          <w:rFonts w:hint="eastAsia"/>
          <w:lang w:val="en-US" w:eastAsia="zh-CN"/>
        </w:rPr>
      </w:pPr>
      <w:r>
        <w:rPr>
          <w:rFonts w:hint="eastAsia"/>
          <w:lang w:val="en-US" w:eastAsia="zh-CN"/>
        </w:rPr>
        <w:t>| 余额宝 | 418.46 | +1.56 | 余额类 |</w:t>
      </w:r>
    </w:p>
    <w:p w14:paraId="17D37F23">
      <w:pPr>
        <w:pStyle w:val="13"/>
        <w:bidi w:val="0"/>
        <w:outlineLvl w:val="9"/>
        <w:rPr>
          <w:rFonts w:hint="eastAsia"/>
          <w:lang w:val="en-US" w:eastAsia="zh-CN"/>
        </w:rPr>
      </w:pPr>
      <w:r>
        <w:rPr>
          <w:rFonts w:hint="eastAsia"/>
          <w:lang w:val="en-US" w:eastAsia="zh-CN"/>
        </w:rPr>
        <w:t>| 余额 | 0.00 | — | 余额类 |</w:t>
      </w:r>
    </w:p>
    <w:p w14:paraId="45D7C99D">
      <w:pPr>
        <w:pStyle w:val="13"/>
        <w:bidi w:val="0"/>
        <w:outlineLvl w:val="9"/>
        <w:rPr>
          <w:rFonts w:hint="eastAsia"/>
          <w:lang w:val="en-US" w:eastAsia="zh-CN"/>
        </w:rPr>
      </w:pPr>
      <w:r>
        <w:rPr>
          <w:rFonts w:hint="eastAsia"/>
          <w:lang w:val="en-US" w:eastAsia="zh-CN"/>
        </w:rPr>
        <w:t>| **余额类合计** | **418.46** | | **占支付宝总资产 6.07%** |</w:t>
      </w:r>
    </w:p>
    <w:p w14:paraId="5D1D885D">
      <w:pPr>
        <w:pStyle w:val="13"/>
        <w:bidi w:val="0"/>
        <w:outlineLvl w:val="9"/>
        <w:rPr>
          <w:rFonts w:hint="eastAsia"/>
          <w:lang w:val="en-US" w:eastAsia="zh-CN"/>
        </w:rPr>
      </w:pPr>
    </w:p>
    <w:p w14:paraId="2C61F37E">
      <w:pPr>
        <w:pStyle w:val="13"/>
        <w:bidi w:val="0"/>
        <w:outlineLvl w:val="9"/>
        <w:rPr>
          <w:rFonts w:hint="eastAsia"/>
          <w:lang w:val="en-US" w:eastAsia="zh-CN"/>
        </w:rPr>
      </w:pPr>
      <w:r>
        <w:rPr>
          <w:rFonts w:hint="eastAsia"/>
          <w:lang w:val="en-US" w:eastAsia="zh-CN"/>
        </w:rPr>
        <w:t>&gt; **注**：余额类不计入六大类资产配置。</w:t>
      </w:r>
    </w:p>
    <w:p w14:paraId="4A8A4125">
      <w:pPr>
        <w:pStyle w:val="13"/>
        <w:bidi w:val="0"/>
        <w:outlineLvl w:val="9"/>
        <w:rPr>
          <w:rFonts w:hint="eastAsia"/>
          <w:lang w:val="en-US" w:eastAsia="zh-CN"/>
        </w:rPr>
      </w:pPr>
    </w:p>
    <w:p w14:paraId="720BC60B">
      <w:pPr>
        <w:pStyle w:val="13"/>
        <w:bidi w:val="0"/>
        <w:outlineLvl w:val="9"/>
        <w:rPr>
          <w:rFonts w:hint="eastAsia"/>
          <w:lang w:val="en-US" w:eastAsia="zh-CN"/>
        </w:rPr>
      </w:pPr>
      <w:r>
        <w:rPr>
          <w:rFonts w:hint="eastAsia"/>
          <w:lang w:val="en-US" w:eastAsia="zh-CN"/>
        </w:rPr>
        <w:t>---</w:t>
      </w:r>
    </w:p>
    <w:p w14:paraId="5EFEE0BA">
      <w:pPr>
        <w:pStyle w:val="13"/>
        <w:bidi w:val="0"/>
        <w:outlineLvl w:val="9"/>
        <w:rPr>
          <w:rFonts w:hint="eastAsia"/>
          <w:lang w:val="en-US" w:eastAsia="zh-CN"/>
        </w:rPr>
      </w:pPr>
    </w:p>
    <w:p w14:paraId="3675A1AF">
      <w:pPr>
        <w:pStyle w:val="13"/>
        <w:bidi w:val="0"/>
        <w:outlineLvl w:val="9"/>
        <w:rPr>
          <w:rFonts w:hint="eastAsia"/>
          <w:lang w:val="en-US" w:eastAsia="zh-CN"/>
        </w:rPr>
      </w:pPr>
      <w:r>
        <w:rPr>
          <w:rFonts w:hint="eastAsia"/>
          <w:lang w:val="en-US" w:eastAsia="zh-CN"/>
        </w:rPr>
        <w:t>#### 六大类资产内部比例（剔除余额类）</w:t>
      </w:r>
    </w:p>
    <w:p w14:paraId="2DBC1DB7">
      <w:pPr>
        <w:pStyle w:val="13"/>
        <w:bidi w:val="0"/>
        <w:outlineLvl w:val="9"/>
        <w:rPr>
          <w:rFonts w:hint="eastAsia"/>
          <w:lang w:val="en-US" w:eastAsia="zh-CN"/>
        </w:rPr>
      </w:pPr>
    </w:p>
    <w:p w14:paraId="28BAA689">
      <w:pPr>
        <w:pStyle w:val="13"/>
        <w:bidi w:val="0"/>
        <w:outlineLvl w:val="9"/>
        <w:rPr>
          <w:rFonts w:hint="eastAsia"/>
          <w:lang w:val="en-US" w:eastAsia="zh-CN"/>
        </w:rPr>
      </w:pPr>
      <w:r>
        <w:rPr>
          <w:rFonts w:hint="eastAsia"/>
          <w:lang w:val="en-US" w:eastAsia="zh-CN"/>
        </w:rPr>
        <w:t>剔除余额宝后，六大类资产总值为 **6,480.91 元**，各大类占比如下：</w:t>
      </w:r>
    </w:p>
    <w:p w14:paraId="1741B46C">
      <w:pPr>
        <w:pStyle w:val="13"/>
        <w:bidi w:val="0"/>
        <w:outlineLvl w:val="9"/>
        <w:rPr>
          <w:rFonts w:hint="eastAsia"/>
          <w:lang w:val="en-US" w:eastAsia="zh-CN"/>
        </w:rPr>
      </w:pPr>
    </w:p>
    <w:p w14:paraId="69EA9967">
      <w:pPr>
        <w:pStyle w:val="13"/>
        <w:bidi w:val="0"/>
        <w:outlineLvl w:val="9"/>
        <w:rPr>
          <w:rFonts w:hint="eastAsia"/>
          <w:lang w:val="en-US" w:eastAsia="zh-CN"/>
        </w:rPr>
      </w:pPr>
      <w:r>
        <w:rPr>
          <w:rFonts w:hint="eastAsia"/>
          <w:lang w:val="en-US" w:eastAsia="zh-CN"/>
        </w:rPr>
        <w:t>| 大类 | 金额（元） | 占比 | 计划比例 | 偏差 |</w:t>
      </w:r>
    </w:p>
    <w:p w14:paraId="71BBE0E9">
      <w:pPr>
        <w:pStyle w:val="13"/>
        <w:bidi w:val="0"/>
        <w:outlineLvl w:val="9"/>
        <w:rPr>
          <w:rFonts w:hint="eastAsia"/>
          <w:lang w:val="en-US" w:eastAsia="zh-CN"/>
        </w:rPr>
      </w:pPr>
      <w:r>
        <w:rPr>
          <w:rFonts w:hint="eastAsia"/>
          <w:lang w:val="en-US" w:eastAsia="zh-CN"/>
        </w:rPr>
        <w:t>|------|-----------|------|---------|------|</w:t>
      </w:r>
    </w:p>
    <w:p w14:paraId="6B6B5F62">
      <w:pPr>
        <w:pStyle w:val="13"/>
        <w:bidi w:val="0"/>
        <w:outlineLvl w:val="9"/>
        <w:rPr>
          <w:rFonts w:hint="eastAsia"/>
          <w:lang w:val="en-US" w:eastAsia="zh-CN"/>
        </w:rPr>
      </w:pPr>
      <w:r>
        <w:rPr>
          <w:rFonts w:hint="eastAsia"/>
          <w:lang w:val="en-US" w:eastAsia="zh-CN"/>
        </w:rPr>
        <w:t>| 货币类 | 641.49 | 9.90% | 10% | -0.10% |</w:t>
      </w:r>
    </w:p>
    <w:p w14:paraId="0B5E15A3">
      <w:pPr>
        <w:pStyle w:val="13"/>
        <w:bidi w:val="0"/>
        <w:outlineLvl w:val="9"/>
        <w:rPr>
          <w:rFonts w:hint="eastAsia"/>
          <w:lang w:val="en-US" w:eastAsia="zh-CN"/>
        </w:rPr>
      </w:pPr>
      <w:r>
        <w:rPr>
          <w:rFonts w:hint="eastAsia"/>
          <w:lang w:val="en-US" w:eastAsia="zh-CN"/>
        </w:rPr>
        <w:t>| 固收类 | 954.24 | 14.72% | 15% | -0.28% |</w:t>
      </w:r>
    </w:p>
    <w:p w14:paraId="4F581BAC">
      <w:pPr>
        <w:pStyle w:val="13"/>
        <w:bidi w:val="0"/>
        <w:outlineLvl w:val="9"/>
        <w:rPr>
          <w:rFonts w:hint="eastAsia"/>
          <w:lang w:val="en-US" w:eastAsia="zh-CN"/>
        </w:rPr>
      </w:pPr>
      <w:r>
        <w:rPr>
          <w:rFonts w:hint="eastAsia"/>
          <w:lang w:val="en-US" w:eastAsia="zh-CN"/>
        </w:rPr>
        <w:t>| 商品类 | 1,438.62 | 22.20% | 25% | -2.80% |</w:t>
      </w:r>
    </w:p>
    <w:p w14:paraId="1A9A4A50">
      <w:pPr>
        <w:pStyle w:val="13"/>
        <w:bidi w:val="0"/>
        <w:outlineLvl w:val="9"/>
        <w:rPr>
          <w:rFonts w:hint="eastAsia"/>
          <w:lang w:val="en-US" w:eastAsia="zh-CN"/>
        </w:rPr>
      </w:pPr>
      <w:r>
        <w:rPr>
          <w:rFonts w:hint="eastAsia"/>
          <w:lang w:val="en-US" w:eastAsia="zh-CN"/>
        </w:rPr>
        <w:t>| A股权益类 | 1,653.01 | 25.51% | 25% | +0.51% |</w:t>
      </w:r>
    </w:p>
    <w:p w14:paraId="1D778B3B">
      <w:pPr>
        <w:pStyle w:val="13"/>
        <w:bidi w:val="0"/>
        <w:outlineLvl w:val="9"/>
        <w:rPr>
          <w:rFonts w:hint="eastAsia"/>
          <w:lang w:val="en-US" w:eastAsia="zh-CN"/>
        </w:rPr>
      </w:pPr>
      <w:r>
        <w:rPr>
          <w:rFonts w:hint="eastAsia"/>
          <w:lang w:val="en-US" w:eastAsia="zh-CN"/>
        </w:rPr>
        <w:t>| 海外权益类 | 1,459.02 | 22.51% | 20% | +2.51% |</w:t>
      </w:r>
    </w:p>
    <w:p w14:paraId="0DB80B84">
      <w:pPr>
        <w:pStyle w:val="13"/>
        <w:bidi w:val="0"/>
        <w:outlineLvl w:val="9"/>
        <w:rPr>
          <w:rFonts w:hint="eastAsia"/>
          <w:lang w:val="en-US" w:eastAsia="zh-CN"/>
        </w:rPr>
      </w:pPr>
      <w:r>
        <w:rPr>
          <w:rFonts w:hint="eastAsia"/>
          <w:lang w:val="en-US" w:eastAsia="zh-CN"/>
        </w:rPr>
        <w:t>| 港股/大中华类 | 334.53 | 5.16% | 5% | +0.16% |</w:t>
      </w:r>
    </w:p>
    <w:p w14:paraId="750E49FF">
      <w:pPr>
        <w:pStyle w:val="13"/>
        <w:bidi w:val="0"/>
        <w:outlineLvl w:val="9"/>
        <w:rPr>
          <w:rFonts w:hint="eastAsia"/>
          <w:lang w:val="en-US" w:eastAsia="zh-CN"/>
        </w:rPr>
      </w:pPr>
      <w:r>
        <w:rPr>
          <w:rFonts w:hint="eastAsia"/>
          <w:lang w:val="en-US" w:eastAsia="zh-CN"/>
        </w:rPr>
        <w:t>| **合计** | **6,480.91** | **100%** | — | — |</w:t>
      </w:r>
    </w:p>
    <w:p w14:paraId="7CD3BC25">
      <w:pPr>
        <w:pStyle w:val="13"/>
        <w:bidi w:val="0"/>
        <w:outlineLvl w:val="9"/>
        <w:rPr>
          <w:rFonts w:hint="eastAsia"/>
          <w:lang w:val="en-US" w:eastAsia="zh-CN"/>
        </w:rPr>
      </w:pPr>
    </w:p>
    <w:p w14:paraId="7091B6BD">
      <w:pPr>
        <w:pStyle w:val="13"/>
        <w:bidi w:val="0"/>
        <w:outlineLvl w:val="9"/>
        <w:rPr>
          <w:rFonts w:hint="eastAsia"/>
          <w:lang w:val="en-US" w:eastAsia="zh-CN"/>
        </w:rPr>
      </w:pPr>
      <w:r>
        <w:rPr>
          <w:rFonts w:hint="eastAsia"/>
          <w:lang w:val="en-US" w:eastAsia="zh-CN"/>
        </w:rPr>
        <w:t>---</w:t>
      </w:r>
    </w:p>
    <w:p w14:paraId="53D67ADF">
      <w:pPr>
        <w:pStyle w:val="13"/>
        <w:bidi w:val="0"/>
        <w:outlineLvl w:val="9"/>
        <w:rPr>
          <w:rFonts w:hint="eastAsia"/>
          <w:lang w:val="en-US" w:eastAsia="zh-CN"/>
        </w:rPr>
      </w:pPr>
    </w:p>
    <w:p w14:paraId="0CC5BFE6">
      <w:pPr>
        <w:pStyle w:val="13"/>
        <w:bidi w:val="0"/>
        <w:outlineLvl w:val="9"/>
        <w:rPr>
          <w:rFonts w:hint="eastAsia"/>
          <w:lang w:val="en-US" w:eastAsia="zh-CN"/>
        </w:rPr>
      </w:pPr>
      <w:r>
        <w:rPr>
          <w:rFonts w:hint="eastAsia"/>
          <w:lang w:val="en-US" w:eastAsia="zh-CN"/>
        </w:rPr>
        <w:t>#### 总结</w:t>
      </w:r>
    </w:p>
    <w:p w14:paraId="47A41E41">
      <w:pPr>
        <w:pStyle w:val="13"/>
        <w:bidi w:val="0"/>
        <w:outlineLvl w:val="9"/>
        <w:rPr>
          <w:rFonts w:hint="eastAsia"/>
          <w:lang w:val="en-US" w:eastAsia="zh-CN"/>
        </w:rPr>
      </w:pPr>
    </w:p>
    <w:p w14:paraId="0573E9CC">
      <w:pPr>
        <w:pStyle w:val="13"/>
        <w:bidi w:val="0"/>
        <w:outlineLvl w:val="9"/>
        <w:rPr>
          <w:rFonts w:hint="eastAsia"/>
          <w:lang w:val="en-US" w:eastAsia="zh-CN"/>
        </w:rPr>
      </w:pPr>
      <w:r>
        <w:rPr>
          <w:rFonts w:hint="eastAsia"/>
          <w:lang w:val="en-US" w:eastAsia="zh-CN"/>
        </w:rPr>
        <w:t>截至2026年6月9日上午，您的支付宝资产总额为 **6,899.37 元**（含余额宝）。剔除余额类后，六大类总值6,480.91元。当日市场小幅反弹：</w:t>
      </w:r>
    </w:p>
    <w:p w14:paraId="53576CC4">
      <w:pPr>
        <w:pStyle w:val="13"/>
        <w:bidi w:val="0"/>
        <w:outlineLvl w:val="9"/>
        <w:rPr>
          <w:rFonts w:hint="eastAsia"/>
          <w:lang w:val="en-US" w:eastAsia="zh-CN"/>
        </w:rPr>
      </w:pPr>
    </w:p>
    <w:p w14:paraId="195FE7B2">
      <w:pPr>
        <w:pStyle w:val="13"/>
        <w:bidi w:val="0"/>
        <w:outlineLvl w:val="9"/>
        <w:rPr>
          <w:rFonts w:hint="eastAsia"/>
          <w:lang w:val="en-US" w:eastAsia="zh-CN"/>
        </w:rPr>
      </w:pPr>
      <w:r>
        <w:rPr>
          <w:rFonts w:hint="eastAsia"/>
          <w:lang w:val="en-US" w:eastAsia="zh-CN"/>
        </w:rPr>
        <w:t>- **商品类**（黄金）占比22.20%，缺口-2.80%，黄金反弹乏力。</w:t>
      </w:r>
    </w:p>
    <w:p w14:paraId="43B31DBC">
      <w:pPr>
        <w:pStyle w:val="13"/>
        <w:bidi w:val="0"/>
        <w:outlineLvl w:val="9"/>
        <w:rPr>
          <w:rFonts w:hint="eastAsia"/>
          <w:lang w:val="en-US" w:eastAsia="zh-CN"/>
        </w:rPr>
      </w:pPr>
      <w:r>
        <w:rPr>
          <w:rFonts w:hint="eastAsia"/>
          <w:lang w:val="en-US" w:eastAsia="zh-CN"/>
        </w:rPr>
        <w:t>- **海外权益类**（纳指）占比22.51%，超2.51%，纳指反弹较强。</w:t>
      </w:r>
    </w:p>
    <w:p w14:paraId="70A15534">
      <w:pPr>
        <w:pStyle w:val="13"/>
        <w:bidi w:val="0"/>
        <w:outlineLvl w:val="9"/>
        <w:rPr>
          <w:rFonts w:hint="eastAsia"/>
          <w:lang w:val="en-US" w:eastAsia="zh-CN"/>
        </w:rPr>
      </w:pPr>
      <w:r>
        <w:rPr>
          <w:rFonts w:hint="eastAsia"/>
          <w:lang w:val="en-US" w:eastAsia="zh-CN"/>
        </w:rPr>
        <w:t>- **A股权益类**占比25.51%，略超目标；**港股类**5.16%略超。</w:t>
      </w:r>
    </w:p>
    <w:p w14:paraId="79A89BD1">
      <w:pPr>
        <w:pStyle w:val="13"/>
        <w:bidi w:val="0"/>
        <w:outlineLvl w:val="9"/>
        <w:rPr>
          <w:rFonts w:hint="eastAsia"/>
          <w:lang w:val="en-US" w:eastAsia="zh-CN"/>
        </w:rPr>
      </w:pPr>
      <w:r>
        <w:rPr>
          <w:rFonts w:hint="eastAsia"/>
          <w:lang w:val="en-US" w:eastAsia="zh-CN"/>
        </w:rPr>
        <w:t>- **货币类**9.90%、**固收类**14.72%，略低于目标，偏差在0.3%以内。</w:t>
      </w:r>
    </w:p>
    <w:p w14:paraId="5EF51F7A">
      <w:pPr>
        <w:pStyle w:val="13"/>
        <w:bidi w:val="0"/>
        <w:outlineLvl w:val="9"/>
        <w:rPr>
          <w:rFonts w:hint="eastAsia"/>
          <w:lang w:val="en-US" w:eastAsia="zh-CN"/>
        </w:rPr>
      </w:pPr>
    </w:p>
    <w:p w14:paraId="595FC81B">
      <w:pPr>
        <w:pStyle w:val="13"/>
        <w:bidi w:val="0"/>
        <w:outlineLvl w:val="9"/>
        <w:rPr>
          <w:rFonts w:hint="eastAsia"/>
          <w:lang w:val="en-US" w:eastAsia="zh-CN"/>
        </w:rPr>
      </w:pPr>
      <w:r>
        <w:rPr>
          <w:rFonts w:hint="eastAsia"/>
          <w:lang w:val="en-US" w:eastAsia="zh-CN"/>
        </w:rPr>
        <w:t>黄金缺口仍接近-3%，海外超配持续。继续执行原定投计划，月底将进行低波复位。</w:t>
      </w:r>
    </w:p>
    <w:p w14:paraId="20ABD720">
      <w:pPr>
        <w:pStyle w:val="13"/>
        <w:bidi w:val="0"/>
        <w:outlineLvl w:val="9"/>
        <w:rPr>
          <w:rFonts w:hint="eastAsia"/>
          <w:lang w:val="en-US" w:eastAsia="zh-CN"/>
        </w:rPr>
      </w:pPr>
    </w:p>
    <w:p w14:paraId="2D865FE0">
      <w:pPr>
        <w:pStyle w:val="13"/>
        <w:bidi w:val="0"/>
        <w:outlineLvl w:val="9"/>
        <w:rPr>
          <w:rFonts w:hint="eastAsia"/>
          <w:lang w:val="en-US" w:eastAsia="zh-CN"/>
        </w:rPr>
      </w:pPr>
      <w:r>
        <w:rPr>
          <w:rFonts w:hint="eastAsia"/>
          <w:lang w:val="en-US" w:eastAsia="zh-CN"/>
        </w:rPr>
        <w:t>[确认大类并入库] [重新解析]</w:t>
      </w:r>
    </w:p>
    <w:p w14:paraId="4D1FD44D">
      <w:pPr>
        <w:pStyle w:val="4"/>
        <w:bidi w:val="0"/>
        <w:rPr>
          <w:rFonts w:hint="default"/>
        </w:rPr>
      </w:pPr>
      <w:r>
        <w:rPr>
          <w:rFonts w:hint="default"/>
        </w:rPr>
        <w:t>5.6.3 API返回JSON结构</w:t>
      </w:r>
    </w:p>
    <w:p w14:paraId="0739B1F5">
      <w:pPr>
        <w:bidi w:val="0"/>
        <w:ind w:firstLine="420" w:firstLineChars="0"/>
        <w:rPr>
          <w:rFonts w:hint="eastAsia" w:ascii="仿宋" w:hAnsi="仿宋" w:eastAsia="仿宋" w:cs="仿宋"/>
          <w:sz w:val="24"/>
          <w:szCs w:val="24"/>
        </w:rPr>
      </w:pPr>
      <w:r>
        <w:rPr>
          <w:rFonts w:hint="eastAsia" w:ascii="仿宋" w:hAnsi="仿宋" w:eastAsia="仿宋" w:cs="仿宋"/>
          <w:sz w:val="24"/>
          <w:szCs w:val="24"/>
        </w:rPr>
        <w:t>后端从DeepSeek API返回的JSON中提取结构化数据，用于入库和汇总计算。以6月9日数据为例：</w:t>
      </w:r>
    </w:p>
    <w:p w14:paraId="278B9F25">
      <w:pPr>
        <w:pStyle w:val="13"/>
        <w:bidi w:val="0"/>
        <w:rPr>
          <w:rFonts w:hint="default"/>
        </w:rPr>
      </w:pPr>
      <w:r>
        <w:rPr>
          <w:rFonts w:hint="default"/>
          <w:lang w:val="en-US" w:eastAsia="zh-CN"/>
        </w:rPr>
        <w:t>json</w:t>
      </w:r>
    </w:p>
    <w:p w14:paraId="549ABAB4">
      <w:pPr>
        <w:pStyle w:val="13"/>
        <w:bidi w:val="0"/>
        <w:rPr>
          <w:rFonts w:hint="default"/>
        </w:rPr>
      </w:pPr>
      <w:r>
        <w:rPr>
          <w:rFonts w:hint="default"/>
        </w:rPr>
        <w:t>{</w:t>
      </w:r>
    </w:p>
    <w:p w14:paraId="17D22CF4">
      <w:pPr>
        <w:pStyle w:val="13"/>
        <w:bidi w:val="0"/>
        <w:rPr>
          <w:rFonts w:hint="default"/>
        </w:rPr>
      </w:pPr>
      <w:r>
        <w:rPr>
          <w:rFonts w:hint="default"/>
        </w:rPr>
        <w:t xml:space="preserve">  "snapshot_date": "2026-06-09",</w:t>
      </w:r>
    </w:p>
    <w:p w14:paraId="635ECE7C">
      <w:pPr>
        <w:pStyle w:val="13"/>
        <w:bidi w:val="0"/>
        <w:rPr>
          <w:rFonts w:hint="default"/>
        </w:rPr>
      </w:pPr>
      <w:r>
        <w:rPr>
          <w:rFonts w:hint="default"/>
        </w:rPr>
        <w:t xml:space="preserve">  "total_asset": 6899.37,</w:t>
      </w:r>
    </w:p>
    <w:p w14:paraId="15D57C4D">
      <w:pPr>
        <w:pStyle w:val="13"/>
        <w:bidi w:val="0"/>
        <w:rPr>
          <w:rFonts w:hint="default"/>
        </w:rPr>
      </w:pPr>
      <w:r>
        <w:rPr>
          <w:rFonts w:hint="default"/>
        </w:rPr>
        <w:t xml:space="preserve">  "balance_fund": 418.46,</w:t>
      </w:r>
    </w:p>
    <w:p w14:paraId="2273907D">
      <w:pPr>
        <w:pStyle w:val="13"/>
        <w:bidi w:val="0"/>
        <w:rPr>
          <w:rFonts w:hint="default"/>
        </w:rPr>
      </w:pPr>
      <w:r>
        <w:rPr>
          <w:rFonts w:hint="default"/>
        </w:rPr>
        <w:t xml:space="preserve">  "six_categories_total": 6480.91,</w:t>
      </w:r>
    </w:p>
    <w:p w14:paraId="2367FC57">
      <w:pPr>
        <w:pStyle w:val="13"/>
        <w:bidi w:val="0"/>
        <w:rPr>
          <w:rFonts w:hint="default"/>
        </w:rPr>
      </w:pPr>
      <w:r>
        <w:rPr>
          <w:rFonts w:hint="default"/>
        </w:rPr>
        <w:t xml:space="preserve">  "categories": [</w:t>
      </w:r>
    </w:p>
    <w:p w14:paraId="7B7CB98B">
      <w:pPr>
        <w:pStyle w:val="13"/>
        <w:bidi w:val="0"/>
        <w:rPr>
          <w:rFonts w:hint="default"/>
        </w:rPr>
      </w:pPr>
      <w:r>
        <w:rPr>
          <w:rFonts w:hint="default"/>
        </w:rPr>
        <w:t xml:space="preserve">    {</w:t>
      </w:r>
    </w:p>
    <w:p w14:paraId="7E8B6657">
      <w:pPr>
        <w:pStyle w:val="13"/>
        <w:bidi w:val="0"/>
        <w:rPr>
          <w:rFonts w:hint="default"/>
        </w:rPr>
      </w:pPr>
      <w:r>
        <w:rPr>
          <w:rFonts w:hint="default"/>
        </w:rPr>
        <w:t xml:space="preserve">      "category_name": "货币类",</w:t>
      </w:r>
    </w:p>
    <w:p w14:paraId="45D6FA57">
      <w:pPr>
        <w:pStyle w:val="13"/>
        <w:bidi w:val="0"/>
        <w:rPr>
          <w:rFonts w:hint="default"/>
        </w:rPr>
      </w:pPr>
      <w:r>
        <w:rPr>
          <w:rFonts w:hint="default"/>
        </w:rPr>
        <w:t xml:space="preserve">      "funds": [</w:t>
      </w:r>
    </w:p>
    <w:p w14:paraId="53475910">
      <w:pPr>
        <w:pStyle w:val="13"/>
        <w:bidi w:val="0"/>
        <w:rPr>
          <w:rFonts w:hint="default"/>
        </w:rPr>
      </w:pPr>
      <w:r>
        <w:rPr>
          <w:rFonts w:hint="default"/>
        </w:rPr>
        <w:t xml:space="preserve">        {"fund_name": "中加货币E", "amount": 641.49, "profit": 1.49}</w:t>
      </w:r>
    </w:p>
    <w:p w14:paraId="087A0D7D">
      <w:pPr>
        <w:pStyle w:val="13"/>
        <w:bidi w:val="0"/>
        <w:rPr>
          <w:rFonts w:hint="default"/>
        </w:rPr>
      </w:pPr>
      <w:r>
        <w:rPr>
          <w:rFonts w:hint="default"/>
        </w:rPr>
        <w:t xml:space="preserve">      ],</w:t>
      </w:r>
    </w:p>
    <w:p w14:paraId="0BB6AB6B">
      <w:pPr>
        <w:pStyle w:val="13"/>
        <w:bidi w:val="0"/>
        <w:rPr>
          <w:rFonts w:hint="default"/>
        </w:rPr>
      </w:pPr>
      <w:r>
        <w:rPr>
          <w:rFonts w:hint="default"/>
        </w:rPr>
        <w:t xml:space="preserve">      "category_total": 641.49,</w:t>
      </w:r>
    </w:p>
    <w:p w14:paraId="0BD9F6FA">
      <w:pPr>
        <w:pStyle w:val="13"/>
        <w:bidi w:val="0"/>
        <w:rPr>
          <w:rFonts w:hint="default"/>
        </w:rPr>
      </w:pPr>
      <w:r>
        <w:rPr>
          <w:rFonts w:hint="default"/>
        </w:rPr>
        <w:t xml:space="preserve">      "category_percentage": 9.90,</w:t>
      </w:r>
    </w:p>
    <w:p w14:paraId="4C437E95">
      <w:pPr>
        <w:pStyle w:val="13"/>
        <w:bidi w:val="0"/>
        <w:rPr>
          <w:rFonts w:hint="default"/>
        </w:rPr>
      </w:pPr>
      <w:r>
        <w:rPr>
          <w:rFonts w:hint="default"/>
        </w:rPr>
        <w:t xml:space="preserve">      "target_ratio": 10,</w:t>
      </w:r>
    </w:p>
    <w:p w14:paraId="1D70D7AF">
      <w:pPr>
        <w:pStyle w:val="13"/>
        <w:bidi w:val="0"/>
        <w:rPr>
          <w:rFonts w:hint="default"/>
        </w:rPr>
      </w:pPr>
      <w:r>
        <w:rPr>
          <w:rFonts w:hint="default"/>
        </w:rPr>
        <w:t xml:space="preserve">      "deviation": -0.10</w:t>
      </w:r>
    </w:p>
    <w:p w14:paraId="38EB5858">
      <w:pPr>
        <w:pStyle w:val="13"/>
        <w:bidi w:val="0"/>
        <w:rPr>
          <w:rFonts w:hint="default"/>
        </w:rPr>
      </w:pPr>
      <w:r>
        <w:rPr>
          <w:rFonts w:hint="default"/>
        </w:rPr>
        <w:t xml:space="preserve">    },</w:t>
      </w:r>
    </w:p>
    <w:p w14:paraId="2D50EF33">
      <w:pPr>
        <w:pStyle w:val="13"/>
        <w:bidi w:val="0"/>
        <w:rPr>
          <w:rFonts w:hint="default"/>
        </w:rPr>
      </w:pPr>
      <w:r>
        <w:rPr>
          <w:rFonts w:hint="default"/>
        </w:rPr>
        <w:t xml:space="preserve">    {</w:t>
      </w:r>
    </w:p>
    <w:p w14:paraId="6F9DF4B9">
      <w:pPr>
        <w:pStyle w:val="13"/>
        <w:bidi w:val="0"/>
        <w:rPr>
          <w:rFonts w:hint="default"/>
        </w:rPr>
      </w:pPr>
      <w:r>
        <w:rPr>
          <w:rFonts w:hint="default"/>
        </w:rPr>
        <w:t xml:space="preserve">      "category_name": "固收类",</w:t>
      </w:r>
    </w:p>
    <w:p w14:paraId="40FB7507">
      <w:pPr>
        <w:pStyle w:val="13"/>
        <w:bidi w:val="0"/>
        <w:rPr>
          <w:rFonts w:hint="default"/>
        </w:rPr>
      </w:pPr>
      <w:r>
        <w:rPr>
          <w:rFonts w:hint="default"/>
        </w:rPr>
        <w:t xml:space="preserve">      "funds": [</w:t>
      </w:r>
    </w:p>
    <w:p w14:paraId="576860E3">
      <w:pPr>
        <w:pStyle w:val="13"/>
        <w:bidi w:val="0"/>
        <w:rPr>
          <w:rFonts w:hint="default"/>
        </w:rPr>
      </w:pPr>
      <w:r>
        <w:rPr>
          <w:rFonts w:hint="default"/>
        </w:rPr>
        <w:t xml:space="preserve">        {"fund_name": "鹏华纯债债券D", "amount": 350.53, "profit": 1.33},</w:t>
      </w:r>
    </w:p>
    <w:p w14:paraId="0093E173">
      <w:pPr>
        <w:pStyle w:val="13"/>
        <w:bidi w:val="0"/>
        <w:rPr>
          <w:rFonts w:hint="default"/>
        </w:rPr>
      </w:pPr>
      <w:r>
        <w:rPr>
          <w:rFonts w:hint="default"/>
        </w:rPr>
        <w:t xml:space="preserve">        {"fund_name": "长城短债债券A", "amount": 304.30, "profit": 4.30},</w:t>
      </w:r>
    </w:p>
    <w:p w14:paraId="4A430C91">
      <w:pPr>
        <w:pStyle w:val="13"/>
        <w:bidi w:val="0"/>
        <w:rPr>
          <w:rFonts w:hint="default"/>
        </w:rPr>
      </w:pPr>
      <w:r>
        <w:rPr>
          <w:rFonts w:hint="default"/>
        </w:rPr>
        <w:t xml:space="preserve">        {"fund_name": "安信新价值灵活配置混合A", "amount": 299.41, "profit": -0.59}</w:t>
      </w:r>
    </w:p>
    <w:p w14:paraId="1409318C">
      <w:pPr>
        <w:pStyle w:val="13"/>
        <w:bidi w:val="0"/>
        <w:rPr>
          <w:rFonts w:hint="default"/>
        </w:rPr>
      </w:pPr>
      <w:r>
        <w:rPr>
          <w:rFonts w:hint="default"/>
        </w:rPr>
        <w:t xml:space="preserve">      ],</w:t>
      </w:r>
    </w:p>
    <w:p w14:paraId="4D3D46C4">
      <w:pPr>
        <w:pStyle w:val="13"/>
        <w:bidi w:val="0"/>
        <w:rPr>
          <w:rFonts w:hint="default"/>
        </w:rPr>
      </w:pPr>
      <w:r>
        <w:rPr>
          <w:rFonts w:hint="default"/>
        </w:rPr>
        <w:t xml:space="preserve">      "category_total": 954.24,</w:t>
      </w:r>
    </w:p>
    <w:p w14:paraId="147D2AFC">
      <w:pPr>
        <w:pStyle w:val="13"/>
        <w:bidi w:val="0"/>
        <w:rPr>
          <w:rFonts w:hint="default"/>
        </w:rPr>
      </w:pPr>
      <w:r>
        <w:rPr>
          <w:rFonts w:hint="default"/>
        </w:rPr>
        <w:t xml:space="preserve">      "category_percentage": 14.72,</w:t>
      </w:r>
    </w:p>
    <w:p w14:paraId="7A4BD0DB">
      <w:pPr>
        <w:pStyle w:val="13"/>
        <w:bidi w:val="0"/>
        <w:rPr>
          <w:rFonts w:hint="default"/>
        </w:rPr>
      </w:pPr>
      <w:r>
        <w:rPr>
          <w:rFonts w:hint="default"/>
        </w:rPr>
        <w:t xml:space="preserve">      "target_ratio": 15,</w:t>
      </w:r>
    </w:p>
    <w:p w14:paraId="2F33D08A">
      <w:pPr>
        <w:pStyle w:val="13"/>
        <w:bidi w:val="0"/>
        <w:rPr>
          <w:rFonts w:hint="default"/>
        </w:rPr>
      </w:pPr>
      <w:r>
        <w:rPr>
          <w:rFonts w:hint="default"/>
        </w:rPr>
        <w:t xml:space="preserve">      "deviation": -0.28</w:t>
      </w:r>
    </w:p>
    <w:p w14:paraId="609E8E1E">
      <w:pPr>
        <w:pStyle w:val="13"/>
        <w:bidi w:val="0"/>
        <w:rPr>
          <w:rFonts w:hint="default"/>
        </w:rPr>
      </w:pPr>
      <w:r>
        <w:rPr>
          <w:rFonts w:hint="default"/>
        </w:rPr>
        <w:t xml:space="preserve">    },</w:t>
      </w:r>
    </w:p>
    <w:p w14:paraId="3F540FEB">
      <w:pPr>
        <w:pStyle w:val="13"/>
        <w:bidi w:val="0"/>
        <w:rPr>
          <w:rFonts w:hint="default"/>
        </w:rPr>
      </w:pPr>
      <w:r>
        <w:rPr>
          <w:rFonts w:hint="default"/>
        </w:rPr>
        <w:t xml:space="preserve">    {</w:t>
      </w:r>
    </w:p>
    <w:p w14:paraId="6F951FBA">
      <w:pPr>
        <w:pStyle w:val="13"/>
        <w:bidi w:val="0"/>
        <w:rPr>
          <w:rFonts w:hint="default"/>
        </w:rPr>
      </w:pPr>
      <w:r>
        <w:rPr>
          <w:rFonts w:hint="default"/>
        </w:rPr>
        <w:t xml:space="preserve">      "category_name": "商品类",</w:t>
      </w:r>
    </w:p>
    <w:p w14:paraId="33A9DEFB">
      <w:pPr>
        <w:pStyle w:val="13"/>
        <w:bidi w:val="0"/>
        <w:rPr>
          <w:rFonts w:hint="default"/>
        </w:rPr>
      </w:pPr>
      <w:r>
        <w:rPr>
          <w:rFonts w:hint="default"/>
        </w:rPr>
        <w:t xml:space="preserve">      "funds": [</w:t>
      </w:r>
    </w:p>
    <w:p w14:paraId="29E03214">
      <w:pPr>
        <w:pStyle w:val="13"/>
        <w:bidi w:val="0"/>
        <w:rPr>
          <w:rFonts w:hint="default"/>
        </w:rPr>
      </w:pPr>
      <w:r>
        <w:rPr>
          <w:rFonts w:hint="default"/>
        </w:rPr>
        <w:t xml:space="preserve">        {"fund_name": "国泰黄金ETF联接A", "amount": 742.76, "profit": -70.24},</w:t>
      </w:r>
    </w:p>
    <w:p w14:paraId="6A28922B">
      <w:pPr>
        <w:pStyle w:val="13"/>
        <w:bidi w:val="0"/>
        <w:rPr>
          <w:rFonts w:hint="default"/>
        </w:rPr>
      </w:pPr>
      <w:r>
        <w:rPr>
          <w:rFonts w:hint="default"/>
        </w:rPr>
        <w:t xml:space="preserve">        {"fund_name": "国泰黄金ETF联接C", "amount": 576.87, "profit": -3.24},</w:t>
      </w:r>
    </w:p>
    <w:p w14:paraId="2CFF317F">
      <w:pPr>
        <w:pStyle w:val="13"/>
        <w:bidi w:val="0"/>
        <w:rPr>
          <w:rFonts w:hint="default"/>
        </w:rPr>
      </w:pPr>
      <w:r>
        <w:rPr>
          <w:rFonts w:hint="default"/>
        </w:rPr>
        <w:t xml:space="preserve">        {"fund_name": "华安黄金ETF联接C", "amount": 118.99, "profit": -17.76}</w:t>
      </w:r>
    </w:p>
    <w:p w14:paraId="142B0493">
      <w:pPr>
        <w:pStyle w:val="13"/>
        <w:bidi w:val="0"/>
        <w:rPr>
          <w:rFonts w:hint="default"/>
        </w:rPr>
      </w:pPr>
      <w:r>
        <w:rPr>
          <w:rFonts w:hint="default"/>
        </w:rPr>
        <w:t xml:space="preserve">      ],</w:t>
      </w:r>
    </w:p>
    <w:p w14:paraId="4F73B940">
      <w:pPr>
        <w:pStyle w:val="13"/>
        <w:bidi w:val="0"/>
        <w:rPr>
          <w:rFonts w:hint="default"/>
        </w:rPr>
      </w:pPr>
      <w:r>
        <w:rPr>
          <w:rFonts w:hint="default"/>
        </w:rPr>
        <w:t xml:space="preserve">      "category_total": 1438.62,</w:t>
      </w:r>
    </w:p>
    <w:p w14:paraId="68A5111D">
      <w:pPr>
        <w:pStyle w:val="13"/>
        <w:bidi w:val="0"/>
        <w:rPr>
          <w:rFonts w:hint="default"/>
        </w:rPr>
      </w:pPr>
      <w:r>
        <w:rPr>
          <w:rFonts w:hint="default"/>
        </w:rPr>
        <w:t xml:space="preserve">      "category_percentage": 22.20,</w:t>
      </w:r>
    </w:p>
    <w:p w14:paraId="66E22EDB">
      <w:pPr>
        <w:pStyle w:val="13"/>
        <w:bidi w:val="0"/>
        <w:rPr>
          <w:rFonts w:hint="default"/>
        </w:rPr>
      </w:pPr>
      <w:r>
        <w:rPr>
          <w:rFonts w:hint="default"/>
        </w:rPr>
        <w:t xml:space="preserve">      "target_ratio": 25,</w:t>
      </w:r>
    </w:p>
    <w:p w14:paraId="5F2F1D79">
      <w:pPr>
        <w:pStyle w:val="13"/>
        <w:bidi w:val="0"/>
        <w:rPr>
          <w:rFonts w:hint="default"/>
        </w:rPr>
      </w:pPr>
      <w:r>
        <w:rPr>
          <w:rFonts w:hint="default"/>
        </w:rPr>
        <w:t xml:space="preserve">      "deviation": -2.80</w:t>
      </w:r>
    </w:p>
    <w:p w14:paraId="1E54442D">
      <w:pPr>
        <w:pStyle w:val="13"/>
        <w:bidi w:val="0"/>
        <w:rPr>
          <w:rFonts w:hint="default"/>
        </w:rPr>
      </w:pPr>
      <w:r>
        <w:rPr>
          <w:rFonts w:hint="default"/>
        </w:rPr>
        <w:t xml:space="preserve">    },</w:t>
      </w:r>
    </w:p>
    <w:p w14:paraId="3ADF4B4E">
      <w:pPr>
        <w:pStyle w:val="13"/>
        <w:bidi w:val="0"/>
        <w:rPr>
          <w:rFonts w:hint="default"/>
        </w:rPr>
      </w:pPr>
      <w:r>
        <w:rPr>
          <w:rFonts w:hint="default"/>
        </w:rPr>
        <w:t xml:space="preserve">    {</w:t>
      </w:r>
    </w:p>
    <w:p w14:paraId="44BC79B5">
      <w:pPr>
        <w:pStyle w:val="13"/>
        <w:bidi w:val="0"/>
        <w:rPr>
          <w:rFonts w:hint="default"/>
        </w:rPr>
      </w:pPr>
      <w:r>
        <w:rPr>
          <w:rFonts w:hint="default"/>
        </w:rPr>
        <w:t xml:space="preserve">      "category_name": "A股权益类",</w:t>
      </w:r>
    </w:p>
    <w:p w14:paraId="3FF10E53">
      <w:pPr>
        <w:pStyle w:val="13"/>
        <w:bidi w:val="0"/>
        <w:rPr>
          <w:rFonts w:hint="default"/>
        </w:rPr>
      </w:pPr>
      <w:r>
        <w:rPr>
          <w:rFonts w:hint="default"/>
        </w:rPr>
        <w:t xml:space="preserve">      "funds": [</w:t>
      </w:r>
    </w:p>
    <w:p w14:paraId="66F26986">
      <w:pPr>
        <w:pStyle w:val="13"/>
        <w:bidi w:val="0"/>
        <w:rPr>
          <w:rFonts w:hint="default"/>
        </w:rPr>
      </w:pPr>
      <w:r>
        <w:rPr>
          <w:rFonts w:hint="default"/>
        </w:rPr>
        <w:t xml:space="preserve">        {"fund_name": "诺安中证A100指数A", "amount": 1071.16, "profit": 37.16},</w:t>
      </w:r>
    </w:p>
    <w:p w14:paraId="43D1D061">
      <w:pPr>
        <w:pStyle w:val="13"/>
        <w:bidi w:val="0"/>
        <w:rPr>
          <w:rFonts w:hint="default"/>
        </w:rPr>
      </w:pPr>
      <w:r>
        <w:rPr>
          <w:rFonts w:hint="default"/>
        </w:rPr>
        <w:t xml:space="preserve">        {"fund_name": "国泰海通中证500指数增强C", "amount": 240.14, "profit": 0.14},</w:t>
      </w:r>
    </w:p>
    <w:p w14:paraId="01E944D7">
      <w:pPr>
        <w:pStyle w:val="13"/>
        <w:bidi w:val="0"/>
        <w:rPr>
          <w:rFonts w:hint="default"/>
        </w:rPr>
      </w:pPr>
      <w:r>
        <w:rPr>
          <w:rFonts w:hint="default"/>
        </w:rPr>
        <w:t xml:space="preserve">        {"fund_name": "广发价值回报混合C", "amount": 114.03, "profit": -5.97},</w:t>
      </w:r>
    </w:p>
    <w:p w14:paraId="66228F55">
      <w:pPr>
        <w:pStyle w:val="13"/>
        <w:bidi w:val="0"/>
        <w:rPr>
          <w:rFonts w:hint="default"/>
        </w:rPr>
      </w:pPr>
      <w:r>
        <w:rPr>
          <w:rFonts w:hint="default"/>
        </w:rPr>
        <w:t xml:space="preserve">        {"fund_name": "易方达机器人ETF联接C", "amount": 123.18, "profit": 23.18},</w:t>
      </w:r>
    </w:p>
    <w:p w14:paraId="545600C1">
      <w:pPr>
        <w:pStyle w:val="13"/>
        <w:bidi w:val="0"/>
        <w:rPr>
          <w:rFonts w:hint="default"/>
        </w:rPr>
      </w:pPr>
      <w:r>
        <w:rPr>
          <w:rFonts w:hint="default"/>
        </w:rPr>
        <w:t xml:space="preserve">        {"fund_name": "诺安中证A100指数C", "amount": 104.50, "profit": 4.50}</w:t>
      </w:r>
    </w:p>
    <w:p w14:paraId="300942F5">
      <w:pPr>
        <w:pStyle w:val="13"/>
        <w:bidi w:val="0"/>
        <w:rPr>
          <w:rFonts w:hint="default"/>
        </w:rPr>
      </w:pPr>
      <w:r>
        <w:rPr>
          <w:rFonts w:hint="default"/>
        </w:rPr>
        <w:t xml:space="preserve">      ],</w:t>
      </w:r>
    </w:p>
    <w:p w14:paraId="7AD3F780">
      <w:pPr>
        <w:pStyle w:val="13"/>
        <w:bidi w:val="0"/>
        <w:rPr>
          <w:rFonts w:hint="default"/>
        </w:rPr>
      </w:pPr>
      <w:r>
        <w:rPr>
          <w:rFonts w:hint="default"/>
        </w:rPr>
        <w:t xml:space="preserve">      "category_total": 1653.01,</w:t>
      </w:r>
    </w:p>
    <w:p w14:paraId="1FCE86AB">
      <w:pPr>
        <w:pStyle w:val="13"/>
        <w:bidi w:val="0"/>
        <w:rPr>
          <w:rFonts w:hint="default"/>
        </w:rPr>
      </w:pPr>
      <w:r>
        <w:rPr>
          <w:rFonts w:hint="default"/>
        </w:rPr>
        <w:t xml:space="preserve">      "category_percentage": 25.51,</w:t>
      </w:r>
    </w:p>
    <w:p w14:paraId="31E00E59">
      <w:pPr>
        <w:pStyle w:val="13"/>
        <w:bidi w:val="0"/>
        <w:rPr>
          <w:rFonts w:hint="default"/>
        </w:rPr>
      </w:pPr>
      <w:r>
        <w:rPr>
          <w:rFonts w:hint="default"/>
        </w:rPr>
        <w:t xml:space="preserve">      "target_ratio": 25,</w:t>
      </w:r>
    </w:p>
    <w:p w14:paraId="606FB754">
      <w:pPr>
        <w:pStyle w:val="13"/>
        <w:bidi w:val="0"/>
        <w:rPr>
          <w:rFonts w:hint="default"/>
        </w:rPr>
      </w:pPr>
      <w:r>
        <w:rPr>
          <w:rFonts w:hint="default"/>
        </w:rPr>
        <w:t xml:space="preserve">      "deviation": 0.51</w:t>
      </w:r>
    </w:p>
    <w:p w14:paraId="7CD77A00">
      <w:pPr>
        <w:pStyle w:val="13"/>
        <w:bidi w:val="0"/>
        <w:rPr>
          <w:rFonts w:hint="default"/>
        </w:rPr>
      </w:pPr>
      <w:r>
        <w:rPr>
          <w:rFonts w:hint="default"/>
        </w:rPr>
        <w:t xml:space="preserve">    },</w:t>
      </w:r>
    </w:p>
    <w:p w14:paraId="1EF9C7DF">
      <w:pPr>
        <w:pStyle w:val="13"/>
        <w:bidi w:val="0"/>
        <w:rPr>
          <w:rFonts w:hint="default"/>
        </w:rPr>
      </w:pPr>
      <w:r>
        <w:rPr>
          <w:rFonts w:hint="default"/>
        </w:rPr>
        <w:t xml:space="preserve">    {</w:t>
      </w:r>
    </w:p>
    <w:p w14:paraId="4DB26F10">
      <w:pPr>
        <w:pStyle w:val="13"/>
        <w:bidi w:val="0"/>
        <w:rPr>
          <w:rFonts w:hint="default"/>
        </w:rPr>
      </w:pPr>
      <w:r>
        <w:rPr>
          <w:rFonts w:hint="default"/>
        </w:rPr>
        <w:t xml:space="preserve">      "category_name": "海外权益类",</w:t>
      </w:r>
    </w:p>
    <w:p w14:paraId="2909E8C6">
      <w:pPr>
        <w:pStyle w:val="13"/>
        <w:bidi w:val="0"/>
        <w:rPr>
          <w:rFonts w:hint="default"/>
        </w:rPr>
      </w:pPr>
      <w:r>
        <w:rPr>
          <w:rFonts w:hint="default"/>
        </w:rPr>
        <w:t xml:space="preserve">      "funds": [</w:t>
      </w:r>
    </w:p>
    <w:p w14:paraId="752961A7">
      <w:pPr>
        <w:pStyle w:val="13"/>
        <w:bidi w:val="0"/>
        <w:rPr>
          <w:rFonts w:hint="default"/>
        </w:rPr>
      </w:pPr>
      <w:r>
        <w:rPr>
          <w:rFonts w:hint="default"/>
        </w:rPr>
        <w:t xml:space="preserve">        {"fund_name": "天弘纳斯达克100指数(QDII)A", "amount": 631.44, "profit": 49.44},</w:t>
      </w:r>
    </w:p>
    <w:p w14:paraId="3EAB339F">
      <w:pPr>
        <w:pStyle w:val="13"/>
        <w:bidi w:val="0"/>
        <w:rPr>
          <w:rFonts w:hint="default"/>
        </w:rPr>
      </w:pPr>
      <w:r>
        <w:rPr>
          <w:rFonts w:hint="default"/>
        </w:rPr>
        <w:t xml:space="preserve">        {"fund_name": "天弘纳斯达克100指数(QDII)C", "amount": 307.95, "profit": 32.95},</w:t>
      </w:r>
    </w:p>
    <w:p w14:paraId="7EADD04F">
      <w:pPr>
        <w:pStyle w:val="13"/>
        <w:bidi w:val="0"/>
        <w:rPr>
          <w:rFonts w:hint="default"/>
        </w:rPr>
      </w:pPr>
      <w:r>
        <w:rPr>
          <w:rFonts w:hint="default"/>
        </w:rPr>
        <w:t xml:space="preserve">        {"fund_name": "摩根纳斯达克100指数(QDII)A", "amount": 335.55, "profit": 35.55},</w:t>
      </w:r>
    </w:p>
    <w:p w14:paraId="498A5675">
      <w:pPr>
        <w:pStyle w:val="13"/>
        <w:bidi w:val="0"/>
        <w:rPr>
          <w:rFonts w:hint="default"/>
        </w:rPr>
      </w:pPr>
      <w:r>
        <w:rPr>
          <w:rFonts w:hint="default"/>
        </w:rPr>
        <w:t xml:space="preserve">        {"fund_name": "招商纳斯达克100ETF联接(QDII)C", "amount": 184.08, "profit": 24.08}</w:t>
      </w:r>
    </w:p>
    <w:p w14:paraId="55E1CF47">
      <w:pPr>
        <w:pStyle w:val="13"/>
        <w:bidi w:val="0"/>
        <w:rPr>
          <w:rFonts w:hint="default"/>
        </w:rPr>
      </w:pPr>
      <w:r>
        <w:rPr>
          <w:rFonts w:hint="default"/>
        </w:rPr>
        <w:t xml:space="preserve">      ],</w:t>
      </w:r>
    </w:p>
    <w:p w14:paraId="636E408C">
      <w:pPr>
        <w:pStyle w:val="13"/>
        <w:bidi w:val="0"/>
        <w:rPr>
          <w:rFonts w:hint="default"/>
        </w:rPr>
      </w:pPr>
      <w:r>
        <w:rPr>
          <w:rFonts w:hint="default"/>
        </w:rPr>
        <w:t xml:space="preserve">      "category_total": 1459.02,</w:t>
      </w:r>
    </w:p>
    <w:p w14:paraId="7858F3F8">
      <w:pPr>
        <w:pStyle w:val="13"/>
        <w:bidi w:val="0"/>
        <w:rPr>
          <w:rFonts w:hint="default"/>
        </w:rPr>
      </w:pPr>
      <w:r>
        <w:rPr>
          <w:rFonts w:hint="default"/>
        </w:rPr>
        <w:t xml:space="preserve">      "category_percentage": 22.51,</w:t>
      </w:r>
    </w:p>
    <w:p w14:paraId="6047D5E1">
      <w:pPr>
        <w:pStyle w:val="13"/>
        <w:bidi w:val="0"/>
        <w:rPr>
          <w:rFonts w:hint="default"/>
        </w:rPr>
      </w:pPr>
      <w:r>
        <w:rPr>
          <w:rFonts w:hint="default"/>
        </w:rPr>
        <w:t xml:space="preserve">      "target_ratio": 20,</w:t>
      </w:r>
    </w:p>
    <w:p w14:paraId="56876F5E">
      <w:pPr>
        <w:pStyle w:val="13"/>
        <w:bidi w:val="0"/>
        <w:rPr>
          <w:rFonts w:hint="default"/>
        </w:rPr>
      </w:pPr>
      <w:r>
        <w:rPr>
          <w:rFonts w:hint="default"/>
        </w:rPr>
        <w:t xml:space="preserve">      "deviation": 2.51</w:t>
      </w:r>
    </w:p>
    <w:p w14:paraId="76346E49">
      <w:pPr>
        <w:pStyle w:val="13"/>
        <w:bidi w:val="0"/>
        <w:rPr>
          <w:rFonts w:hint="default"/>
        </w:rPr>
      </w:pPr>
      <w:r>
        <w:rPr>
          <w:rFonts w:hint="default"/>
        </w:rPr>
        <w:t xml:space="preserve">    },</w:t>
      </w:r>
    </w:p>
    <w:p w14:paraId="49F3547C">
      <w:pPr>
        <w:pStyle w:val="13"/>
        <w:bidi w:val="0"/>
        <w:rPr>
          <w:rFonts w:hint="default"/>
        </w:rPr>
      </w:pPr>
      <w:r>
        <w:rPr>
          <w:rFonts w:hint="default"/>
        </w:rPr>
        <w:t xml:space="preserve">    {</w:t>
      </w:r>
    </w:p>
    <w:p w14:paraId="69EAB6F5">
      <w:pPr>
        <w:pStyle w:val="13"/>
        <w:bidi w:val="0"/>
        <w:rPr>
          <w:rFonts w:hint="default"/>
        </w:rPr>
      </w:pPr>
      <w:r>
        <w:rPr>
          <w:rFonts w:hint="default"/>
        </w:rPr>
        <w:t xml:space="preserve">      "category_name": "港股/大中华类",</w:t>
      </w:r>
    </w:p>
    <w:p w14:paraId="33CD9DDB">
      <w:pPr>
        <w:pStyle w:val="13"/>
        <w:bidi w:val="0"/>
        <w:rPr>
          <w:rFonts w:hint="default"/>
        </w:rPr>
      </w:pPr>
      <w:r>
        <w:rPr>
          <w:rFonts w:hint="default"/>
        </w:rPr>
        <w:t xml:space="preserve">      "funds": [</w:t>
      </w:r>
    </w:p>
    <w:p w14:paraId="3D809742">
      <w:pPr>
        <w:pStyle w:val="13"/>
        <w:bidi w:val="0"/>
        <w:rPr>
          <w:rFonts w:hint="default"/>
        </w:rPr>
      </w:pPr>
      <w:r>
        <w:rPr>
          <w:rFonts w:hint="default"/>
        </w:rPr>
        <w:t xml:space="preserve">        {"fund_name": "易方达恒生科技ETF联接(QDII)C", "amount": 207.77, "profit": -8.23},</w:t>
      </w:r>
    </w:p>
    <w:p w14:paraId="7C426D36">
      <w:pPr>
        <w:pStyle w:val="13"/>
        <w:bidi w:val="0"/>
        <w:rPr>
          <w:rFonts w:hint="default"/>
        </w:rPr>
      </w:pPr>
      <w:r>
        <w:rPr>
          <w:rFonts w:hint="default"/>
        </w:rPr>
        <w:t xml:space="preserve">        {"fund_name": "华安香港精选股票(QDII)", "amount": 126.76, "profit": 6.76}</w:t>
      </w:r>
    </w:p>
    <w:p w14:paraId="1E8B1F7F">
      <w:pPr>
        <w:pStyle w:val="13"/>
        <w:bidi w:val="0"/>
        <w:rPr>
          <w:rFonts w:hint="default"/>
        </w:rPr>
      </w:pPr>
      <w:r>
        <w:rPr>
          <w:rFonts w:hint="default"/>
        </w:rPr>
        <w:t xml:space="preserve">      ],</w:t>
      </w:r>
    </w:p>
    <w:p w14:paraId="55E0DCCD">
      <w:pPr>
        <w:pStyle w:val="13"/>
        <w:bidi w:val="0"/>
        <w:rPr>
          <w:rFonts w:hint="default"/>
        </w:rPr>
      </w:pPr>
      <w:r>
        <w:rPr>
          <w:rFonts w:hint="default"/>
        </w:rPr>
        <w:t xml:space="preserve">      "category_total": 334.53,</w:t>
      </w:r>
    </w:p>
    <w:p w14:paraId="15CD2BA8">
      <w:pPr>
        <w:pStyle w:val="13"/>
        <w:bidi w:val="0"/>
        <w:rPr>
          <w:rFonts w:hint="default"/>
        </w:rPr>
      </w:pPr>
      <w:r>
        <w:rPr>
          <w:rFonts w:hint="default"/>
        </w:rPr>
        <w:t xml:space="preserve">      "category_percentage": 5.16,</w:t>
      </w:r>
    </w:p>
    <w:p w14:paraId="66ED33A1">
      <w:pPr>
        <w:pStyle w:val="13"/>
        <w:bidi w:val="0"/>
        <w:rPr>
          <w:rFonts w:hint="default"/>
        </w:rPr>
      </w:pPr>
      <w:r>
        <w:rPr>
          <w:rFonts w:hint="default"/>
        </w:rPr>
        <w:t xml:space="preserve">      "target_ratio": 5,</w:t>
      </w:r>
    </w:p>
    <w:p w14:paraId="631E7950">
      <w:pPr>
        <w:pStyle w:val="13"/>
        <w:bidi w:val="0"/>
        <w:rPr>
          <w:rFonts w:hint="default"/>
        </w:rPr>
      </w:pPr>
      <w:r>
        <w:rPr>
          <w:rFonts w:hint="default"/>
        </w:rPr>
        <w:t xml:space="preserve">      "deviation": 0.16</w:t>
      </w:r>
    </w:p>
    <w:p w14:paraId="2FDE1CC4">
      <w:pPr>
        <w:pStyle w:val="13"/>
        <w:bidi w:val="0"/>
        <w:rPr>
          <w:rFonts w:hint="default"/>
        </w:rPr>
      </w:pPr>
      <w:r>
        <w:rPr>
          <w:rFonts w:hint="default"/>
        </w:rPr>
        <w:t xml:space="preserve">    }</w:t>
      </w:r>
    </w:p>
    <w:p w14:paraId="1BCF0D1B">
      <w:pPr>
        <w:pStyle w:val="13"/>
        <w:bidi w:val="0"/>
        <w:rPr>
          <w:rFonts w:hint="default"/>
        </w:rPr>
      </w:pPr>
      <w:r>
        <w:rPr>
          <w:rFonts w:hint="default"/>
        </w:rPr>
        <w:t xml:space="preserve">  ]</w:t>
      </w:r>
    </w:p>
    <w:p w14:paraId="0FAF6B86">
      <w:pPr>
        <w:pStyle w:val="13"/>
        <w:bidi w:val="0"/>
        <w:rPr>
          <w:rFonts w:hint="default"/>
        </w:rPr>
      </w:pPr>
      <w:r>
        <w:rPr>
          <w:rFonts w:hint="default"/>
        </w:rPr>
        <w:t>}</w:t>
      </w:r>
    </w:p>
    <w:p w14:paraId="3986D21A">
      <w:pPr>
        <w:ind w:firstLine="420" w:firstLineChars="0"/>
        <w:rPr>
          <w:rFonts w:hint="default" w:ascii="仿宋" w:hAnsi="仿宋" w:eastAsia="仿宋" w:cs="仿宋"/>
          <w:i w:val="0"/>
          <w:iCs w:val="0"/>
          <w:caps w:val="0"/>
          <w:color w:val="0F1115"/>
          <w:spacing w:val="0"/>
          <w:kern w:val="2"/>
          <w:sz w:val="24"/>
          <w:szCs w:val="24"/>
          <w:shd w:val="clear" w:fill="FFFFFF"/>
          <w:lang w:val="en-US" w:eastAsia="zh-CN" w:bidi="ar-SA"/>
        </w:rPr>
      </w:pPr>
      <w:r>
        <w:rPr>
          <w:rFonts w:hint="eastAsia" w:ascii="仿宋" w:hAnsi="仿宋" w:eastAsia="仿宋" w:cs="仿宋"/>
          <w:i w:val="0"/>
          <w:iCs w:val="0"/>
          <w:caps w:val="0"/>
          <w:color w:val="0F1115"/>
          <w:spacing w:val="0"/>
          <w:kern w:val="2"/>
          <w:sz w:val="24"/>
          <w:szCs w:val="24"/>
          <w:shd w:val="clear" w:fill="FFFFFF"/>
          <w:lang w:val="en-US" w:eastAsia="zh-CN" w:bidi="ar-SA"/>
        </w:rPr>
        <w:t>上述JSON中的汇总字段用于前端对话展示，具体写入asset_raw表的字段为fund_name、category、amount、profit、source、snapshot_date。汇总计算由后端SnapshotService独立完成。</w:t>
      </w:r>
    </w:p>
    <w:p w14:paraId="41C74F47">
      <w:pPr>
        <w:pStyle w:val="4"/>
        <w:bidi w:val="0"/>
        <w:rPr>
          <w:rFonts w:hint="default"/>
        </w:rPr>
      </w:pPr>
      <w:r>
        <w:rPr>
          <w:rFonts w:hint="default"/>
        </w:rPr>
        <w:t>5.6.4 大类确认面板与对话的联动</w:t>
      </w:r>
    </w:p>
    <w:p w14:paraId="53F34180">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用户点击AI回复气泡下方的“确认</w:t>
      </w:r>
      <w:r>
        <w:rPr>
          <w:rFonts w:hint="eastAsia" w:ascii="仿宋" w:hAnsi="仿宋" w:eastAsia="仿宋" w:cs="仿宋"/>
          <w:i w:val="0"/>
          <w:iCs w:val="0"/>
          <w:caps w:val="0"/>
          <w:color w:val="0F1115"/>
          <w:spacing w:val="0"/>
          <w:sz w:val="24"/>
          <w:szCs w:val="24"/>
          <w:shd w:val="clear" w:fill="FFFFFF"/>
          <w:lang w:val="en-US" w:eastAsia="zh-CN"/>
        </w:rPr>
        <w:t>大类并</w:t>
      </w:r>
      <w:r>
        <w:rPr>
          <w:rFonts w:hint="eastAsia" w:ascii="仿宋" w:hAnsi="仿宋" w:eastAsia="仿宋" w:cs="仿宋"/>
          <w:i w:val="0"/>
          <w:iCs w:val="0"/>
          <w:caps w:val="0"/>
          <w:color w:val="0F1115"/>
          <w:spacing w:val="0"/>
          <w:sz w:val="24"/>
          <w:szCs w:val="24"/>
          <w:shd w:val="clear" w:fill="FFFFFF"/>
        </w:rPr>
        <w:t>入库”按钮后，触发大类确认流程：</w:t>
      </w:r>
    </w:p>
    <w:p w14:paraId="023EB661">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后端从API返回的JSON中提取所有基金名称列表</w:t>
      </w:r>
    </w:p>
    <w:p w14:paraId="6DE3038F">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批量查询</w:t>
      </w:r>
      <w:r>
        <w:rPr>
          <w:rStyle w:val="11"/>
          <w:rFonts w:hint="eastAsia" w:ascii="仿宋" w:hAnsi="仿宋" w:eastAsia="仿宋" w:cs="仿宋"/>
          <w:i w:val="0"/>
          <w:iCs w:val="0"/>
          <w:caps w:val="0"/>
          <w:color w:val="0F1115"/>
          <w:spacing w:val="0"/>
          <w:sz w:val="24"/>
          <w:szCs w:val="24"/>
          <w:shd w:val="clear" w:fill="EBEEF2"/>
        </w:rPr>
        <w:t>fund_category_map</w:t>
      </w:r>
      <w:r>
        <w:rPr>
          <w:rFonts w:hint="eastAsia" w:ascii="仿宋" w:hAnsi="仿宋" w:eastAsia="仿宋" w:cs="仿宋"/>
          <w:i w:val="0"/>
          <w:iCs w:val="0"/>
          <w:caps w:val="0"/>
          <w:color w:val="0F1115"/>
          <w:spacing w:val="0"/>
          <w:sz w:val="24"/>
          <w:szCs w:val="24"/>
          <w:shd w:val="clear" w:fill="FFFFFF"/>
        </w:rPr>
        <w:t>表：</w:t>
      </w:r>
      <w:r>
        <w:rPr>
          <w:rStyle w:val="11"/>
          <w:rFonts w:hint="eastAsia" w:ascii="仿宋" w:hAnsi="仿宋" w:eastAsia="仿宋" w:cs="仿宋"/>
          <w:i w:val="0"/>
          <w:iCs w:val="0"/>
          <w:caps w:val="0"/>
          <w:color w:val="0F1115"/>
          <w:spacing w:val="0"/>
          <w:sz w:val="24"/>
          <w:szCs w:val="24"/>
          <w:shd w:val="clear" w:fill="EBEEF2"/>
        </w:rPr>
        <w:t>SELECT fund_name, category FROM fund_category_map WHERE user_id = ? AND fund_name IN (...)</w:t>
      </w:r>
    </w:p>
    <w:p w14:paraId="7DE5F262">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命中的基金 → 大类已匹配，灰底预填</w:t>
      </w:r>
    </w:p>
    <w:p w14:paraId="7136FBC3">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未命中的基金 → 大类待确认，黄底高亮</w:t>
      </w:r>
    </w:p>
    <w:p w14:paraId="615BE6BA">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前端弹出确认面板</w:t>
      </w:r>
    </w:p>
    <w:p w14:paraId="34BE7708">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确认面板交互规则</w:t>
      </w:r>
      <w:r>
        <w:rPr>
          <w:rFonts w:hint="eastAsia" w:ascii="仿宋" w:hAnsi="仿宋" w:eastAsia="仿宋" w:cs="仿宋"/>
          <w:i w:val="0"/>
          <w:iCs w:val="0"/>
          <w:caps w:val="0"/>
          <w:color w:val="0F1115"/>
          <w:spacing w:val="0"/>
          <w:sz w:val="24"/>
          <w:szCs w:val="24"/>
          <w:shd w:val="clear" w:fill="FFFFFF"/>
        </w:rPr>
        <w:t>：</w:t>
      </w:r>
    </w:p>
    <w:p w14:paraId="5954F9ED">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已匹配的基金：灰底，下拉选择器预填大类，用户无需操作（但可手动修改）</w:t>
      </w:r>
    </w:p>
    <w:p w14:paraId="5492FA9F">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未匹配的基金：黄底高亮，下拉选择器为空，用户必须手动选择大类</w:t>
      </w:r>
    </w:p>
    <w:p w14:paraId="10E41949">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下拉选择器的选项列表从用户配置读取（默认六大类：货币类、固收类、商品类、A股权益类、海外权益类、港股类）</w:t>
      </w:r>
    </w:p>
    <w:p w14:paraId="20E10EF4">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用户点击“确认入库”后：</w:t>
      </w:r>
    </w:p>
    <w:p w14:paraId="6FD86960">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所有确认后的基金写入</w:t>
      </w:r>
      <w:r>
        <w:rPr>
          <w:rStyle w:val="11"/>
          <w:rFonts w:hint="eastAsia" w:ascii="仿宋" w:hAnsi="仿宋" w:eastAsia="仿宋" w:cs="仿宋"/>
          <w:i w:val="0"/>
          <w:iCs w:val="0"/>
          <w:caps w:val="0"/>
          <w:color w:val="0F1115"/>
          <w:spacing w:val="0"/>
          <w:sz w:val="24"/>
          <w:szCs w:val="24"/>
          <w:shd w:val="clear" w:fill="EBEEF2"/>
        </w:rPr>
        <w:t>asset_raw</w:t>
      </w:r>
      <w:r>
        <w:rPr>
          <w:rFonts w:hint="eastAsia" w:ascii="仿宋" w:hAnsi="仿宋" w:eastAsia="仿宋" w:cs="仿宋"/>
          <w:i w:val="0"/>
          <w:iCs w:val="0"/>
          <w:caps w:val="0"/>
          <w:color w:val="0F1115"/>
          <w:spacing w:val="0"/>
          <w:sz w:val="24"/>
          <w:szCs w:val="24"/>
          <w:shd w:val="clear" w:fill="FFFFFF"/>
        </w:rPr>
        <w:t>表</w:t>
      </w:r>
    </w:p>
    <w:p w14:paraId="6E59C6B2">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新确认的基金-大类映射写入</w:t>
      </w:r>
      <w:r>
        <w:rPr>
          <w:rStyle w:val="11"/>
          <w:rFonts w:hint="eastAsia" w:ascii="仿宋" w:hAnsi="仿宋" w:eastAsia="仿宋" w:cs="仿宋"/>
          <w:i w:val="0"/>
          <w:iCs w:val="0"/>
          <w:caps w:val="0"/>
          <w:color w:val="0F1115"/>
          <w:spacing w:val="0"/>
          <w:sz w:val="24"/>
          <w:szCs w:val="24"/>
          <w:shd w:val="clear" w:fill="EBEEF2"/>
        </w:rPr>
        <w:t>fund_category_map</w:t>
      </w:r>
      <w:r>
        <w:rPr>
          <w:rFonts w:hint="eastAsia" w:ascii="仿宋" w:hAnsi="仿宋" w:eastAsia="仿宋" w:cs="仿宋"/>
          <w:i w:val="0"/>
          <w:iCs w:val="0"/>
          <w:caps w:val="0"/>
          <w:color w:val="0F1115"/>
          <w:spacing w:val="0"/>
          <w:sz w:val="24"/>
          <w:szCs w:val="24"/>
          <w:shd w:val="clear" w:fill="FFFFFF"/>
        </w:rPr>
        <w:t>表（</w:t>
      </w:r>
      <w:r>
        <w:rPr>
          <w:rStyle w:val="11"/>
          <w:rFonts w:hint="eastAsia" w:ascii="仿宋" w:hAnsi="仿宋" w:eastAsia="仿宋" w:cs="仿宋"/>
          <w:i w:val="0"/>
          <w:iCs w:val="0"/>
          <w:caps w:val="0"/>
          <w:color w:val="0F1115"/>
          <w:spacing w:val="0"/>
          <w:sz w:val="24"/>
          <w:szCs w:val="24"/>
          <w:shd w:val="clear" w:fill="EBEEF2"/>
        </w:rPr>
        <w:t>source</w:t>
      </w:r>
      <w:r>
        <w:rPr>
          <w:rFonts w:hint="eastAsia" w:ascii="仿宋" w:hAnsi="仿宋" w:eastAsia="仿宋" w:cs="仿宋"/>
          <w:i w:val="0"/>
          <w:iCs w:val="0"/>
          <w:caps w:val="0"/>
          <w:color w:val="0F1115"/>
          <w:spacing w:val="0"/>
          <w:sz w:val="24"/>
          <w:szCs w:val="24"/>
          <w:shd w:val="clear" w:fill="FFFFFF"/>
        </w:rPr>
        <w:t>字段标记确认方式）</w:t>
      </w:r>
    </w:p>
    <w:p w14:paraId="3B34E350">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后端自动汇总计算，写入</w:t>
      </w:r>
      <w:r>
        <w:rPr>
          <w:rStyle w:val="11"/>
          <w:rFonts w:hint="eastAsia" w:ascii="仿宋" w:hAnsi="仿宋" w:eastAsia="仿宋" w:cs="仿宋"/>
          <w:i w:val="0"/>
          <w:iCs w:val="0"/>
          <w:caps w:val="0"/>
          <w:color w:val="0F1115"/>
          <w:spacing w:val="0"/>
          <w:sz w:val="24"/>
          <w:szCs w:val="24"/>
          <w:shd w:val="clear" w:fill="EBEEF2"/>
        </w:rPr>
        <w:t>asset_snapshot</w:t>
      </w:r>
      <w:r>
        <w:rPr>
          <w:rFonts w:hint="eastAsia" w:ascii="仿宋" w:hAnsi="仿宋" w:eastAsia="仿宋" w:cs="仿宋"/>
          <w:i w:val="0"/>
          <w:iCs w:val="0"/>
          <w:caps w:val="0"/>
          <w:color w:val="0F1115"/>
          <w:spacing w:val="0"/>
          <w:sz w:val="24"/>
          <w:szCs w:val="24"/>
          <w:shd w:val="clear" w:fill="FFFFFF"/>
        </w:rPr>
        <w:t>表</w:t>
      </w:r>
    </w:p>
    <w:p w14:paraId="1BF6E8B1">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对话气泡更新状态为“已入库 · 2026-06-09 20:30”</w:t>
      </w:r>
    </w:p>
    <w:p w14:paraId="3F5A2B69">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首页数据自动刷新</w:t>
      </w:r>
    </w:p>
    <w:p w14:paraId="2BC3E3DF">
      <w:pPr>
        <w:keepNext w:val="0"/>
        <w:keepLines w:val="0"/>
        <w:widowControl/>
        <w:suppressLineNumbers w:val="0"/>
        <w:spacing w:before="0" w:beforeAutospacing="0" w:after="0" w:afterAutospacing="0"/>
        <w:ind w:left="0" w:leftChars="0" w:right="0" w:rightChars="0" w:firstLine="420" w:firstLineChars="0"/>
        <w:jc w:val="both"/>
        <w:rPr>
          <w:rFonts w:hint="eastAsia" w:ascii="仿宋" w:hAnsi="仿宋" w:eastAsia="仿宋" w:cs="仿宋"/>
          <w:b/>
          <w:bCs/>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一天多次更新的处理规则：</w:t>
      </w:r>
    </w:p>
    <w:p w14:paraId="621B728A">
      <w:pPr>
        <w:keepNext w:val="0"/>
        <w:keepLines w:val="0"/>
        <w:widowControl/>
        <w:suppressLineNumbers w:val="0"/>
        <w:spacing w:before="0" w:beforeAutospacing="0" w:after="0" w:afterAutospacing="0"/>
        <w:ind w:left="0" w:leftChars="0" w:right="0" w:rightChars="0" w:firstLine="420" w:firstLineChars="0"/>
        <w:jc w:val="both"/>
      </w:pPr>
      <w:r>
        <w:rPr>
          <w:rFonts w:hint="eastAsia" w:ascii="仿宋" w:hAnsi="仿宋" w:eastAsia="仿宋" w:cs="仿宋"/>
          <w:i w:val="0"/>
          <w:iCs w:val="0"/>
          <w:caps w:val="0"/>
          <w:color w:val="0F1115"/>
          <w:spacing w:val="0"/>
          <w:kern w:val="2"/>
          <w:sz w:val="24"/>
          <w:szCs w:val="24"/>
          <w:shd w:val="clear" w:fill="FFFFFF"/>
          <w:lang w:val="en-US" w:eastAsia="zh-CN" w:bidi="ar-SA"/>
        </w:rPr>
        <w:t>同一快照日期，如果用户多次上传截图并确认入库，处理规则如下：</w:t>
      </w:r>
    </w:p>
    <w:p w14:paraId="632BB6BF">
      <w:pPr>
        <w:keepNext w:val="0"/>
        <w:keepLines w:val="0"/>
        <w:widowControl/>
        <w:suppressLineNumbers w:val="0"/>
        <w:spacing w:before="0" w:beforeAutospacing="0" w:after="0" w:afterAutospacing="0"/>
        <w:ind w:left="0" w:leftChars="0" w:right="0" w:rightChars="0" w:firstLine="420" w:firstLineChars="0"/>
        <w:jc w:val="both"/>
        <w:rPr>
          <w:rFonts w:hint="eastAsia" w:ascii="仿宋" w:hAnsi="仿宋" w:eastAsia="仿宋" w:cs="仿宋"/>
          <w:i w:val="0"/>
          <w:iCs w:val="0"/>
          <w:caps w:val="0"/>
          <w:color w:val="0F1115"/>
          <w:spacing w:val="0"/>
          <w:kern w:val="2"/>
          <w:sz w:val="24"/>
          <w:szCs w:val="24"/>
          <w:shd w:val="clear" w:fill="FFFFFF"/>
          <w:lang w:val="en-US" w:eastAsia="zh-CN" w:bidi="ar-SA"/>
        </w:rPr>
      </w:pPr>
      <w:r>
        <w:rPr>
          <w:rStyle w:val="11"/>
          <w:rFonts w:hint="eastAsia" w:ascii="仿宋" w:hAnsi="仿宋" w:eastAsia="仿宋" w:cs="仿宋"/>
          <w:i w:val="0"/>
          <w:iCs w:val="0"/>
          <w:caps w:val="0"/>
          <w:color w:val="0F1115"/>
          <w:spacing w:val="0"/>
          <w:kern w:val="2"/>
          <w:sz w:val="24"/>
          <w:szCs w:val="24"/>
          <w:shd w:val="clear" w:fill="EBEEF2"/>
          <w:lang w:val="en-US" w:eastAsia="zh-CN" w:bidi="ar-SA"/>
        </w:rPr>
        <w:t>asset_raw</w:t>
      </w:r>
      <w:r>
        <w:rPr>
          <w:rFonts w:hint="eastAsia" w:ascii="仿宋" w:hAnsi="仿宋" w:eastAsia="仿宋" w:cs="仿宋"/>
          <w:i w:val="0"/>
          <w:iCs w:val="0"/>
          <w:caps w:val="0"/>
          <w:color w:val="0F1115"/>
          <w:spacing w:val="0"/>
          <w:kern w:val="2"/>
          <w:sz w:val="24"/>
          <w:szCs w:val="24"/>
          <w:shd w:val="clear" w:fill="FFFFFF"/>
          <w:lang w:val="en-US" w:eastAsia="zh-CN" w:bidi="ar-SA"/>
        </w:rPr>
        <w:t>表：新增</w:t>
      </w:r>
      <w:r>
        <w:rPr>
          <w:rStyle w:val="11"/>
          <w:rFonts w:hint="eastAsia" w:ascii="仿宋" w:hAnsi="仿宋" w:eastAsia="仿宋" w:cs="仿宋"/>
          <w:i w:val="0"/>
          <w:iCs w:val="0"/>
          <w:caps w:val="0"/>
          <w:color w:val="0F1115"/>
          <w:spacing w:val="0"/>
          <w:kern w:val="2"/>
          <w:sz w:val="24"/>
          <w:szCs w:val="24"/>
          <w:shd w:val="clear" w:fill="EBEEF2"/>
          <w:lang w:val="en-US" w:eastAsia="zh-CN" w:bidi="ar-SA"/>
        </w:rPr>
        <w:t>is_latest</w:t>
      </w:r>
      <w:r>
        <w:rPr>
          <w:rFonts w:hint="eastAsia" w:ascii="仿宋" w:hAnsi="仿宋" w:eastAsia="仿宋" w:cs="仿宋"/>
          <w:i w:val="0"/>
          <w:iCs w:val="0"/>
          <w:caps w:val="0"/>
          <w:color w:val="0F1115"/>
          <w:spacing w:val="0"/>
          <w:kern w:val="2"/>
          <w:sz w:val="24"/>
          <w:szCs w:val="24"/>
          <w:shd w:val="clear" w:fill="FFFFFF"/>
          <w:lang w:val="en-US" w:eastAsia="zh-CN" w:bidi="ar-SA"/>
        </w:rPr>
        <w:t>字段（boolean），标识该快照日期的最新记录。</w:t>
      </w:r>
    </w:p>
    <w:p w14:paraId="046235C0">
      <w:pPr>
        <w:keepNext w:val="0"/>
        <w:keepLines w:val="0"/>
        <w:widowControl/>
        <w:suppressLineNumbers w:val="0"/>
        <w:spacing w:before="0" w:beforeAutospacing="0" w:after="0" w:afterAutospacing="0"/>
        <w:ind w:left="0" w:leftChars="0" w:right="0" w:rightChars="0" w:firstLine="420" w:firstLineChars="0"/>
        <w:jc w:val="both"/>
      </w:pPr>
      <w:r>
        <w:rPr>
          <w:rFonts w:hint="eastAsia" w:ascii="仿宋" w:hAnsi="仿宋" w:eastAsia="仿宋" w:cs="仿宋"/>
          <w:i w:val="0"/>
          <w:iCs w:val="0"/>
          <w:caps w:val="0"/>
          <w:color w:val="0F1115"/>
          <w:spacing w:val="0"/>
          <w:kern w:val="2"/>
          <w:sz w:val="24"/>
          <w:szCs w:val="24"/>
          <w:shd w:val="clear" w:fill="FFFFFF"/>
          <w:lang w:val="en-US" w:eastAsia="zh-CN" w:bidi="ar-SA"/>
        </w:rPr>
        <w:t>每次新入库时，将该日期所有旧记录的</w:t>
      </w:r>
      <w:r>
        <w:rPr>
          <w:rStyle w:val="11"/>
          <w:rFonts w:hint="eastAsia" w:ascii="仿宋" w:hAnsi="仿宋" w:eastAsia="仿宋" w:cs="仿宋"/>
          <w:i w:val="0"/>
          <w:iCs w:val="0"/>
          <w:caps w:val="0"/>
          <w:color w:val="0F1115"/>
          <w:spacing w:val="0"/>
          <w:kern w:val="2"/>
          <w:sz w:val="24"/>
          <w:szCs w:val="24"/>
          <w:shd w:val="clear" w:fill="EBEEF2"/>
          <w:lang w:val="en-US" w:eastAsia="zh-CN" w:bidi="ar-SA"/>
        </w:rPr>
        <w:t>is_latest</w:t>
      </w:r>
      <w:r>
        <w:rPr>
          <w:rFonts w:hint="eastAsia" w:ascii="仿宋" w:hAnsi="仿宋" w:eastAsia="仿宋" w:cs="仿宋"/>
          <w:i w:val="0"/>
          <w:iCs w:val="0"/>
          <w:caps w:val="0"/>
          <w:color w:val="0F1115"/>
          <w:spacing w:val="0"/>
          <w:kern w:val="2"/>
          <w:sz w:val="24"/>
          <w:szCs w:val="24"/>
          <w:shd w:val="clear" w:fill="FFFFFF"/>
          <w:lang w:val="en-US" w:eastAsia="zh-CN" w:bidi="ar-SA"/>
        </w:rPr>
        <w:t>设为false，新记录的</w:t>
      </w:r>
      <w:r>
        <w:rPr>
          <w:rStyle w:val="11"/>
          <w:rFonts w:hint="eastAsia" w:ascii="仿宋" w:hAnsi="仿宋" w:eastAsia="仿宋" w:cs="仿宋"/>
          <w:i w:val="0"/>
          <w:iCs w:val="0"/>
          <w:caps w:val="0"/>
          <w:color w:val="0F1115"/>
          <w:spacing w:val="0"/>
          <w:kern w:val="2"/>
          <w:sz w:val="24"/>
          <w:szCs w:val="24"/>
          <w:shd w:val="clear" w:fill="EBEEF2"/>
          <w:lang w:val="en-US" w:eastAsia="zh-CN" w:bidi="ar-SA"/>
        </w:rPr>
        <w:t>is_latest</w:t>
      </w:r>
      <w:r>
        <w:rPr>
          <w:rFonts w:hint="eastAsia" w:ascii="仿宋" w:hAnsi="仿宋" w:eastAsia="仿宋" w:cs="仿宋"/>
          <w:i w:val="0"/>
          <w:iCs w:val="0"/>
          <w:caps w:val="0"/>
          <w:color w:val="0F1115"/>
          <w:spacing w:val="0"/>
          <w:kern w:val="2"/>
          <w:sz w:val="24"/>
          <w:szCs w:val="24"/>
          <w:shd w:val="clear" w:fill="FFFFFF"/>
          <w:lang w:val="en-US" w:eastAsia="zh-CN" w:bidi="ar-SA"/>
        </w:rPr>
        <w:t>设为true</w:t>
      </w:r>
    </w:p>
    <w:p w14:paraId="4090B82D">
      <w:pPr>
        <w:keepNext w:val="0"/>
        <w:keepLines w:val="0"/>
        <w:widowControl/>
        <w:suppressLineNumbers w:val="0"/>
        <w:spacing w:before="0" w:beforeAutospacing="0" w:after="0" w:afterAutospacing="0"/>
        <w:ind w:left="0" w:leftChars="0" w:right="0" w:rightChars="0" w:firstLine="420" w:firstLineChars="0"/>
        <w:jc w:val="both"/>
        <w:rPr>
          <w:rFonts w:hint="eastAsia" w:ascii="仿宋" w:hAnsi="仿宋" w:eastAsia="仿宋" w:cs="仿宋"/>
          <w:i w:val="0"/>
          <w:iCs w:val="0"/>
          <w:caps w:val="0"/>
          <w:color w:val="0F1115"/>
          <w:spacing w:val="0"/>
          <w:kern w:val="2"/>
          <w:sz w:val="24"/>
          <w:szCs w:val="24"/>
          <w:shd w:val="clear" w:fill="FFFFFF"/>
          <w:lang w:val="en-US" w:eastAsia="zh-CN" w:bidi="ar-SA"/>
        </w:rPr>
      </w:pPr>
      <w:r>
        <w:rPr>
          <w:rStyle w:val="11"/>
          <w:rFonts w:hint="eastAsia" w:ascii="仿宋" w:hAnsi="仿宋" w:eastAsia="仿宋" w:cs="仿宋"/>
          <w:i w:val="0"/>
          <w:iCs w:val="0"/>
          <w:caps w:val="0"/>
          <w:color w:val="0F1115"/>
          <w:spacing w:val="0"/>
          <w:kern w:val="2"/>
          <w:sz w:val="24"/>
          <w:szCs w:val="24"/>
          <w:shd w:val="clear" w:fill="EBEEF2"/>
          <w:lang w:val="en-US" w:eastAsia="zh-CN" w:bidi="ar-SA"/>
        </w:rPr>
        <w:t>asset_snapshot</w:t>
      </w:r>
      <w:r>
        <w:rPr>
          <w:rFonts w:hint="eastAsia" w:ascii="仿宋" w:hAnsi="仿宋" w:eastAsia="仿宋" w:cs="仿宋"/>
          <w:i w:val="0"/>
          <w:iCs w:val="0"/>
          <w:caps w:val="0"/>
          <w:color w:val="0F1115"/>
          <w:spacing w:val="0"/>
          <w:kern w:val="2"/>
          <w:sz w:val="24"/>
          <w:szCs w:val="24"/>
          <w:shd w:val="clear" w:fill="FFFFFF"/>
          <w:lang w:val="en-US" w:eastAsia="zh-CN" w:bidi="ar-SA"/>
        </w:rPr>
        <w:t>表：检测同一快照日期是否已有记录。</w:t>
      </w:r>
    </w:p>
    <w:p w14:paraId="340755E4">
      <w:pPr>
        <w:keepNext w:val="0"/>
        <w:keepLines w:val="0"/>
        <w:widowControl/>
        <w:suppressLineNumbers w:val="0"/>
        <w:spacing w:before="0" w:beforeAutospacing="0" w:after="0" w:afterAutospacing="0"/>
        <w:ind w:left="0" w:leftChars="0" w:right="0" w:rightChars="0" w:firstLine="420" w:firstLineChars="0"/>
        <w:jc w:val="both"/>
      </w:pPr>
      <w:r>
        <w:rPr>
          <w:rFonts w:hint="eastAsia" w:ascii="仿宋" w:hAnsi="仿宋" w:eastAsia="仿宋" w:cs="仿宋"/>
          <w:i w:val="0"/>
          <w:iCs w:val="0"/>
          <w:caps w:val="0"/>
          <w:color w:val="0F1115"/>
          <w:spacing w:val="0"/>
          <w:kern w:val="2"/>
          <w:sz w:val="24"/>
          <w:szCs w:val="24"/>
          <w:shd w:val="clear" w:fill="FFFFFF"/>
          <w:lang w:val="en-US" w:eastAsia="zh-CN" w:bidi="ar-SA"/>
        </w:rPr>
        <w:t>若有，覆盖更新（UPDATE）；若无，新增（INSERT）</w:t>
      </w:r>
    </w:p>
    <w:p w14:paraId="1A077F28">
      <w:pPr>
        <w:keepNext w:val="0"/>
        <w:keepLines w:val="0"/>
        <w:widowControl/>
        <w:suppressLineNumbers w:val="0"/>
        <w:spacing w:before="0" w:beforeAutospacing="0" w:after="0" w:afterAutospacing="0"/>
        <w:ind w:left="0" w:leftChars="0" w:right="0" w:rightChars="0" w:firstLine="420" w:firstLineChars="0"/>
        <w:jc w:val="both"/>
      </w:pPr>
      <w:r>
        <w:rPr>
          <w:rFonts w:hint="eastAsia" w:ascii="仿宋" w:hAnsi="仿宋" w:eastAsia="仿宋" w:cs="仿宋"/>
          <w:i w:val="0"/>
          <w:iCs w:val="0"/>
          <w:caps w:val="0"/>
          <w:color w:val="0F1115"/>
          <w:spacing w:val="0"/>
          <w:kern w:val="2"/>
          <w:sz w:val="24"/>
          <w:szCs w:val="24"/>
          <w:shd w:val="clear" w:fill="FFFFFF"/>
          <w:lang w:val="en-US" w:eastAsia="zh-CN" w:bidi="ar-SA"/>
        </w:rPr>
        <w:t>首页、净值曲线、比例演化等所有展示页面，只读取</w:t>
      </w:r>
      <w:r>
        <w:rPr>
          <w:rStyle w:val="11"/>
          <w:rFonts w:hint="eastAsia" w:ascii="仿宋" w:hAnsi="仿宋" w:eastAsia="仿宋" w:cs="仿宋"/>
          <w:i w:val="0"/>
          <w:iCs w:val="0"/>
          <w:caps w:val="0"/>
          <w:color w:val="0F1115"/>
          <w:spacing w:val="0"/>
          <w:kern w:val="2"/>
          <w:sz w:val="24"/>
          <w:szCs w:val="24"/>
          <w:shd w:val="clear" w:fill="EBEEF2"/>
          <w:lang w:val="en-US" w:eastAsia="zh-CN" w:bidi="ar-SA"/>
        </w:rPr>
        <w:t>is_latest</w:t>
      </w:r>
      <w:r>
        <w:rPr>
          <w:rFonts w:hint="eastAsia" w:ascii="仿宋" w:hAnsi="仿宋" w:eastAsia="仿宋" w:cs="仿宋"/>
          <w:i w:val="0"/>
          <w:iCs w:val="0"/>
          <w:caps w:val="0"/>
          <w:color w:val="0F1115"/>
          <w:spacing w:val="0"/>
          <w:kern w:val="2"/>
          <w:sz w:val="24"/>
          <w:szCs w:val="24"/>
          <w:shd w:val="clear" w:fill="FFFFFF"/>
          <w:lang w:val="en-US" w:eastAsia="zh-CN" w:bidi="ar-SA"/>
        </w:rPr>
        <w:t xml:space="preserve"> = true的记录</w:t>
      </w:r>
    </w:p>
    <w:p w14:paraId="2A4E112E">
      <w:pPr>
        <w:keepNext w:val="0"/>
        <w:keepLines w:val="0"/>
        <w:widowControl/>
        <w:suppressLineNumbers w:val="0"/>
        <w:spacing w:before="0" w:beforeAutospacing="0" w:after="0" w:afterAutospacing="0"/>
        <w:ind w:left="0" w:leftChars="0" w:right="0" w:rightChars="0" w:firstLine="420" w:firstLineChars="0"/>
        <w:jc w:val="both"/>
        <w:rPr>
          <w:rFonts w:hint="eastAsia" w:ascii="仿宋" w:hAnsi="仿宋" w:eastAsia="仿宋" w:cs="仿宋"/>
          <w:i w:val="0"/>
          <w:iCs w:val="0"/>
          <w:caps w:val="0"/>
          <w:color w:val="0F1115"/>
          <w:spacing w:val="0"/>
          <w:kern w:val="2"/>
          <w:sz w:val="24"/>
          <w:szCs w:val="24"/>
          <w:shd w:val="clear" w:fill="FFFFFF"/>
          <w:lang w:val="en-US" w:eastAsia="zh-CN" w:bidi="ar-SA"/>
        </w:rPr>
      </w:pPr>
      <w:r>
        <w:rPr>
          <w:rFonts w:hint="eastAsia" w:ascii="仿宋" w:hAnsi="仿宋" w:eastAsia="仿宋" w:cs="仿宋"/>
          <w:i w:val="0"/>
          <w:iCs w:val="0"/>
          <w:caps w:val="0"/>
          <w:color w:val="0F1115"/>
          <w:spacing w:val="0"/>
          <w:kern w:val="2"/>
          <w:sz w:val="24"/>
          <w:szCs w:val="24"/>
          <w:shd w:val="clear" w:fill="FFFFFF"/>
          <w:lang w:val="en-US" w:eastAsia="zh-CN" w:bidi="ar-SA"/>
        </w:rPr>
        <w:t>这样用户随时可以重新上传同一日期的截图，数据不会被重复追加，而是覆盖更新。</w:t>
      </w:r>
    </w:p>
    <w:p w14:paraId="1B93D0DC">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i w:val="0"/>
          <w:iCs w:val="0"/>
          <w:caps w:val="0"/>
          <w:color w:val="0F1115"/>
          <w:spacing w:val="0"/>
          <w:sz w:val="24"/>
          <w:szCs w:val="24"/>
          <w:shd w:val="clear" w:fill="FFFFFF"/>
        </w:rPr>
      </w:pPr>
    </w:p>
    <w:p w14:paraId="7D35B814">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hint="default" w:ascii="仿宋" w:hAnsi="Segoe UI" w:eastAsia="仿宋" w:cs="Segoe UI"/>
          <w:b/>
          <w:bCs/>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前端确认面板设计：</w:t>
      </w:r>
    </w:p>
    <w:p w14:paraId="6B0942DF">
      <w:pPr>
        <w:pStyle w:val="13"/>
        <w:bidi w:val="0"/>
        <w:rPr>
          <w:rFonts w:hint="eastAsia"/>
          <w:lang w:val="en-US" w:eastAsia="zh-CN"/>
        </w:rPr>
      </w:pPr>
      <w:r>
        <w:rPr>
          <w:rFonts w:hint="eastAsia"/>
          <w:lang w:val="en-US" w:eastAsia="zh-CN"/>
        </w:rPr>
        <w:t>text</w:t>
      </w:r>
    </w:p>
    <w:p w14:paraId="4B8F7C93">
      <w:pPr>
        <w:pStyle w:val="13"/>
        <w:bidi w:val="0"/>
        <w:rPr>
          <w:rFonts w:hint="default"/>
          <w:lang w:val="en-US" w:eastAsia="zh-CN"/>
        </w:rPr>
      </w:pPr>
      <w:r>
        <w:rPr>
          <w:rFonts w:hint="default"/>
          <w:lang w:val="en-US" w:eastAsia="zh-CN"/>
        </w:rPr>
        <w:t>┌──────────────────────────────────────────────────────────────┐</w:t>
      </w:r>
    </w:p>
    <w:p w14:paraId="6982BB3C">
      <w:pPr>
        <w:pStyle w:val="13"/>
        <w:bidi w:val="0"/>
        <w:rPr>
          <w:rFonts w:hint="eastAsia"/>
          <w:lang w:val="en-US" w:eastAsia="zh-CN"/>
        </w:rPr>
      </w:pPr>
      <w:r>
        <w:rPr>
          <w:rFonts w:hint="default"/>
          <w:lang w:val="en-US" w:eastAsia="zh-CN"/>
        </w:rPr>
        <w:t>│  确认大类归属</w:t>
      </w:r>
      <w:r>
        <w:rPr>
          <w:rFonts w:hint="eastAsia"/>
          <w:lang w:val="en-US" w:eastAsia="zh-CN"/>
        </w:rPr>
        <w:t>与快照日期</w:t>
      </w:r>
    </w:p>
    <w:p w14:paraId="028C5C58">
      <w:pPr>
        <w:pStyle w:val="6"/>
        <w:keepNext w:val="0"/>
        <w:keepLines w:val="0"/>
        <w:widowControl/>
        <w:suppressLineNumbers w:val="0"/>
        <w:wordWrap w:val="0"/>
        <w:spacing w:before="0" w:beforeAutospacing="0" w:after="0" w:afterAutospacing="0" w:line="264" w:lineRule="atLeast"/>
        <w:ind w:left="0" w:right="0" w:firstLine="120" w:firstLineChars="50"/>
        <w:rPr>
          <w:rFonts w:hint="default"/>
          <w:lang w:val="en-US" w:eastAsia="zh-CN"/>
        </w:rPr>
      </w:pPr>
      <w:r>
        <w:rPr>
          <w:rFonts w:hint="default"/>
          <w:lang w:val="en-US" w:eastAsia="zh-CN"/>
        </w:rPr>
        <w:t xml:space="preserve">│ </w:t>
      </w:r>
      <w:r>
        <w:rPr>
          <w:rFonts w:hint="default" w:ascii="宋体" w:hAnsi="宋体" w:eastAsia="宋体" w:cs="宋体"/>
          <w:color w:val="0F1115"/>
          <w:kern w:val="0"/>
          <w:sz w:val="21"/>
          <w:szCs w:val="19"/>
          <w:shd w:val="clear" w:fill="FFFFFF"/>
          <w:lang w:val="en-US" w:eastAsia="zh-CN" w:bidi="ar"/>
        </w:rPr>
        <w:t xml:space="preserve">快照日期：[2026-06-09] ← AI识别预填，用户可手动修改 </w:t>
      </w:r>
      <w:r>
        <w:rPr>
          <w:rFonts w:hint="default"/>
          <w:lang w:val="en-US" w:eastAsia="zh-CN"/>
        </w:rPr>
        <w:t xml:space="preserve">          │</w:t>
      </w:r>
    </w:p>
    <w:p w14:paraId="10BE126F">
      <w:pPr>
        <w:pStyle w:val="13"/>
        <w:bidi w:val="0"/>
        <w:rPr>
          <w:rFonts w:hint="default"/>
          <w:lang w:val="en-US" w:eastAsia="zh-CN"/>
        </w:rPr>
      </w:pPr>
      <w:r>
        <w:rPr>
          <w:rFonts w:hint="default"/>
          <w:lang w:val="en-US" w:eastAsia="zh-CN"/>
        </w:rPr>
        <w:t>│  以下基金已自动匹配，请确认或修改：                               │</w:t>
      </w:r>
    </w:p>
    <w:p w14:paraId="74B2FA03">
      <w:pPr>
        <w:pStyle w:val="13"/>
        <w:bidi w:val="0"/>
        <w:rPr>
          <w:rFonts w:hint="default"/>
          <w:lang w:val="en-US" w:eastAsia="zh-CN"/>
        </w:rPr>
      </w:pPr>
      <w:r>
        <w:rPr>
          <w:rFonts w:hint="default"/>
          <w:lang w:val="en-US" w:eastAsia="zh-CN"/>
        </w:rPr>
        <w:t>├──────────────────┬────────┬────────┬──────────────────────────┤</w:t>
      </w:r>
    </w:p>
    <w:p w14:paraId="23D39084">
      <w:pPr>
        <w:pStyle w:val="13"/>
        <w:bidi w:val="0"/>
        <w:rPr>
          <w:rFonts w:hint="default"/>
          <w:lang w:val="en-US" w:eastAsia="zh-CN"/>
        </w:rPr>
      </w:pPr>
      <w:r>
        <w:rPr>
          <w:rFonts w:hint="default"/>
          <w:lang w:val="en-US" w:eastAsia="zh-CN"/>
        </w:rPr>
        <w:t>│  基金名称          │ 金额    │ 收益    │ 大类归属（点击修改）        │</w:t>
      </w:r>
    </w:p>
    <w:p w14:paraId="3C9A85A0">
      <w:pPr>
        <w:pStyle w:val="13"/>
        <w:bidi w:val="0"/>
        <w:rPr>
          <w:rFonts w:hint="default"/>
          <w:lang w:val="en-US" w:eastAsia="zh-CN"/>
        </w:rPr>
      </w:pPr>
      <w:r>
        <w:rPr>
          <w:rFonts w:hint="default"/>
          <w:lang w:val="en-US" w:eastAsia="zh-CN"/>
        </w:rPr>
        <w:t>├──────────────────┼────────┼────────┼──────────────────────────┤</w:t>
      </w:r>
    </w:p>
    <w:p w14:paraId="138567DE">
      <w:pPr>
        <w:pStyle w:val="13"/>
        <w:bidi w:val="0"/>
        <w:rPr>
          <w:rFonts w:hint="default"/>
          <w:lang w:val="en-US" w:eastAsia="zh-CN"/>
        </w:rPr>
      </w:pPr>
      <w:r>
        <w:rPr>
          <w:rFonts w:hint="default"/>
          <w:lang w:val="en-US" w:eastAsia="zh-CN"/>
        </w:rPr>
        <w:t>│  中加货币E        │ 641.49 │ +1.49  │ [货币类 ▼]  ← 已匹配，灰底  │</w:t>
      </w:r>
    </w:p>
    <w:p w14:paraId="202E3EA1">
      <w:pPr>
        <w:pStyle w:val="13"/>
        <w:bidi w:val="0"/>
        <w:rPr>
          <w:rFonts w:hint="default"/>
          <w:lang w:val="en-US" w:eastAsia="zh-CN"/>
        </w:rPr>
      </w:pPr>
      <w:r>
        <w:rPr>
          <w:rFonts w:hint="default"/>
          <w:lang w:val="en-US" w:eastAsia="zh-CN"/>
        </w:rPr>
        <w:t>│  长城短债A        │ 304.30 │ +4.30  │ [固收类 ▼]  ← 已匹配，灰底  │</w:t>
      </w:r>
    </w:p>
    <w:p w14:paraId="6803E5D4">
      <w:pPr>
        <w:pStyle w:val="13"/>
        <w:bidi w:val="0"/>
        <w:rPr>
          <w:rFonts w:hint="default"/>
          <w:lang w:val="en-US" w:eastAsia="zh-CN"/>
        </w:rPr>
      </w:pPr>
      <w:r>
        <w:rPr>
          <w:rFonts w:hint="default"/>
          <w:lang w:val="en-US" w:eastAsia="zh-CN"/>
        </w:rPr>
        <w:t>│  天弘纳斯达克A    │ 631.44 │ +49.44 │ [海外权益类 ▼]            │</w:t>
      </w:r>
    </w:p>
    <w:p w14:paraId="4FCA6748">
      <w:pPr>
        <w:pStyle w:val="13"/>
        <w:bidi w:val="0"/>
        <w:rPr>
          <w:rFonts w:hint="default"/>
          <w:lang w:val="en-US" w:eastAsia="zh-CN"/>
        </w:rPr>
      </w:pPr>
      <w:r>
        <w:rPr>
          <w:rFonts w:hint="default"/>
          <w:lang w:val="en-US" w:eastAsia="zh-CN"/>
        </w:rPr>
        <w:t>├──────────────────┴────────┴────────┴──────────────────────────┤</w:t>
      </w:r>
    </w:p>
    <w:p w14:paraId="4F42511D">
      <w:pPr>
        <w:pStyle w:val="13"/>
        <w:bidi w:val="0"/>
        <w:rPr>
          <w:rFonts w:hint="default"/>
          <w:lang w:val="en-US" w:eastAsia="zh-CN"/>
        </w:rPr>
      </w:pPr>
      <w:r>
        <w:rPr>
          <w:rFonts w:hint="default"/>
          <w:lang w:val="en-US" w:eastAsia="zh-CN"/>
        </w:rPr>
        <w:t>│  ⚠️ 以下基金未匹配到已知大类，请手动选择：                         │</w:t>
      </w:r>
    </w:p>
    <w:p w14:paraId="68B89891">
      <w:pPr>
        <w:pStyle w:val="13"/>
        <w:bidi w:val="0"/>
        <w:rPr>
          <w:rFonts w:hint="default"/>
          <w:lang w:val="en-US" w:eastAsia="zh-CN"/>
        </w:rPr>
      </w:pPr>
      <w:r>
        <w:rPr>
          <w:rFonts w:hint="default"/>
          <w:lang w:val="en-US" w:eastAsia="zh-CN"/>
        </w:rPr>
        <w:t>│  某未知基金        │ 100.00 │ +0.00  │ [请选择 ▼]  ← 黄底高亮     │</w:t>
      </w:r>
    </w:p>
    <w:p w14:paraId="2C329D44">
      <w:pPr>
        <w:pStyle w:val="13"/>
        <w:bidi w:val="0"/>
        <w:rPr>
          <w:rFonts w:hint="default"/>
          <w:lang w:val="en-US" w:eastAsia="zh-CN"/>
        </w:rPr>
      </w:pPr>
      <w:r>
        <w:rPr>
          <w:rFonts w:hint="default"/>
          <w:lang w:val="en-US" w:eastAsia="zh-CN"/>
        </w:rPr>
        <w:t>└──────────────────────────────────────────────────────────────┘</w:t>
      </w:r>
    </w:p>
    <w:p w14:paraId="30618B10">
      <w:pPr>
        <w:pStyle w:val="13"/>
        <w:bidi w:val="0"/>
        <w:rPr>
          <w:rFonts w:hint="eastAsia" w:ascii="仿宋" w:hAnsi="仿宋" w:eastAsia="仿宋" w:cs="仿宋"/>
          <w:i w:val="0"/>
          <w:iCs w:val="0"/>
          <w:caps w:val="0"/>
          <w:color w:val="0F1115"/>
          <w:spacing w:val="0"/>
          <w:sz w:val="24"/>
          <w:szCs w:val="24"/>
          <w:shd w:val="clear" w:fill="FFFFFF"/>
        </w:rPr>
      </w:pPr>
      <w:r>
        <w:rPr>
          <w:rFonts w:hint="default"/>
          <w:lang w:val="en-US" w:eastAsia="zh-CN"/>
        </w:rPr>
        <w:t xml:space="preserve">                    [确认入库]  [取消]</w:t>
      </w:r>
    </w:p>
    <w:p w14:paraId="447013CA">
      <w:pPr>
        <w:pStyle w:val="4"/>
        <w:bidi w:val="0"/>
        <w:rPr>
          <w:rFonts w:hint="default"/>
        </w:rPr>
      </w:pPr>
      <w:r>
        <w:rPr>
          <w:rFonts w:hint="default"/>
        </w:rPr>
        <w:t>5.6.5 用户自定义大类的架构预留</w:t>
      </w:r>
    </w:p>
    <w:p w14:paraId="5231841B">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当前设计基线（Phase 1-3）</w:t>
      </w:r>
      <w:r>
        <w:rPr>
          <w:rFonts w:hint="eastAsia" w:ascii="仿宋" w:hAnsi="仿宋" w:eastAsia="仿宋" w:cs="仿宋"/>
          <w:i w:val="0"/>
          <w:iCs w:val="0"/>
          <w:caps w:val="0"/>
          <w:color w:val="0F1115"/>
          <w:spacing w:val="0"/>
          <w:sz w:val="24"/>
          <w:szCs w:val="24"/>
          <w:shd w:val="clear" w:fill="FFFFFF"/>
        </w:rPr>
        <w:t>：默认使用六大类。大类列表硬编码在后端和前端下拉选择器中。</w:t>
      </w:r>
    </w:p>
    <w:p w14:paraId="74726C50">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SDK阶段扩展设计（Phase 5之后）</w:t>
      </w:r>
      <w:r>
        <w:rPr>
          <w:rFonts w:hint="eastAsia" w:ascii="仿宋" w:hAnsi="仿宋" w:eastAsia="仿宋" w:cs="仿宋"/>
          <w:i w:val="0"/>
          <w:iCs w:val="0"/>
          <w:caps w:val="0"/>
          <w:color w:val="0F1115"/>
          <w:spacing w:val="0"/>
          <w:sz w:val="24"/>
          <w:szCs w:val="24"/>
          <w:shd w:val="clear" w:fill="FFFFFF"/>
        </w:rPr>
        <w:t>：</w:t>
      </w:r>
    </w:p>
    <w:p w14:paraId="70ADB10C">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新增用户分类配置表，允许用户自定义大类名称、目标比例、波动属性（低波/高波）</w:t>
      </w:r>
    </w:p>
    <w:p w14:paraId="3EB65E85">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前端下拉选择器从数据库动态读取大类列表，而非硬编码</w:t>
      </w:r>
    </w:p>
    <w:p w14:paraId="1EFA9C2D">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Style w:val="11"/>
          <w:rFonts w:hint="eastAsia" w:ascii="仿宋" w:hAnsi="仿宋" w:eastAsia="仿宋" w:cs="仿宋"/>
          <w:i w:val="0"/>
          <w:iCs w:val="0"/>
          <w:caps w:val="0"/>
          <w:color w:val="0F1115"/>
          <w:spacing w:val="0"/>
          <w:sz w:val="24"/>
          <w:szCs w:val="24"/>
          <w:shd w:val="clear" w:fill="EBEEF2"/>
        </w:rPr>
        <w:t>MonthlyCorrectionStrategy</w:t>
      </w:r>
      <w:r>
        <w:rPr>
          <w:rFonts w:hint="eastAsia" w:ascii="仿宋" w:hAnsi="仿宋" w:eastAsia="仿宋" w:cs="仿宋"/>
          <w:i w:val="0"/>
          <w:iCs w:val="0"/>
          <w:caps w:val="0"/>
          <w:color w:val="0F1115"/>
          <w:spacing w:val="0"/>
          <w:sz w:val="24"/>
          <w:szCs w:val="24"/>
          <w:shd w:val="clear" w:fill="FFFFFF"/>
        </w:rPr>
        <w:t>在求解时从数据库读取当前用户的低波资产类别，而非硬编码“货币类”和“固收类”</w:t>
      </w:r>
    </w:p>
    <w:p w14:paraId="3A5CA230">
      <w:pPr>
        <w:pStyle w:val="7"/>
        <w:keepNext w:val="0"/>
        <w:keepLines w:val="0"/>
        <w:widowControl/>
        <w:suppressLineNumbers w:val="0"/>
        <w:spacing w:before="0" w:beforeAutospacing="0" w:after="0" w:afterAutospacing="0"/>
        <w:ind w:left="0" w:right="0" w:firstLine="420" w:firstLineChars="0"/>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新用户注册后，系统预置六大类作为默认模板，用户可按需修改</w:t>
      </w:r>
    </w:p>
    <w:p w14:paraId="4511637E">
      <w:pPr>
        <w:pStyle w:val="7"/>
        <w:keepNext w:val="0"/>
        <w:keepLines w:val="0"/>
        <w:widowControl/>
        <w:suppressLineNumbers w:val="0"/>
        <w:shd w:val="clear" w:fill="FFFFFF"/>
        <w:spacing w:before="192" w:beforeAutospacing="0" w:after="192" w:afterAutospacing="0"/>
        <w:ind w:left="0" w:right="0" w:firstLine="420" w:firstLineChars="0"/>
        <w:rPr>
          <w:rFonts w:hint="eastAsia" w:eastAsia="仿宋"/>
          <w:lang w:eastAsia="zh-CN"/>
        </w:rPr>
      </w:pPr>
      <w:r>
        <w:rPr>
          <w:rFonts w:hint="eastAsia" w:ascii="仿宋" w:hAnsi="仿宋" w:eastAsia="仿宋" w:cs="仿宋"/>
          <w:b/>
          <w:bCs/>
          <w:i w:val="0"/>
          <w:iCs w:val="0"/>
          <w:caps w:val="0"/>
          <w:color w:val="0F1115"/>
          <w:spacing w:val="0"/>
          <w:sz w:val="24"/>
          <w:szCs w:val="24"/>
          <w:shd w:val="clear" w:fill="FFFFFF"/>
        </w:rPr>
        <w:t>为什么现在不做自定义</w:t>
      </w:r>
      <w:r>
        <w:rPr>
          <w:rFonts w:hint="eastAsia" w:ascii="仿宋" w:hAnsi="仿宋" w:eastAsia="仿宋" w:cs="仿宋"/>
          <w:i w:val="0"/>
          <w:iCs w:val="0"/>
          <w:caps w:val="0"/>
          <w:color w:val="0F1115"/>
          <w:spacing w:val="0"/>
          <w:sz w:val="24"/>
          <w:szCs w:val="24"/>
          <w:shd w:val="clear" w:fill="FFFFFF"/>
        </w:rPr>
        <w:t>：MVP阶段的用户只有你一个人，六大类是经过27天真实验证的稳定分类体系。过早做自定义会增加大量UI和逻辑复杂度，延误Phase 1-3的核心闭环</w:t>
      </w:r>
      <w:r>
        <w:rPr>
          <w:rFonts w:hint="eastAsia" w:ascii="仿宋" w:hAnsi="仿宋" w:eastAsia="仿宋" w:cs="仿宋"/>
          <w:i w:val="0"/>
          <w:iCs w:val="0"/>
          <w:caps w:val="0"/>
          <w:color w:val="0F1115"/>
          <w:spacing w:val="0"/>
          <w:sz w:val="24"/>
          <w:szCs w:val="24"/>
          <w:shd w:val="clear" w:fill="FFFFFF"/>
          <w:lang w:eastAsia="zh-CN"/>
        </w:rPr>
        <w:t>。</w:t>
      </w:r>
    </w:p>
    <w:p w14:paraId="258F666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hint="default" w:ascii="仿宋" w:hAnsi="Segoe UI" w:eastAsia="仿宋" w:cs="Segoe UI"/>
          <w:i w:val="0"/>
          <w:iCs w:val="0"/>
          <w:caps w:val="0"/>
          <w:color w:val="0F1115"/>
          <w:spacing w:val="0"/>
          <w:sz w:val="24"/>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2B176F8">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第六章 数据模型设计</w:t>
      </w:r>
    </w:p>
    <w:p w14:paraId="3FC545E2">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shd w:val="clear" w:fill="FFFFFF"/>
        </w:rPr>
      </w:pPr>
      <w:r>
        <w:rPr>
          <w:rFonts w:hint="default" w:ascii="仿宋" w:hAnsi="Segoe UI" w:eastAsia="仿宋" w:cs="Segoe UI"/>
          <w:b/>
          <w:bCs/>
          <w:caps w:val="0"/>
          <w:color w:val="auto"/>
          <w:spacing w:val="0"/>
          <w:sz w:val="30"/>
          <w:szCs w:val="24"/>
          <w:shd w:val="clear" w:fill="FFFFFF"/>
        </w:rPr>
        <w:t>6.1 设计原则</w:t>
      </w:r>
    </w:p>
    <w:p w14:paraId="79874C4F">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原始数据不可变</w:t>
      </w:r>
      <w:r>
        <w:rPr>
          <w:rFonts w:hint="default" w:ascii="仿宋" w:hAnsi="Segoe UI" w:eastAsia="仿宋" w:cs="Segoe UI"/>
          <w:i w:val="0"/>
          <w:iCs w:val="0"/>
          <w:caps w:val="0"/>
          <w:color w:val="auto"/>
          <w:spacing w:val="0"/>
          <w:sz w:val="24"/>
          <w:szCs w:val="19"/>
          <w:shd w:val="clear" w:fill="FFFFFF"/>
        </w:rPr>
        <w:t>：</w:t>
      </w:r>
      <w:r>
        <w:rPr>
          <w:rStyle w:val="11"/>
          <w:rFonts w:hint="default" w:ascii="仿宋" w:hAnsi="Consolas" w:eastAsia="仿宋" w:cs="Consolas"/>
          <w:i w:val="0"/>
          <w:iCs w:val="0"/>
          <w:caps w:val="0"/>
          <w:color w:val="auto"/>
          <w:spacing w:val="0"/>
          <w:sz w:val="24"/>
          <w:szCs w:val="18"/>
          <w:shd w:val="clear" w:fill="EBEEF2"/>
        </w:rPr>
        <w:t>asset_raw</w:t>
      </w:r>
      <w:r>
        <w:rPr>
          <w:rFonts w:hint="default" w:ascii="仿宋" w:hAnsi="Segoe UI" w:eastAsia="仿宋" w:cs="Segoe UI"/>
          <w:i w:val="0"/>
          <w:iCs w:val="0"/>
          <w:caps w:val="0"/>
          <w:color w:val="auto"/>
          <w:spacing w:val="0"/>
          <w:sz w:val="24"/>
          <w:szCs w:val="19"/>
          <w:shd w:val="clear" w:fill="FFFFFF"/>
        </w:rPr>
        <w:t>表存储AI解析后的原始结果，即使解析出错，原始数据也不丢失</w:t>
      </w:r>
    </w:p>
    <w:p w14:paraId="5A8DB09E">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汇总数据可重算</w:t>
      </w:r>
      <w:r>
        <w:rPr>
          <w:rFonts w:hint="default" w:ascii="仿宋" w:hAnsi="Segoe UI" w:eastAsia="仿宋" w:cs="Segoe UI"/>
          <w:i w:val="0"/>
          <w:iCs w:val="0"/>
          <w:caps w:val="0"/>
          <w:color w:val="auto"/>
          <w:spacing w:val="0"/>
          <w:sz w:val="24"/>
          <w:szCs w:val="19"/>
          <w:shd w:val="clear" w:fill="FFFFFF"/>
        </w:rPr>
        <w:t>：</w:t>
      </w:r>
      <w:r>
        <w:rPr>
          <w:rStyle w:val="11"/>
          <w:rFonts w:hint="default" w:ascii="仿宋" w:hAnsi="Consolas" w:eastAsia="仿宋" w:cs="Consolas"/>
          <w:i w:val="0"/>
          <w:iCs w:val="0"/>
          <w:caps w:val="0"/>
          <w:color w:val="auto"/>
          <w:spacing w:val="0"/>
          <w:sz w:val="24"/>
          <w:szCs w:val="18"/>
          <w:shd w:val="clear" w:fill="EBEEF2"/>
        </w:rPr>
        <w:t>asset_snapshot</w:t>
      </w:r>
      <w:r>
        <w:rPr>
          <w:rFonts w:hint="default" w:ascii="仿宋" w:hAnsi="Segoe UI" w:eastAsia="仿宋" w:cs="Segoe UI"/>
          <w:i w:val="0"/>
          <w:iCs w:val="0"/>
          <w:caps w:val="0"/>
          <w:color w:val="auto"/>
          <w:spacing w:val="0"/>
          <w:sz w:val="24"/>
          <w:szCs w:val="19"/>
          <w:shd w:val="clear" w:fill="FFFFFF"/>
        </w:rPr>
        <w:t>表基于</w:t>
      </w:r>
      <w:r>
        <w:rPr>
          <w:rStyle w:val="11"/>
          <w:rFonts w:hint="default" w:ascii="仿宋" w:hAnsi="Consolas" w:eastAsia="仿宋" w:cs="Consolas"/>
          <w:i w:val="0"/>
          <w:iCs w:val="0"/>
          <w:caps w:val="0"/>
          <w:color w:val="auto"/>
          <w:spacing w:val="0"/>
          <w:sz w:val="24"/>
          <w:szCs w:val="18"/>
          <w:shd w:val="clear" w:fill="EBEEF2"/>
        </w:rPr>
        <w:t>asset_raw</w:t>
      </w:r>
      <w:r>
        <w:rPr>
          <w:rFonts w:hint="default" w:ascii="仿宋" w:hAnsi="Segoe UI" w:eastAsia="仿宋" w:cs="Segoe UI"/>
          <w:i w:val="0"/>
          <w:iCs w:val="0"/>
          <w:caps w:val="0"/>
          <w:color w:val="auto"/>
          <w:spacing w:val="0"/>
          <w:sz w:val="24"/>
          <w:szCs w:val="19"/>
          <w:shd w:val="clear" w:fill="FFFFFF"/>
        </w:rPr>
        <w:t>自动汇总计算。如果解析逻辑升级，只需重算汇总表</w:t>
      </w:r>
    </w:p>
    <w:p w14:paraId="425F7073">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预留扩展空间</w:t>
      </w:r>
      <w:r>
        <w:rPr>
          <w:rFonts w:hint="default" w:ascii="仿宋" w:hAnsi="Segoe UI" w:eastAsia="仿宋" w:cs="Segoe UI"/>
          <w:i w:val="0"/>
          <w:iCs w:val="0"/>
          <w:caps w:val="0"/>
          <w:color w:val="auto"/>
          <w:spacing w:val="0"/>
          <w:sz w:val="24"/>
          <w:szCs w:val="19"/>
          <w:shd w:val="clear" w:fill="FFFFFF"/>
        </w:rPr>
        <w:t>：所有表从Phase 1起预留</w:t>
      </w:r>
      <w:r>
        <w:rPr>
          <w:rStyle w:val="11"/>
          <w:rFonts w:hint="default" w:ascii="仿宋" w:hAnsi="Consolas" w:eastAsia="仿宋" w:cs="Consolas"/>
          <w:i w:val="0"/>
          <w:iCs w:val="0"/>
          <w:caps w:val="0"/>
          <w:color w:val="auto"/>
          <w:spacing w:val="0"/>
          <w:sz w:val="24"/>
          <w:szCs w:val="18"/>
          <w:shd w:val="clear" w:fill="EBEEF2"/>
        </w:rPr>
        <w:t>user_id</w:t>
      </w:r>
      <w:r>
        <w:rPr>
          <w:rFonts w:hint="default" w:ascii="仿宋" w:hAnsi="Segoe UI" w:eastAsia="仿宋" w:cs="Segoe UI"/>
          <w:i w:val="0"/>
          <w:iCs w:val="0"/>
          <w:caps w:val="0"/>
          <w:color w:val="auto"/>
          <w:spacing w:val="0"/>
          <w:sz w:val="24"/>
          <w:szCs w:val="19"/>
          <w:shd w:val="clear" w:fill="FFFFFF"/>
        </w:rPr>
        <w:t>字段和JSON扩展字段</w:t>
      </w:r>
    </w:p>
    <w:p w14:paraId="5F06C775">
      <w:pPr>
        <w:pStyle w:val="7"/>
        <w:keepNext w:val="0"/>
        <w:keepLines w:val="0"/>
        <w:widowControl/>
        <w:suppressLineNumbers w:val="0"/>
        <w:snapToGrid/>
        <w:spacing w:before="192" w:beforeAutospacing="0" w:after="192" w:afterAutospacing="0" w:line="240" w:lineRule="auto"/>
        <w:ind w:left="0" w:leftChars="0" w:right="0" w:rightChars="0" w:firstLine="482" w:firstLineChars="200"/>
        <w:jc w:val="both"/>
        <w:rPr>
          <w:rFonts w:ascii="仿宋" w:eastAsia="仿宋"/>
          <w:sz w:val="24"/>
        </w:rPr>
      </w:pPr>
      <w:r>
        <w:rPr>
          <w:rFonts w:hint="default" w:ascii="仿宋" w:hAnsi="Segoe UI" w:eastAsia="仿宋" w:cs="Segoe UI"/>
          <w:b/>
          <w:bCs/>
          <w:i w:val="0"/>
          <w:iCs w:val="0"/>
          <w:caps w:val="0"/>
          <w:color w:val="auto"/>
          <w:spacing w:val="0"/>
          <w:sz w:val="24"/>
          <w:szCs w:val="19"/>
          <w:shd w:val="clear" w:fill="FFFFFF"/>
        </w:rPr>
        <w:t>来源可追溯</w:t>
      </w:r>
      <w:r>
        <w:rPr>
          <w:rFonts w:hint="default" w:ascii="仿宋" w:hAnsi="Segoe UI" w:eastAsia="仿宋" w:cs="Segoe UI"/>
          <w:i w:val="0"/>
          <w:iCs w:val="0"/>
          <w:caps w:val="0"/>
          <w:color w:val="auto"/>
          <w:spacing w:val="0"/>
          <w:sz w:val="24"/>
          <w:szCs w:val="19"/>
          <w:shd w:val="clear" w:fill="FFFFFF"/>
        </w:rPr>
        <w:t>：每条数据记录数据来源（截图解析/手动输入）</w:t>
      </w:r>
    </w:p>
    <w:p w14:paraId="515A62D5">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6.2 原始资产明细表：</w:t>
      </w:r>
      <w:r>
        <w:rPr>
          <w:rStyle w:val="11"/>
          <w:rFonts w:hint="default" w:ascii="仿宋" w:hAnsi="Consolas" w:eastAsia="仿宋" w:cs="Consolas"/>
          <w:b/>
          <w:bCs/>
          <w:caps w:val="0"/>
          <w:color w:val="auto"/>
          <w:spacing w:val="0"/>
          <w:sz w:val="30"/>
          <w:szCs w:val="24"/>
          <w:shd w:val="clear" w:fill="EBEEF2"/>
        </w:rPr>
        <w:t>asset_raw</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1728"/>
        <w:gridCol w:w="2639"/>
        <w:gridCol w:w="2610"/>
      </w:tblGrid>
      <w:tr w14:paraId="08E8A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CE562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字段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2A6A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183E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w:t>
            </w:r>
          </w:p>
        </w:tc>
        <w:tc>
          <w:tcPr>
            <w:tcW w:w="261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06301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42516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E075A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93A3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1AE4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PK, AUTO_INCREMENT</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6F8D52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主键</w:t>
            </w:r>
          </w:p>
        </w:tc>
      </w:tr>
      <w:tr w14:paraId="3E564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00F99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user_id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75C7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108D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 DEFAULT 1</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DBB3E0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用户ID（预留多用户）</w:t>
            </w:r>
          </w:p>
        </w:tc>
      </w:tr>
      <w:tr w14:paraId="2EB07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89CB2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snapshot_date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4793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date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6092F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26188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快照日期</w:t>
            </w:r>
          </w:p>
        </w:tc>
      </w:tr>
      <w:tr w14:paraId="2B913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8EAB7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fund_name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70A6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varchar(255)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188E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B0D03A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基金完整名称（不脱敏）</w:t>
            </w:r>
          </w:p>
        </w:tc>
      </w:tr>
      <w:tr w14:paraId="4EB3B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C61C73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fund_code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2A7BD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varchar(20)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DE89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NULLABLE</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C3FB8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基金代码（远期预留）</w:t>
            </w:r>
          </w:p>
        </w:tc>
      </w:tr>
      <w:tr w14:paraId="7B7DB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CF74D4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category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6316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varchar(50)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A938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8D0D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六大类归属</w:t>
            </w:r>
          </w:p>
        </w:tc>
      </w:tr>
      <w:tr w14:paraId="39F8C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8283A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amount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9620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decimal(12,2)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4B4B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637CE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持仓金额（元）</w:t>
            </w:r>
          </w:p>
        </w:tc>
      </w:tr>
      <w:tr w14:paraId="417DD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CA9DA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profit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BA2B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decimal(12,2)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5AF8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C323C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持有收益（元）</w:t>
            </w:r>
          </w:p>
        </w:tc>
      </w:tr>
      <w:tr w14:paraId="39A39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4A16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source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119DD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varchar(30)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3A2B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61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87C80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数据来源</w:t>
            </w:r>
          </w:p>
        </w:tc>
      </w:tr>
      <w:tr w14:paraId="7BD1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single" w:color="auto" w:sz="4" w:space="0"/>
              <w:right w:val="nil"/>
            </w:tcBorders>
            <w:shd w:val="clear" w:color="auto" w:fill="auto"/>
            <w:noWrap w:val="0"/>
            <w:tcMar>
              <w:top w:w="120" w:type="dxa"/>
              <w:left w:w="-1" w:type="dxa"/>
              <w:bottom w:w="120" w:type="dxa"/>
              <w:right w:w="192" w:type="dxa"/>
            </w:tcMar>
            <w:vAlign w:val="center"/>
          </w:tcPr>
          <w:p w14:paraId="0A372F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created_at</w:t>
            </w:r>
          </w:p>
        </w:tc>
        <w:tc>
          <w:tcPr>
            <w:tcW w:w="172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683F5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datetime</w:t>
            </w:r>
          </w:p>
        </w:tc>
        <w:tc>
          <w:tcPr>
            <w:tcW w:w="263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01F2D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610" w:type="dxa"/>
            <w:tcBorders>
              <w:top w:val="single" w:color="auto" w:sz="4" w:space="0"/>
              <w:left w:val="single" w:color="auto" w:sz="4" w:space="0"/>
              <w:bottom w:val="single" w:color="auto" w:sz="4" w:space="0"/>
              <w:right w:val="single" w:color="auto" w:sz="12" w:space="0"/>
            </w:tcBorders>
            <w:shd w:val="clear" w:color="auto" w:fill="auto"/>
            <w:noWrap w:val="0"/>
            <w:tcMar>
              <w:top w:w="120" w:type="dxa"/>
              <w:left w:w="192" w:type="dxa"/>
              <w:bottom w:w="120" w:type="dxa"/>
              <w:right w:w="-1" w:type="dxa"/>
            </w:tcMar>
            <w:vAlign w:val="center"/>
          </w:tcPr>
          <w:p w14:paraId="10C152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入库时间</w:t>
            </w:r>
          </w:p>
        </w:tc>
      </w:tr>
      <w:tr w14:paraId="7C92F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single" w:color="auto" w:sz="4" w:space="0"/>
              <w:right w:val="nil"/>
            </w:tcBorders>
            <w:shd w:val="clear" w:color="auto" w:fill="auto"/>
            <w:noWrap w:val="0"/>
            <w:tcMar>
              <w:top w:w="120" w:type="dxa"/>
              <w:left w:w="-1" w:type="dxa"/>
              <w:bottom w:w="120" w:type="dxa"/>
              <w:right w:w="192" w:type="dxa"/>
            </w:tcMar>
            <w:vAlign w:val="center"/>
          </w:tcPr>
          <w:p w14:paraId="70E5D5B9">
            <w:pPr>
              <w:keepNext w:val="0"/>
              <w:keepLines w:val="0"/>
              <w:widowControl/>
              <w:suppressLineNumbers w:val="0"/>
              <w:snapToGrid w:val="0"/>
              <w:spacing w:line="240" w:lineRule="auto"/>
              <w:ind w:left="0" w:leftChars="0" w:right="0" w:rightChars="0" w:firstLine="0" w:firstLineChars="0"/>
              <w:jc w:val="left"/>
              <w:rPr>
                <w:rStyle w:val="11"/>
                <w:rFonts w:hint="default" w:ascii="Segoe UI" w:hAnsi="Consolas" w:eastAsia="Segoe UI" w:cs="Consolas"/>
                <w:kern w:val="0"/>
                <w:sz w:val="18"/>
                <w:szCs w:val="15"/>
                <w:shd w:val="clear" w:fill="EBEEF2"/>
                <w:lang w:val="en-US" w:eastAsia="zh-CN" w:bidi="ar"/>
              </w:rPr>
            </w:pPr>
            <w:r>
              <w:rPr>
                <w:rStyle w:val="11"/>
                <w:rFonts w:hint="eastAsia" w:ascii="Segoe UI" w:hAnsi="Consolas" w:eastAsia="Segoe UI" w:cs="Consolas"/>
                <w:kern w:val="0"/>
                <w:sz w:val="18"/>
                <w:szCs w:val="15"/>
                <w:shd w:val="clear" w:fill="EBEEF2"/>
                <w:lang w:val="en-US" w:eastAsia="zh-CN" w:bidi="ar"/>
              </w:rPr>
              <w:t>is_latest</w:t>
            </w:r>
          </w:p>
        </w:tc>
        <w:tc>
          <w:tcPr>
            <w:tcW w:w="172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720A0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ascii="Segoe UI" w:hAnsi="Segoe UI" w:eastAsia="Segoe UI" w:cs="Segoe UI"/>
                <w:i w:val="0"/>
                <w:iCs w:val="0"/>
                <w:caps w:val="0"/>
                <w:color w:val="0F1115"/>
                <w:spacing w:val="0"/>
                <w:sz w:val="18"/>
                <w:szCs w:val="18"/>
                <w:shd w:val="clear" w:fill="FFFFFF"/>
              </w:rPr>
              <w:t>boolean</w:t>
            </w:r>
          </w:p>
        </w:tc>
        <w:tc>
          <w:tcPr>
            <w:tcW w:w="263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15EB11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ascii="Segoe UI" w:hAnsi="Segoe UI" w:eastAsia="Segoe UI" w:cs="Segoe UI"/>
                <w:i w:val="0"/>
                <w:iCs w:val="0"/>
                <w:caps w:val="0"/>
                <w:color w:val="0F1115"/>
                <w:spacing w:val="0"/>
                <w:sz w:val="19"/>
                <w:szCs w:val="19"/>
                <w:shd w:val="clear" w:fill="FFFFFF"/>
              </w:rPr>
              <w:t>NOT NULL,</w:t>
            </w: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kern w:val="0"/>
                <w:sz w:val="18"/>
                <w:szCs w:val="18"/>
                <w:lang w:val="en-US" w:eastAsia="zh-CN" w:bidi="ar"/>
              </w:rPr>
              <w:t>DEFAULT true</w:t>
            </w:r>
          </w:p>
        </w:tc>
        <w:tc>
          <w:tcPr>
            <w:tcW w:w="2610" w:type="dxa"/>
            <w:tcBorders>
              <w:top w:val="single" w:color="auto" w:sz="4" w:space="0"/>
              <w:left w:val="single" w:color="auto" w:sz="4" w:space="0"/>
              <w:bottom w:val="single" w:color="auto" w:sz="4" w:space="0"/>
              <w:right w:val="single" w:color="auto" w:sz="12" w:space="0"/>
            </w:tcBorders>
            <w:shd w:val="clear" w:color="auto" w:fill="auto"/>
            <w:noWrap w:val="0"/>
            <w:tcMar>
              <w:top w:w="120" w:type="dxa"/>
              <w:left w:w="192" w:type="dxa"/>
              <w:bottom w:w="120" w:type="dxa"/>
              <w:right w:w="-1" w:type="dxa"/>
            </w:tcMar>
            <w:vAlign w:val="center"/>
          </w:tcPr>
          <w:p w14:paraId="3EC660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是否为该快照日期的最新记录。同一日期多次上传时，旧记录设为false，新记录设为true</w:t>
            </w:r>
          </w:p>
        </w:tc>
      </w:tr>
      <w:tr w14:paraId="182D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AA492DD">
            <w:pPr>
              <w:keepNext w:val="0"/>
              <w:keepLines w:val="0"/>
              <w:widowControl/>
              <w:suppressLineNumbers w:val="0"/>
              <w:snapToGrid w:val="0"/>
              <w:spacing w:line="240" w:lineRule="auto"/>
              <w:ind w:left="0" w:leftChars="0" w:right="0" w:rightChars="0" w:firstLine="0" w:firstLineChars="0"/>
              <w:jc w:val="left"/>
              <w:rPr>
                <w:rStyle w:val="11"/>
                <w:rFonts w:hint="eastAsia" w:ascii="Segoe UI" w:hAnsi="Consolas" w:eastAsia="Segoe UI" w:cs="Consolas"/>
                <w:kern w:val="0"/>
                <w:sz w:val="18"/>
                <w:szCs w:val="15"/>
                <w:shd w:val="clear" w:fill="EBEEF2"/>
                <w:lang w:val="en-US" w:eastAsia="zh-CN" w:bidi="ar"/>
              </w:rPr>
            </w:pPr>
            <w:r>
              <w:rPr>
                <w:rStyle w:val="11"/>
                <w:rFonts w:hint="eastAsia" w:ascii="Segoe UI" w:hAnsi="Consolas" w:eastAsia="Segoe UI" w:cs="Consolas"/>
                <w:kern w:val="0"/>
                <w:sz w:val="18"/>
                <w:szCs w:val="15"/>
                <w:shd w:val="clear" w:fill="EBEEF2"/>
                <w:lang w:val="en-US" w:eastAsia="zh-CN" w:bidi="ar"/>
              </w:rPr>
              <w:t>confirmed_at</w:t>
            </w:r>
          </w:p>
        </w:tc>
        <w:tc>
          <w:tcPr>
            <w:tcW w:w="172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149506A">
            <w:pPr>
              <w:keepNext w:val="0"/>
              <w:keepLines w:val="0"/>
              <w:widowControl/>
              <w:suppressLineNumbers w:val="0"/>
              <w:snapToGrid w:val="0"/>
              <w:spacing w:line="240" w:lineRule="auto"/>
              <w:ind w:left="0" w:leftChars="0" w:right="0" w:rightChars="0" w:firstLine="0" w:firstLineChars="0"/>
              <w:jc w:val="left"/>
              <w:rPr>
                <w:rFonts w:ascii="Segoe UI" w:hAnsi="Segoe UI" w:eastAsia="Segoe UI" w:cs="Segoe UI"/>
                <w:i w:val="0"/>
                <w:iCs w:val="0"/>
                <w:caps w:val="0"/>
                <w:color w:val="0F1115"/>
                <w:spacing w:val="0"/>
                <w:sz w:val="18"/>
                <w:szCs w:val="18"/>
                <w:shd w:val="clear" w:fill="FFFFFF"/>
              </w:rPr>
            </w:pPr>
            <w:r>
              <w:rPr>
                <w:rFonts w:ascii="Segoe UI" w:hAnsi="Segoe UI" w:eastAsia="Segoe UI" w:cs="Segoe UI"/>
                <w:i w:val="0"/>
                <w:iCs w:val="0"/>
                <w:caps w:val="0"/>
                <w:color w:val="0F1115"/>
                <w:spacing w:val="0"/>
                <w:sz w:val="18"/>
                <w:szCs w:val="18"/>
                <w:shd w:val="clear" w:fill="FFFFFF"/>
              </w:rPr>
              <w:t>datetime</w:t>
            </w:r>
          </w:p>
        </w:tc>
        <w:tc>
          <w:tcPr>
            <w:tcW w:w="263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EBD0431">
            <w:pPr>
              <w:keepNext w:val="0"/>
              <w:keepLines w:val="0"/>
              <w:widowControl/>
              <w:suppressLineNumbers w:val="0"/>
              <w:snapToGrid w:val="0"/>
              <w:spacing w:line="240" w:lineRule="auto"/>
              <w:ind w:left="0" w:leftChars="0" w:right="0" w:rightChars="0" w:firstLine="0" w:firstLineChars="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NULLABLE</w:t>
            </w:r>
            <w:r>
              <w:rPr>
                <w:rFonts w:hint="default" w:ascii="Segoe UI" w:hAnsi="Segoe UI" w:eastAsia="Segoe UI" w:cs="Segoe UI"/>
                <w:i w:val="0"/>
                <w:iCs w:val="0"/>
                <w:caps w:val="0"/>
                <w:color w:val="0F1115"/>
                <w:spacing w:val="0"/>
                <w:sz w:val="19"/>
                <w:szCs w:val="19"/>
                <w:shd w:val="clear" w:fill="FFFFFF"/>
              </w:rPr>
              <w:t> </w:t>
            </w:r>
          </w:p>
        </w:tc>
        <w:tc>
          <w:tcPr>
            <w:tcW w:w="261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9FC26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用户确认入库的时间（与created_at区分，created_at是记录首次写入的时间）</w:t>
            </w:r>
          </w:p>
        </w:tc>
      </w:tr>
    </w:tbl>
    <w:p w14:paraId="12F9E1F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数据来源枚举值：</w:t>
      </w:r>
      <w:r>
        <w:rPr>
          <w:rStyle w:val="11"/>
          <w:rFonts w:hint="default" w:ascii="仿宋" w:hAnsi="Consolas" w:eastAsia="仿宋" w:cs="Consolas"/>
          <w:i w:val="0"/>
          <w:iCs w:val="0"/>
          <w:caps w:val="0"/>
          <w:color w:val="auto"/>
          <w:spacing w:val="0"/>
          <w:sz w:val="24"/>
          <w:szCs w:val="18"/>
          <w:shd w:val="clear" w:fill="EBEEF2"/>
        </w:rPr>
        <w:t>screenshot_manual</w:t>
      </w:r>
      <w:r>
        <w:rPr>
          <w:rFonts w:hint="default" w:ascii="仿宋" w:hAnsi="Segoe UI" w:eastAsia="仿宋" w:cs="Segoe UI"/>
          <w:i w:val="0"/>
          <w:iCs w:val="0"/>
          <w:caps w:val="0"/>
          <w:color w:val="auto"/>
          <w:spacing w:val="0"/>
          <w:sz w:val="24"/>
          <w:szCs w:val="19"/>
          <w:shd w:val="clear" w:fill="FFFFFF"/>
        </w:rPr>
        <w:t>（手动上传截图）、</w:t>
      </w:r>
      <w:r>
        <w:rPr>
          <w:rStyle w:val="11"/>
          <w:rFonts w:hint="default" w:ascii="仿宋" w:hAnsi="Consolas" w:eastAsia="仿宋" w:cs="Consolas"/>
          <w:i w:val="0"/>
          <w:iCs w:val="0"/>
          <w:caps w:val="0"/>
          <w:color w:val="auto"/>
          <w:spacing w:val="0"/>
          <w:sz w:val="24"/>
          <w:szCs w:val="18"/>
          <w:shd w:val="clear" w:fill="EBEEF2"/>
        </w:rPr>
        <w:t>screenshot_folder</w:t>
      </w:r>
      <w:r>
        <w:rPr>
          <w:rFonts w:hint="default" w:ascii="仿宋" w:hAnsi="Segoe UI" w:eastAsia="仿宋" w:cs="Segoe UI"/>
          <w:i w:val="0"/>
          <w:iCs w:val="0"/>
          <w:caps w:val="0"/>
          <w:color w:val="auto"/>
          <w:spacing w:val="0"/>
          <w:sz w:val="24"/>
          <w:szCs w:val="19"/>
          <w:shd w:val="clear" w:fill="FFFFFF"/>
        </w:rPr>
        <w:t>（文件夹监听，远期）、</w:t>
      </w:r>
      <w:r>
        <w:rPr>
          <w:rStyle w:val="11"/>
          <w:rFonts w:hint="default" w:ascii="仿宋" w:hAnsi="Consolas" w:eastAsia="仿宋" w:cs="Consolas"/>
          <w:i w:val="0"/>
          <w:iCs w:val="0"/>
          <w:caps w:val="0"/>
          <w:color w:val="auto"/>
          <w:spacing w:val="0"/>
          <w:sz w:val="24"/>
          <w:szCs w:val="18"/>
          <w:shd w:val="clear" w:fill="EBEEF2"/>
        </w:rPr>
        <w:t>manual_input</w:t>
      </w:r>
      <w:r>
        <w:rPr>
          <w:rFonts w:hint="default" w:ascii="仿宋" w:hAnsi="Segoe UI" w:eastAsia="仿宋" w:cs="Segoe UI"/>
          <w:i w:val="0"/>
          <w:iCs w:val="0"/>
          <w:caps w:val="0"/>
          <w:color w:val="auto"/>
          <w:spacing w:val="0"/>
          <w:sz w:val="24"/>
          <w:szCs w:val="19"/>
          <w:shd w:val="clear" w:fill="FFFFFF"/>
        </w:rPr>
        <w:t>（手动输入）。</w:t>
      </w:r>
    </w:p>
    <w:p w14:paraId="702D82EA">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索引：</w:t>
      </w:r>
      <w:r>
        <w:rPr>
          <w:rStyle w:val="11"/>
          <w:rFonts w:hint="default" w:ascii="仿宋" w:hAnsi="Consolas" w:eastAsia="仿宋" w:cs="Consolas"/>
          <w:i w:val="0"/>
          <w:iCs w:val="0"/>
          <w:caps w:val="0"/>
          <w:color w:val="auto"/>
          <w:spacing w:val="0"/>
          <w:sz w:val="24"/>
          <w:szCs w:val="18"/>
          <w:shd w:val="clear" w:fill="EBEEF2"/>
        </w:rPr>
        <w:t>(user_id, snapshot_date)</w:t>
      </w:r>
      <w:r>
        <w:rPr>
          <w:rFonts w:hint="default" w:ascii="仿宋" w:hAnsi="Segoe UI" w:eastAsia="仿宋" w:cs="Segoe UI"/>
          <w:i w:val="0"/>
          <w:iCs w:val="0"/>
          <w:caps w:val="0"/>
          <w:color w:val="auto"/>
          <w:spacing w:val="0"/>
          <w:sz w:val="24"/>
          <w:szCs w:val="19"/>
          <w:shd w:val="clear" w:fill="FFFFFF"/>
        </w:rPr>
        <w:t> 联合索引。</w:t>
      </w:r>
    </w:p>
    <w:p w14:paraId="19DEEC05">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6.3 资产快照汇总表：</w:t>
      </w:r>
      <w:r>
        <w:rPr>
          <w:rStyle w:val="11"/>
          <w:rFonts w:hint="default" w:ascii="仿宋" w:hAnsi="Consolas" w:eastAsia="仿宋" w:cs="Consolas"/>
          <w:b/>
          <w:bCs/>
          <w:caps w:val="0"/>
          <w:color w:val="auto"/>
          <w:spacing w:val="0"/>
          <w:sz w:val="30"/>
          <w:szCs w:val="24"/>
          <w:shd w:val="clear" w:fill="EBEEF2"/>
        </w:rPr>
        <w:t>asset_snapshot</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5"/>
        <w:gridCol w:w="1533"/>
        <w:gridCol w:w="2339"/>
        <w:gridCol w:w="3268"/>
      </w:tblGrid>
      <w:tr w14:paraId="4B8B1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99F39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字段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B556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C5B8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w:t>
            </w:r>
          </w:p>
        </w:tc>
        <w:tc>
          <w:tcPr>
            <w:tcW w:w="327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A16D7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28254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D8839B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20B12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3F2B7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PK, AUTO_INCREMENT</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14CF6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主键</w:t>
            </w:r>
          </w:p>
        </w:tc>
      </w:tr>
      <w:tr w14:paraId="77531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4FDD1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user_id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0A91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90A1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 DEFAULT 1</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81A69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用户ID</w:t>
            </w:r>
          </w:p>
        </w:tc>
      </w:tr>
      <w:tr w14:paraId="2550B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39637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snapshot_date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5DFD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date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EFA3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00465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快照日期</w:t>
            </w:r>
          </w:p>
        </w:tc>
      </w:tr>
      <w:tr w14:paraId="3D468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4FAE3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category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11746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varchar(50)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E789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DBD64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六大类名称</w:t>
            </w:r>
          </w:p>
        </w:tc>
      </w:tr>
      <w:tr w14:paraId="350B6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34305B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total_amount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37B2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decimal(12,2)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0565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AD53F4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该大类总金额</w:t>
            </w:r>
          </w:p>
        </w:tc>
      </w:tr>
      <w:tr w14:paraId="2BAFA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768E6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target_ratio</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BC3CE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decimal(5,2)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485E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206E7F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目标比例（%）</w:t>
            </w:r>
          </w:p>
        </w:tc>
      </w:tr>
      <w:tr w14:paraId="1873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904C3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actual_ratio</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55B1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decimal(5,2)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EC4C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04435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实际占比（%）</w:t>
            </w:r>
          </w:p>
        </w:tc>
      </w:tr>
      <w:tr w14:paraId="36200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27864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balance_fund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BD652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decimal(12,2)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334F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327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0214C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余额类金额</w:t>
            </w:r>
          </w:p>
        </w:tc>
      </w:tr>
      <w:tr w14:paraId="2C2E6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47" w:type="dxa"/>
            <w:tcBorders>
              <w:top w:val="single" w:color="auto" w:sz="4" w:space="0"/>
              <w:left w:val="single" w:color="auto" w:sz="12" w:space="0"/>
              <w:bottom w:val="single" w:color="auto" w:sz="4" w:space="0"/>
              <w:right w:val="nil"/>
            </w:tcBorders>
            <w:shd w:val="clear" w:color="auto" w:fill="auto"/>
            <w:noWrap w:val="0"/>
            <w:tcMar>
              <w:top w:w="120" w:type="dxa"/>
              <w:left w:w="-1" w:type="dxa"/>
              <w:bottom w:w="120" w:type="dxa"/>
              <w:right w:w="192" w:type="dxa"/>
            </w:tcMar>
            <w:vAlign w:val="center"/>
          </w:tcPr>
          <w:p w14:paraId="1D32C2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sub_detail</w:t>
            </w:r>
          </w:p>
        </w:tc>
        <w:tc>
          <w:tcPr>
            <w:tcW w:w="1533"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63B30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JSON</w:t>
            </w:r>
          </w:p>
        </w:tc>
        <w:tc>
          <w:tcPr>
            <w:tcW w:w="234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2E3A01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NULLABLE</w:t>
            </w:r>
          </w:p>
        </w:tc>
        <w:tc>
          <w:tcPr>
            <w:tcW w:w="3275" w:type="dxa"/>
            <w:tcBorders>
              <w:top w:val="single" w:color="auto" w:sz="4" w:space="0"/>
              <w:left w:val="single" w:color="auto" w:sz="4" w:space="0"/>
              <w:bottom w:val="single" w:color="auto" w:sz="4" w:space="0"/>
              <w:right w:val="single" w:color="auto" w:sz="12" w:space="0"/>
            </w:tcBorders>
            <w:shd w:val="clear" w:color="auto" w:fill="auto"/>
            <w:noWrap w:val="0"/>
            <w:tcMar>
              <w:top w:w="120" w:type="dxa"/>
              <w:left w:w="192" w:type="dxa"/>
              <w:bottom w:w="120" w:type="dxa"/>
              <w:right w:w="-1" w:type="dxa"/>
            </w:tcMar>
            <w:vAlign w:val="center"/>
          </w:tcPr>
          <w:p w14:paraId="1090AE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大类内部子类金额明细（远期预留）</w:t>
            </w:r>
          </w:p>
        </w:tc>
      </w:tr>
      <w:tr w14:paraId="707D4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4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22D605E3">
            <w:pPr>
              <w:keepNext w:val="0"/>
              <w:keepLines w:val="0"/>
              <w:widowControl/>
              <w:suppressLineNumbers w:val="0"/>
              <w:snapToGrid w:val="0"/>
              <w:spacing w:line="240" w:lineRule="auto"/>
              <w:ind w:left="0" w:leftChars="0" w:right="0" w:rightChars="0" w:firstLine="0" w:firstLineChars="0"/>
              <w:jc w:val="left"/>
              <w:rPr>
                <w:rStyle w:val="11"/>
                <w:rFonts w:hint="default" w:ascii="Segoe UI" w:hAnsi="Consolas" w:eastAsia="Segoe UI" w:cs="Consolas"/>
                <w:kern w:val="0"/>
                <w:sz w:val="18"/>
                <w:szCs w:val="15"/>
                <w:shd w:val="clear" w:fill="EBEEF2"/>
                <w:lang w:val="en-US" w:eastAsia="zh-CN" w:bidi="ar"/>
              </w:rPr>
            </w:pPr>
            <w:r>
              <w:rPr>
                <w:rStyle w:val="11"/>
                <w:rFonts w:hint="eastAsia" w:ascii="Segoe UI" w:hAnsi="Consolas" w:eastAsia="Segoe UI" w:cs="Consolas"/>
                <w:kern w:val="0"/>
                <w:sz w:val="18"/>
                <w:szCs w:val="15"/>
                <w:shd w:val="clear" w:fill="EBEEF2"/>
                <w:lang w:val="en-US" w:eastAsia="zh-CN" w:bidi="ar"/>
              </w:rPr>
              <w:t>is_latest</w:t>
            </w:r>
          </w:p>
        </w:tc>
        <w:tc>
          <w:tcPr>
            <w:tcW w:w="153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04DA9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eastAsia" w:ascii="Segoe UI" w:hAnsi="Segoe UI" w:eastAsia="Segoe UI" w:cs="Segoe UI"/>
                <w:kern w:val="0"/>
                <w:sz w:val="18"/>
                <w:szCs w:val="18"/>
                <w:lang w:val="en-US" w:eastAsia="zh-CN" w:bidi="ar"/>
              </w:rPr>
              <w:t>boolean</w:t>
            </w:r>
          </w:p>
        </w:tc>
        <w:tc>
          <w:tcPr>
            <w:tcW w:w="234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BCD1B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eastAsia" w:ascii="Segoe UI" w:hAnsi="Segoe UI" w:eastAsia="Segoe UI" w:cs="Segoe UI"/>
                <w:kern w:val="0"/>
                <w:sz w:val="18"/>
                <w:szCs w:val="18"/>
                <w:lang w:val="en-US" w:eastAsia="zh-CN" w:bidi="ar"/>
              </w:rPr>
              <w:t>DEFAULT true</w:t>
            </w:r>
          </w:p>
        </w:tc>
        <w:tc>
          <w:tcPr>
            <w:tcW w:w="327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E4399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同一快照日期已有记录时覆盖更新</w:t>
            </w:r>
          </w:p>
        </w:tc>
      </w:tr>
    </w:tbl>
    <w:p w14:paraId="32BDBA89">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Style w:val="11"/>
          <w:rFonts w:hint="default" w:ascii="仿宋" w:hAnsi="Consolas" w:eastAsia="仿宋" w:cs="Consolas"/>
          <w:i w:val="0"/>
          <w:iCs w:val="0"/>
          <w:caps w:val="0"/>
          <w:color w:val="auto"/>
          <w:spacing w:val="0"/>
          <w:sz w:val="24"/>
          <w:szCs w:val="18"/>
          <w:shd w:val="clear" w:fill="EBEEF2"/>
        </w:rPr>
        <w:t>sub_detail</w:t>
      </w:r>
      <w:r>
        <w:rPr>
          <w:rFonts w:hint="default" w:ascii="仿宋" w:hAnsi="Segoe UI" w:eastAsia="仿宋" w:cs="Segoe UI"/>
          <w:i w:val="0"/>
          <w:iCs w:val="0"/>
          <w:caps w:val="0"/>
          <w:color w:val="auto"/>
          <w:spacing w:val="0"/>
          <w:sz w:val="24"/>
          <w:szCs w:val="19"/>
          <w:shd w:val="clear" w:fill="FFFFFF"/>
        </w:rPr>
        <w:t> JSON结构示例（当前为空，远期启用）：</w:t>
      </w:r>
    </w:p>
    <w:p w14:paraId="533C00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5"/>
        </w:rPr>
      </w:pPr>
      <w:r>
        <w:rPr>
          <w:rFonts w:hint="default" w:ascii="仿宋" w:hAnsi="Consolas" w:eastAsia="仿宋" w:cs="Consolas"/>
          <w:i w:val="0"/>
          <w:iCs w:val="0"/>
          <w:caps w:val="0"/>
          <w:color w:val="auto"/>
          <w:spacing w:val="0"/>
          <w:kern w:val="0"/>
          <w:sz w:val="24"/>
          <w:szCs w:val="14"/>
          <w:shd w:val="clear" w:fill="FFFFFF"/>
          <w:lang w:val="en-US" w:eastAsia="zh-CN" w:bidi="ar"/>
        </w:rPr>
        <w:t>json</w:t>
      </w:r>
    </w:p>
    <w:p w14:paraId="681F25B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w:t>
      </w:r>
    </w:p>
    <w:p w14:paraId="4F8ACCA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"A股权益类": {</w:t>
      </w:r>
    </w:p>
    <w:p w14:paraId="469F5AE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"大盘指数": {"诺安中证A100A": 939.06, "诺安中证A100C": 106.42},</w:t>
      </w:r>
    </w:p>
    <w:p w14:paraId="45C2DAA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"中盘卫星": {"国泰海通中证500C": 205.73},</w:t>
      </w:r>
    </w:p>
    <w:p w14:paraId="08BC8D20">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"偏债防御": {"广发价值回报C": 117.84},</w:t>
      </w:r>
    </w:p>
    <w:p w14:paraId="350D4C3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"行业观察": {"易方达机器人ETF联接C": 119.34}</w:t>
      </w:r>
    </w:p>
    <w:p w14:paraId="2406F1E2">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w:t>
      </w:r>
    </w:p>
    <w:p w14:paraId="4AE9976A">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"海外权益类": {</w:t>
      </w:r>
    </w:p>
    <w:p w14:paraId="7CE60CA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"美股核心": {"天弘纳斯达克A": 507.83},</w:t>
      </w:r>
    </w:p>
    <w:p w14:paraId="5053A90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"美股波段": {"天弘纳斯达克C": 300.62, "招商纳斯达克C": 179.55},</w:t>
      </w:r>
    </w:p>
    <w:p w14:paraId="3736F9A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"美股过渡": {"摩根纳斯达克A": 270.23}</w:t>
      </w:r>
    </w:p>
    <w:p w14:paraId="56DFB69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 xml:space="preserve">  }</w:t>
      </w:r>
    </w:p>
    <w:p w14:paraId="06CD0C9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Consolas" w:eastAsia="仿宋" w:cs="Consolas"/>
          <w:i w:val="0"/>
          <w:iCs w:val="0"/>
          <w:caps w:val="0"/>
          <w:color w:val="auto"/>
          <w:spacing w:val="0"/>
          <w:sz w:val="24"/>
          <w:szCs w:val="15"/>
        </w:rPr>
      </w:pPr>
      <w:r>
        <w:rPr>
          <w:rFonts w:hint="default" w:ascii="仿宋" w:hAnsi="Consolas" w:eastAsia="仿宋" w:cs="Consolas"/>
          <w:i w:val="0"/>
          <w:iCs w:val="0"/>
          <w:caps w:val="0"/>
          <w:color w:val="auto"/>
          <w:spacing w:val="0"/>
          <w:sz w:val="24"/>
          <w:szCs w:val="15"/>
        </w:rPr>
        <w:t>}</w:t>
      </w:r>
    </w:p>
    <w:p w14:paraId="272E914E">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索引：</w:t>
      </w:r>
      <w:r>
        <w:rPr>
          <w:rStyle w:val="11"/>
          <w:rFonts w:hint="default" w:ascii="仿宋" w:hAnsi="Consolas" w:eastAsia="仿宋" w:cs="Consolas"/>
          <w:i w:val="0"/>
          <w:iCs w:val="0"/>
          <w:caps w:val="0"/>
          <w:color w:val="auto"/>
          <w:spacing w:val="0"/>
          <w:sz w:val="24"/>
          <w:szCs w:val="18"/>
          <w:shd w:val="clear" w:fill="EBEEF2"/>
        </w:rPr>
        <w:t>(user_id, snapshot_date)</w:t>
      </w:r>
      <w:r>
        <w:rPr>
          <w:rFonts w:hint="default" w:ascii="仿宋" w:hAnsi="Segoe UI" w:eastAsia="仿宋" w:cs="Segoe UI"/>
          <w:i w:val="0"/>
          <w:iCs w:val="0"/>
          <w:caps w:val="0"/>
          <w:color w:val="auto"/>
          <w:spacing w:val="0"/>
          <w:sz w:val="24"/>
          <w:szCs w:val="19"/>
          <w:shd w:val="clear" w:fill="FFFFFF"/>
        </w:rPr>
        <w:t> 联合索引。</w:t>
      </w:r>
    </w:p>
    <w:p w14:paraId="35CC5D7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计算逻辑：每次向</w:t>
      </w:r>
      <w:r>
        <w:rPr>
          <w:rStyle w:val="11"/>
          <w:rFonts w:hint="default" w:ascii="仿宋" w:hAnsi="Consolas" w:eastAsia="仿宋" w:cs="Consolas"/>
          <w:i w:val="0"/>
          <w:iCs w:val="0"/>
          <w:caps w:val="0"/>
          <w:color w:val="auto"/>
          <w:spacing w:val="0"/>
          <w:sz w:val="24"/>
          <w:szCs w:val="18"/>
          <w:shd w:val="clear" w:fill="EBEEF2"/>
        </w:rPr>
        <w:t>asset_raw</w:t>
      </w:r>
      <w:r>
        <w:rPr>
          <w:rFonts w:hint="default" w:ascii="仿宋" w:hAnsi="Segoe UI" w:eastAsia="仿宋" w:cs="Segoe UI"/>
          <w:i w:val="0"/>
          <w:iCs w:val="0"/>
          <w:caps w:val="0"/>
          <w:color w:val="auto"/>
          <w:spacing w:val="0"/>
          <w:sz w:val="24"/>
          <w:szCs w:val="19"/>
          <w:shd w:val="clear" w:fill="FFFFFF"/>
        </w:rPr>
        <w:t>插入新的快照数据后，后端自动按category汇总金额，计算实际占比，将结果插入或更新</w:t>
      </w:r>
      <w:r>
        <w:rPr>
          <w:rStyle w:val="11"/>
          <w:rFonts w:hint="default" w:ascii="仿宋" w:hAnsi="Consolas" w:eastAsia="仿宋" w:cs="Consolas"/>
          <w:i w:val="0"/>
          <w:iCs w:val="0"/>
          <w:caps w:val="0"/>
          <w:color w:val="auto"/>
          <w:spacing w:val="0"/>
          <w:sz w:val="24"/>
          <w:szCs w:val="18"/>
          <w:shd w:val="clear" w:fill="EBEEF2"/>
        </w:rPr>
        <w:t>asset_snapshot</w:t>
      </w:r>
      <w:r>
        <w:rPr>
          <w:rFonts w:hint="default" w:ascii="仿宋" w:hAnsi="Segoe UI" w:eastAsia="仿宋" w:cs="Segoe UI"/>
          <w:i w:val="0"/>
          <w:iCs w:val="0"/>
          <w:caps w:val="0"/>
          <w:color w:val="auto"/>
          <w:spacing w:val="0"/>
          <w:sz w:val="24"/>
          <w:szCs w:val="19"/>
          <w:shd w:val="clear" w:fill="FFFFFF"/>
        </w:rPr>
        <w:t>表。</w:t>
      </w:r>
    </w:p>
    <w:p w14:paraId="1E6786A1">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6.4 Prompt版本管理表：</w:t>
      </w:r>
      <w:r>
        <w:rPr>
          <w:rStyle w:val="11"/>
          <w:rFonts w:hint="default" w:ascii="仿宋" w:hAnsi="Consolas" w:eastAsia="仿宋" w:cs="Consolas"/>
          <w:b/>
          <w:bCs/>
          <w:caps w:val="0"/>
          <w:color w:val="auto"/>
          <w:spacing w:val="0"/>
          <w:sz w:val="30"/>
          <w:szCs w:val="24"/>
          <w:shd w:val="clear" w:fill="EBEEF2"/>
        </w:rPr>
        <w:t>prompt_versions</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3"/>
        <w:gridCol w:w="1795"/>
        <w:gridCol w:w="2891"/>
        <w:gridCol w:w="2036"/>
      </w:tblGrid>
      <w:tr w14:paraId="54ECC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CDD6B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字段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B618E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41CA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w:t>
            </w:r>
          </w:p>
        </w:tc>
        <w:tc>
          <w:tcPr>
            <w:tcW w:w="2036"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01347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4BDA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BC13D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CC98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538C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PK, AUTO_INCREMENT</w:t>
            </w:r>
          </w:p>
        </w:tc>
        <w:tc>
          <w:tcPr>
            <w:tcW w:w="20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EC6082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主键</w:t>
            </w:r>
          </w:p>
        </w:tc>
      </w:tr>
      <w:tr w14:paraId="16619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4E8DE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prompt_name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F208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varchar(100)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D1819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7302B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Prompt名称</w:t>
            </w:r>
          </w:p>
        </w:tc>
      </w:tr>
      <w:tr w14:paraId="16F3C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327D4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prompt_content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77B3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text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D2B1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EACFD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Prompt完整内容</w:t>
            </w:r>
          </w:p>
        </w:tc>
      </w:tr>
      <w:tr w14:paraId="07386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8DDFA8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version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E44F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varchar(20)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E355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10D01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版本号</w:t>
            </w:r>
          </w:p>
        </w:tc>
      </w:tr>
      <w:tr w14:paraId="5C961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85429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change_reason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92D1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text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B5D0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NULLABLE</w:t>
            </w:r>
          </w:p>
        </w:tc>
        <w:tc>
          <w:tcPr>
            <w:tcW w:w="20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9EB96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修改原因</w:t>
            </w:r>
          </w:p>
        </w:tc>
      </w:tr>
      <w:tr w14:paraId="0750A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C4667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created_at</w:t>
            </w:r>
          </w:p>
        </w:tc>
        <w:tc>
          <w:tcPr>
            <w:tcW w:w="179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07776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datetime</w:t>
            </w:r>
          </w:p>
        </w:tc>
        <w:tc>
          <w:tcPr>
            <w:tcW w:w="289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57E823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36"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2B8DB5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创建时间</w:t>
            </w:r>
          </w:p>
        </w:tc>
      </w:tr>
    </w:tbl>
    <w:p w14:paraId="60658711">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当前Prompt清单：</w:t>
      </w:r>
    </w:p>
    <w:p w14:paraId="7039F027">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Style w:val="11"/>
          <w:rFonts w:hint="default" w:ascii="仿宋" w:hAnsi="Consolas" w:eastAsia="仿宋" w:cs="Consolas"/>
          <w:i w:val="0"/>
          <w:iCs w:val="0"/>
          <w:caps w:val="0"/>
          <w:color w:val="auto"/>
          <w:spacing w:val="0"/>
          <w:sz w:val="24"/>
          <w:szCs w:val="18"/>
          <w:shd w:val="clear" w:fill="EBEEF2"/>
        </w:rPr>
        <w:t>screenshot_parser</w:t>
      </w:r>
      <w:r>
        <w:rPr>
          <w:rFonts w:hint="default" w:ascii="仿宋" w:hAnsi="Segoe UI" w:eastAsia="仿宋" w:cs="Segoe UI"/>
          <w:i w:val="0"/>
          <w:iCs w:val="0"/>
          <w:caps w:val="0"/>
          <w:color w:val="auto"/>
          <w:spacing w:val="0"/>
          <w:sz w:val="24"/>
          <w:szCs w:val="19"/>
          <w:shd w:val="clear" w:fill="FFFFFF"/>
        </w:rPr>
        <w:t> v1.0：解析支付宝资产截图，返回JSON</w:t>
      </w:r>
    </w:p>
    <w:p w14:paraId="2619B5E5">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Style w:val="11"/>
          <w:rFonts w:hint="default" w:ascii="仿宋" w:hAnsi="Consolas" w:eastAsia="仿宋" w:cs="Consolas"/>
          <w:i w:val="0"/>
          <w:iCs w:val="0"/>
          <w:caps w:val="0"/>
          <w:color w:val="auto"/>
          <w:spacing w:val="0"/>
          <w:sz w:val="24"/>
          <w:szCs w:val="18"/>
          <w:shd w:val="clear" w:fill="EBEEF2"/>
        </w:rPr>
        <w:t>ai_assistant</w:t>
      </w:r>
      <w:r>
        <w:rPr>
          <w:rFonts w:hint="default" w:ascii="仿宋" w:hAnsi="Segoe UI" w:eastAsia="仿宋" w:cs="Segoe UI"/>
          <w:i w:val="0"/>
          <w:iCs w:val="0"/>
          <w:caps w:val="0"/>
          <w:color w:val="auto"/>
          <w:spacing w:val="0"/>
          <w:sz w:val="24"/>
          <w:szCs w:val="19"/>
          <w:shd w:val="clear" w:fill="FFFFFF"/>
        </w:rPr>
        <w:t> v1.0：AI对话助手，内置ZOH理论框架</w:t>
      </w:r>
    </w:p>
    <w:p w14:paraId="79BBC3A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索引：</w:t>
      </w:r>
      <w:r>
        <w:rPr>
          <w:rStyle w:val="11"/>
          <w:rFonts w:hint="default" w:ascii="仿宋" w:hAnsi="Consolas" w:eastAsia="仿宋" w:cs="Consolas"/>
          <w:i w:val="0"/>
          <w:iCs w:val="0"/>
          <w:caps w:val="0"/>
          <w:color w:val="auto"/>
          <w:spacing w:val="0"/>
          <w:sz w:val="24"/>
          <w:szCs w:val="18"/>
          <w:shd w:val="clear" w:fill="EBEEF2"/>
        </w:rPr>
        <w:t>(prompt_name, version)</w:t>
      </w:r>
      <w:r>
        <w:rPr>
          <w:rFonts w:hint="default" w:ascii="仿宋" w:hAnsi="Segoe UI" w:eastAsia="仿宋" w:cs="Segoe UI"/>
          <w:i w:val="0"/>
          <w:iCs w:val="0"/>
          <w:caps w:val="0"/>
          <w:color w:val="auto"/>
          <w:spacing w:val="0"/>
          <w:sz w:val="24"/>
          <w:szCs w:val="19"/>
          <w:shd w:val="clear" w:fill="FFFFFF"/>
        </w:rPr>
        <w:t> 联合唯一索引。</w:t>
      </w:r>
    </w:p>
    <w:p w14:paraId="6C3E4486">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6.5 用户配置表：</w:t>
      </w:r>
      <w:r>
        <w:rPr>
          <w:rStyle w:val="11"/>
          <w:rFonts w:hint="default" w:ascii="仿宋" w:hAnsi="Consolas" w:eastAsia="仿宋" w:cs="Consolas"/>
          <w:b/>
          <w:bCs/>
          <w:caps w:val="0"/>
          <w:color w:val="auto"/>
          <w:spacing w:val="0"/>
          <w:sz w:val="30"/>
          <w:szCs w:val="24"/>
          <w:shd w:val="clear" w:fill="EBEEF2"/>
        </w:rPr>
        <w:t>user_config</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6"/>
        <w:gridCol w:w="2048"/>
        <w:gridCol w:w="3301"/>
        <w:gridCol w:w="1370"/>
      </w:tblGrid>
      <w:tr w14:paraId="5D703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2487C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字段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A565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D9EA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w:t>
            </w:r>
          </w:p>
        </w:tc>
        <w:tc>
          <w:tcPr>
            <w:tcW w:w="137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B5A6B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474A6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0DA83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A117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F7B8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PK, AUTO_INCREMENT</w:t>
            </w:r>
          </w:p>
        </w:tc>
        <w:tc>
          <w:tcPr>
            <w:tcW w:w="137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25DC4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主键</w:t>
            </w:r>
          </w:p>
        </w:tc>
      </w:tr>
      <w:tr w14:paraId="3E9C9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6CA22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user_id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9ADB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EE54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 DEFAULT 1</w:t>
            </w:r>
          </w:p>
        </w:tc>
        <w:tc>
          <w:tcPr>
            <w:tcW w:w="137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A9AB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用户ID</w:t>
            </w:r>
          </w:p>
        </w:tc>
      </w:tr>
      <w:tr w14:paraId="6B6D3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94F02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config_key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9B23F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varchar(100)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EA62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137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12DADF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配置键</w:t>
            </w:r>
          </w:p>
        </w:tc>
      </w:tr>
      <w:tr w14:paraId="35B1D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5F55C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config_value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87DEE8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varchar(500)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2DCC6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137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3CDAA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配置值</w:t>
            </w:r>
          </w:p>
        </w:tc>
      </w:tr>
      <w:tr w14:paraId="28881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70191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updated_at</w:t>
            </w:r>
          </w:p>
        </w:tc>
        <w:tc>
          <w:tcPr>
            <w:tcW w:w="204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5D196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datetime</w:t>
            </w:r>
          </w:p>
        </w:tc>
        <w:tc>
          <w:tcPr>
            <w:tcW w:w="330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37629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137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0D2FB0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更新时间</w:t>
            </w:r>
          </w:p>
        </w:tc>
      </w:tr>
    </w:tbl>
    <w:p w14:paraId="6EE8791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当前配置项：</w:t>
      </w:r>
      <w:r>
        <w:rPr>
          <w:rStyle w:val="11"/>
          <w:rFonts w:hint="default" w:ascii="仿宋" w:hAnsi="Consolas" w:eastAsia="仿宋" w:cs="Consolas"/>
          <w:i w:val="0"/>
          <w:iCs w:val="0"/>
          <w:caps w:val="0"/>
          <w:color w:val="auto"/>
          <w:spacing w:val="0"/>
          <w:sz w:val="24"/>
          <w:szCs w:val="18"/>
          <w:shd w:val="clear" w:fill="EBEEF2"/>
        </w:rPr>
        <w:t>purchase_threshold</w:t>
      </w:r>
      <w:r>
        <w:rPr>
          <w:rFonts w:hint="default" w:ascii="仿宋" w:hAnsi="Segoe UI" w:eastAsia="仿宋" w:cs="Segoe UI"/>
          <w:i w:val="0"/>
          <w:iCs w:val="0"/>
          <w:caps w:val="0"/>
          <w:color w:val="auto"/>
          <w:spacing w:val="0"/>
          <w:sz w:val="24"/>
          <w:szCs w:val="19"/>
          <w:shd w:val="clear" w:fill="FFFFFF"/>
        </w:rPr>
        <w:t>（申购起点，默认100元）、</w:t>
      </w:r>
      <w:r>
        <w:rPr>
          <w:rStyle w:val="11"/>
          <w:rFonts w:hint="default" w:ascii="仿宋" w:hAnsi="Consolas" w:eastAsia="仿宋" w:cs="Consolas"/>
          <w:i w:val="0"/>
          <w:iCs w:val="0"/>
          <w:caps w:val="0"/>
          <w:color w:val="auto"/>
          <w:spacing w:val="0"/>
          <w:sz w:val="24"/>
          <w:szCs w:val="18"/>
          <w:shd w:val="clear" w:fill="EBEEF2"/>
        </w:rPr>
        <w:t>monthly_budget_limit</w:t>
      </w:r>
      <w:r>
        <w:rPr>
          <w:rFonts w:hint="default" w:ascii="仿宋" w:hAnsi="Segoe UI" w:eastAsia="仿宋" w:cs="Segoe UI"/>
          <w:i w:val="0"/>
          <w:iCs w:val="0"/>
          <w:caps w:val="0"/>
          <w:color w:val="auto"/>
          <w:spacing w:val="0"/>
          <w:sz w:val="24"/>
          <w:szCs w:val="19"/>
          <w:shd w:val="clear" w:fill="FFFFFF"/>
        </w:rPr>
        <w:t>（月度总投入上限，默认1000元）。</w:t>
      </w:r>
    </w:p>
    <w:p w14:paraId="78050517">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索引：</w:t>
      </w:r>
      <w:r>
        <w:rPr>
          <w:rStyle w:val="11"/>
          <w:rFonts w:hint="default" w:ascii="仿宋" w:hAnsi="Consolas" w:eastAsia="仿宋" w:cs="Consolas"/>
          <w:i w:val="0"/>
          <w:iCs w:val="0"/>
          <w:caps w:val="0"/>
          <w:color w:val="auto"/>
          <w:spacing w:val="0"/>
          <w:sz w:val="24"/>
          <w:szCs w:val="18"/>
          <w:shd w:val="clear" w:fill="EBEEF2"/>
        </w:rPr>
        <w:t>(user_id, config_key)</w:t>
      </w:r>
      <w:r>
        <w:rPr>
          <w:rFonts w:hint="default" w:ascii="仿宋" w:hAnsi="Segoe UI" w:eastAsia="仿宋" w:cs="Segoe UI"/>
          <w:i w:val="0"/>
          <w:iCs w:val="0"/>
          <w:caps w:val="0"/>
          <w:color w:val="auto"/>
          <w:spacing w:val="0"/>
          <w:sz w:val="24"/>
          <w:szCs w:val="19"/>
          <w:shd w:val="clear" w:fill="FFFFFF"/>
        </w:rPr>
        <w:t> 联合唯一索引。</w:t>
      </w:r>
    </w:p>
    <w:p w14:paraId="03E260B0">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6.6 AI对话历史表：</w:t>
      </w:r>
      <w:r>
        <w:rPr>
          <w:rStyle w:val="11"/>
          <w:rFonts w:hint="default" w:ascii="仿宋" w:hAnsi="Consolas" w:eastAsia="仿宋" w:cs="Consolas"/>
          <w:b/>
          <w:bCs/>
          <w:caps w:val="0"/>
          <w:color w:val="auto"/>
          <w:spacing w:val="0"/>
          <w:sz w:val="30"/>
          <w:szCs w:val="24"/>
          <w:shd w:val="clear" w:fill="EBEEF2"/>
        </w:rPr>
        <w:t>chat_history</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1669"/>
        <w:gridCol w:w="2895"/>
        <w:gridCol w:w="2047"/>
      </w:tblGrid>
      <w:tr w14:paraId="0D391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D772D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字段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D5D1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30DE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w:t>
            </w:r>
          </w:p>
        </w:tc>
        <w:tc>
          <w:tcPr>
            <w:tcW w:w="2047"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8F90C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75907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9D77D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D60C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9A21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PK, AUTO_INCREMENT</w:t>
            </w:r>
          </w:p>
        </w:tc>
        <w:tc>
          <w:tcPr>
            <w:tcW w:w="20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65D1F5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主键</w:t>
            </w:r>
          </w:p>
        </w:tc>
      </w:tr>
      <w:tr w14:paraId="5B500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398C5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user_id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09A3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5529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 DEFAULT 1</w:t>
            </w:r>
          </w:p>
        </w:tc>
        <w:tc>
          <w:tcPr>
            <w:tcW w:w="20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B9D56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用户ID</w:t>
            </w:r>
          </w:p>
        </w:tc>
      </w:tr>
      <w:tr w14:paraId="30C47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6EA51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conversation_id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4437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varchar(50)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50B0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97A55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对话ID（UUID）</w:t>
            </w:r>
          </w:p>
        </w:tc>
      </w:tr>
      <w:tr w14:paraId="296F6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080AAD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role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6E53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varchar(20)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65D0C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9842C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user/assistant</w:t>
            </w:r>
          </w:p>
        </w:tc>
      </w:tr>
      <w:tr w14:paraId="6E86A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4202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content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7EA9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text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BE6F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813B34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消息内容</w:t>
            </w:r>
          </w:p>
        </w:tc>
      </w:tr>
      <w:tr w14:paraId="1FBE6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84" w:type="dxa"/>
            <w:tcBorders>
              <w:top w:val="single" w:color="auto" w:sz="4" w:space="0"/>
              <w:left w:val="single" w:color="auto" w:sz="12" w:space="0"/>
              <w:bottom w:val="single" w:color="auto" w:sz="4" w:space="0"/>
              <w:right w:val="nil"/>
            </w:tcBorders>
            <w:shd w:val="clear" w:color="auto" w:fill="auto"/>
            <w:noWrap w:val="0"/>
            <w:tcMar>
              <w:top w:w="120" w:type="dxa"/>
              <w:left w:w="-1" w:type="dxa"/>
              <w:bottom w:w="120" w:type="dxa"/>
              <w:right w:w="192" w:type="dxa"/>
            </w:tcMar>
            <w:vAlign w:val="center"/>
          </w:tcPr>
          <w:p w14:paraId="1E82C9E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created_at</w:t>
            </w:r>
          </w:p>
        </w:tc>
        <w:tc>
          <w:tcPr>
            <w:tcW w:w="166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14F39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datetime</w:t>
            </w:r>
          </w:p>
        </w:tc>
        <w:tc>
          <w:tcPr>
            <w:tcW w:w="289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A472F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2047" w:type="dxa"/>
            <w:tcBorders>
              <w:top w:val="single" w:color="auto" w:sz="4" w:space="0"/>
              <w:left w:val="single" w:color="auto" w:sz="4" w:space="0"/>
              <w:bottom w:val="single" w:color="auto" w:sz="4" w:space="0"/>
              <w:right w:val="single" w:color="auto" w:sz="12" w:space="0"/>
            </w:tcBorders>
            <w:shd w:val="clear" w:color="auto" w:fill="auto"/>
            <w:noWrap w:val="0"/>
            <w:tcMar>
              <w:top w:w="120" w:type="dxa"/>
              <w:left w:w="192" w:type="dxa"/>
              <w:bottom w:w="120" w:type="dxa"/>
              <w:right w:w="-1" w:type="dxa"/>
            </w:tcMar>
            <w:vAlign w:val="center"/>
          </w:tcPr>
          <w:p w14:paraId="270825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发送时间</w:t>
            </w:r>
          </w:p>
        </w:tc>
      </w:tr>
      <w:tr w14:paraId="467B3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84"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6CE6BF9">
            <w:pPr>
              <w:keepNext w:val="0"/>
              <w:keepLines w:val="0"/>
              <w:widowControl/>
              <w:suppressLineNumbers w:val="0"/>
              <w:snapToGrid w:val="0"/>
              <w:spacing w:line="240" w:lineRule="auto"/>
              <w:ind w:left="0" w:leftChars="0" w:right="0" w:rightChars="0" w:firstLine="0" w:firstLineChars="0"/>
              <w:jc w:val="left"/>
              <w:rPr>
                <w:rStyle w:val="11"/>
                <w:rFonts w:hint="default" w:ascii="Segoe UI" w:hAnsi="Consolas" w:eastAsia="Segoe UI" w:cs="Consolas"/>
                <w:kern w:val="0"/>
                <w:sz w:val="18"/>
                <w:szCs w:val="15"/>
                <w:shd w:val="clear" w:fill="EBEEF2"/>
                <w:lang w:val="en-US" w:eastAsia="zh-CN" w:bidi="ar"/>
              </w:rPr>
            </w:pPr>
            <w:r>
              <w:rPr>
                <w:rStyle w:val="11"/>
                <w:rFonts w:hint="eastAsia" w:ascii="Segoe UI" w:hAnsi="Consolas" w:eastAsia="Segoe UI" w:cs="Consolas"/>
                <w:kern w:val="0"/>
                <w:sz w:val="18"/>
                <w:szCs w:val="15"/>
                <w:shd w:val="clear" w:fill="EBEEF2"/>
                <w:lang w:val="en-US" w:eastAsia="zh-CN" w:bidi="ar"/>
              </w:rPr>
              <w:t>conversation_type</w:t>
            </w:r>
          </w:p>
        </w:tc>
        <w:tc>
          <w:tcPr>
            <w:tcW w:w="166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4B930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varchar(30)</w:t>
            </w:r>
          </w:p>
        </w:tc>
        <w:tc>
          <w:tcPr>
            <w:tcW w:w="289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2F56C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NOT NULL, DEFAULT 'ai_assistant'</w:t>
            </w:r>
          </w:p>
        </w:tc>
        <w:tc>
          <w:tcPr>
            <w:tcW w:w="2047"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0735F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对话类型：ai_assistant（AI顾问对话）或screenshot_parse（截图解析对话）</w:t>
            </w:r>
          </w:p>
        </w:tc>
      </w:tr>
    </w:tbl>
    <w:p w14:paraId="3946CDBA">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sz w:val="24"/>
          <w:szCs w:val="19"/>
          <w:shd w:val="clear" w:fill="FFFFFF"/>
        </w:rPr>
        <w:t>索引：</w:t>
      </w:r>
      <w:r>
        <w:rPr>
          <w:rStyle w:val="11"/>
          <w:rFonts w:hint="default" w:ascii="仿宋" w:hAnsi="Consolas" w:eastAsia="仿宋" w:cs="Consolas"/>
          <w:i w:val="0"/>
          <w:iCs w:val="0"/>
          <w:caps w:val="0"/>
          <w:color w:val="auto"/>
          <w:spacing w:val="0"/>
          <w:sz w:val="24"/>
          <w:szCs w:val="18"/>
          <w:shd w:val="clear" w:fill="EBEEF2"/>
        </w:rPr>
        <w:t>(user_id, conversation_id, created_at)</w:t>
      </w:r>
      <w:r>
        <w:rPr>
          <w:rFonts w:hint="default" w:ascii="仿宋" w:hAnsi="Segoe UI" w:eastAsia="仿宋" w:cs="Segoe UI"/>
          <w:i w:val="0"/>
          <w:iCs w:val="0"/>
          <w:caps w:val="0"/>
          <w:color w:val="auto"/>
          <w:spacing w:val="0"/>
          <w:sz w:val="24"/>
          <w:szCs w:val="19"/>
          <w:shd w:val="clear" w:fill="FFFFFF"/>
        </w:rPr>
        <w:t> 联合索引。</w:t>
      </w:r>
    </w:p>
    <w:p w14:paraId="63E0D4E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Phase 1-3对话历史直接存MySQL，Phase 4-5集成ChromaDB进行向量嵌入和相似对话检索。</w:t>
      </w:r>
    </w:p>
    <w:p w14:paraId="4769CA7D">
      <w:pPr>
        <w:pStyle w:val="3"/>
        <w:keepNext w:val="0"/>
        <w:keepLines w:val="0"/>
        <w:widowControl/>
        <w:suppressLineNumbers w:val="0"/>
        <w:shd w:val="clear" w:fill="FFFFFF"/>
        <w:spacing w:before="384" w:beforeAutospacing="0" w:after="192" w:afterAutospacing="0" w:line="360" w:lineRule="atLeast"/>
        <w:ind w:left="0" w:right="0" w:firstLine="0"/>
        <w:rPr>
          <w:rFonts w:hint="eastAsia" w:ascii="仿宋" w:hAnsi="仿宋" w:eastAsia="仿宋" w:cs="仿宋"/>
          <w:b/>
          <w:bCs/>
          <w:caps w:val="0"/>
          <w:color w:val="0F1115"/>
          <w:spacing w:val="0"/>
          <w:sz w:val="30"/>
          <w:szCs w:val="30"/>
        </w:rPr>
      </w:pPr>
      <w:r>
        <w:rPr>
          <w:rFonts w:hint="default" w:ascii="仿宋" w:hAnsi="Segoe UI" w:eastAsia="仿宋" w:cs="Segoe UI"/>
          <w:b/>
          <w:bCs/>
          <w:caps w:val="0"/>
          <w:color w:val="auto"/>
          <w:spacing w:val="0"/>
          <w:kern w:val="0"/>
          <w:sz w:val="30"/>
          <w:szCs w:val="24"/>
          <w:shd w:val="clear" w:fill="FFFFFF"/>
          <w:lang w:val="en-US" w:eastAsia="zh-CN" w:bidi="ar"/>
        </w:rPr>
        <w:t>6.7 基金大类映射表：</w:t>
      </w:r>
      <w:r>
        <w:rPr>
          <w:rStyle w:val="11"/>
          <w:rFonts w:hint="eastAsia" w:ascii="仿宋" w:hAnsi="仿宋" w:eastAsia="仿宋" w:cs="仿宋"/>
          <w:b/>
          <w:bCs/>
          <w:caps w:val="0"/>
          <w:color w:val="0F1115"/>
          <w:spacing w:val="0"/>
          <w:sz w:val="30"/>
          <w:szCs w:val="30"/>
          <w:shd w:val="clear" w:fill="EBEEF2"/>
        </w:rPr>
        <w:t>fund_category_map</w:t>
      </w:r>
    </w:p>
    <w:p w14:paraId="5D839FBD">
      <w:pPr>
        <w:pStyle w:val="4"/>
        <w:bidi w:val="0"/>
        <w:rPr>
          <w:rFonts w:hint="default"/>
        </w:rPr>
      </w:pPr>
      <w:r>
        <w:rPr>
          <w:rFonts w:hint="default"/>
        </w:rPr>
        <w:t>6.7.1 设计目的</w:t>
      </w:r>
    </w:p>
    <w:p w14:paraId="32D8B8FE">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lang w:val="en-US" w:eastAsia="zh-CN" w:bidi="ar-SA"/>
        </w:rPr>
        <w:t>截图解析时，AI需要知道每只基金属于哪个大类。但AI的知识可能不完整，用户的分类体系也可能与AI的默认认知不同。为解决这个问题，设计此映射表，存储用户已确认的基金-大类对应关系。</w:t>
      </w:r>
    </w:p>
    <w:p w14:paraId="1B4AFB4F">
      <w:pPr>
        <w:pStyle w:val="7"/>
        <w:keepNext w:val="0"/>
        <w:keepLines w:val="0"/>
        <w:widowControl/>
        <w:suppressLineNumbers w:val="0"/>
        <w:shd w:val="clear" w:fill="FFFFFF"/>
        <w:spacing w:before="192" w:beforeAutospacing="0" w:after="192" w:afterAutospacing="0"/>
        <w:ind w:left="0" w:right="0" w:firstLine="420" w:firstLineChars="0"/>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lang w:val="en-US" w:eastAsia="zh-CN" w:bidi="ar-SA"/>
        </w:rPr>
        <w:t>每次解析截图时，后端先查询此映射表。已匹配的基金自动填入大类，无需用户手动操作；未匹配的基金标记为“待确认”，前端高亮提示用户手动选择。</w:t>
      </w:r>
    </w:p>
    <w:p w14:paraId="3D566084">
      <w:pPr>
        <w:pStyle w:val="4"/>
        <w:bidi w:val="0"/>
        <w:rPr>
          <w:rFonts w:hint="default"/>
        </w:rPr>
      </w:pPr>
      <w:r>
        <w:rPr>
          <w:rFonts w:hint="default"/>
        </w:rPr>
        <w:t>6.7.2 表结构</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3"/>
        <w:gridCol w:w="1400"/>
        <w:gridCol w:w="3998"/>
        <w:gridCol w:w="1854"/>
      </w:tblGrid>
      <w:tr w14:paraId="11CB6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D14A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字段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30FB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9773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约束</w:t>
            </w:r>
          </w:p>
        </w:tc>
        <w:tc>
          <w:tcPr>
            <w:tcW w:w="186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D732A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2D092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E6A5E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ascii="Segoe UI" w:hAnsi="Consolas" w:eastAsia="Segoe UI" w:cs="Consolas"/>
                <w:kern w:val="0"/>
                <w:sz w:val="18"/>
                <w:szCs w:val="15"/>
                <w:shd w:val="clear" w:fill="EBEEF2"/>
                <w:lang w:val="en-US" w:eastAsia="zh-CN" w:bidi="ar"/>
              </w:rPr>
              <w:t>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42AE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EA6F8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PK, AUTO_INCREMENT</w:t>
            </w:r>
          </w:p>
        </w:tc>
        <w:tc>
          <w:tcPr>
            <w:tcW w:w="18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32F2D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主键</w:t>
            </w:r>
          </w:p>
        </w:tc>
      </w:tr>
      <w:tr w14:paraId="66346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0549B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user_id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E5A0C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bigint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55C3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 DEFAULT 1</w:t>
            </w:r>
          </w:p>
        </w:tc>
        <w:tc>
          <w:tcPr>
            <w:tcW w:w="18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CD34B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用户ID</w:t>
            </w:r>
          </w:p>
        </w:tc>
      </w:tr>
      <w:tr w14:paraId="0A0C7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3EE0F8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fund_name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CC59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varchar(255)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79B5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18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9060C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基金完整名称</w:t>
            </w:r>
          </w:p>
        </w:tc>
      </w:tr>
      <w:tr w14:paraId="2929E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8408E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category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6997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varchar(50)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AF41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18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71E88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用户确认的大类归属</w:t>
            </w:r>
          </w:p>
        </w:tc>
      </w:tr>
      <w:tr w14:paraId="0D945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188EF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source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8F03A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varchar(30)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3AAD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w:t>
            </w:r>
          </w:p>
        </w:tc>
        <w:tc>
          <w:tcPr>
            <w:tcW w:w="18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4D89A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确认方式</w:t>
            </w:r>
          </w:p>
        </w:tc>
      </w:tr>
      <w:tr w14:paraId="14D88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8E1E5D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confirmed_at</w:t>
            </w:r>
          </w:p>
        </w:tc>
        <w:tc>
          <w:tcPr>
            <w:tcW w:w="140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FF498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datetime</w:t>
            </w:r>
          </w:p>
        </w:tc>
        <w:tc>
          <w:tcPr>
            <w:tcW w:w="400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95E3B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NOT NULL, DEFAULT CURRENT_TIMESTAMP</w:t>
            </w:r>
          </w:p>
        </w:tc>
        <w:tc>
          <w:tcPr>
            <w:tcW w:w="186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CF1E4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确认时间</w:t>
            </w:r>
          </w:p>
        </w:tc>
      </w:tr>
    </w:tbl>
    <w:p w14:paraId="14264504">
      <w:pPr>
        <w:widowControl w:val="0"/>
        <w:spacing w:before="0" w:beforeAutospacing="1" w:after="120" w:afterAutospacing="1" w:line="360" w:lineRule="auto"/>
        <w:ind w:left="0" w:leftChars="0" w:firstLine="482" w:firstLineChars="200"/>
        <w:jc w:val="both"/>
        <w:outlineLvl w:val="9"/>
        <w:rPr>
          <w:rFonts w:hint="eastAsia" w:ascii="仿宋" w:hAnsi="Segoe UI" w:eastAsia="仿宋" w:cs="Segoe UI"/>
          <w:b/>
          <w:bCs/>
          <w:i w:val="0"/>
          <w:iCs w:val="0"/>
          <w:caps w:val="0"/>
          <w:color w:val="auto"/>
          <w:spacing w:val="0"/>
          <w:kern w:val="2"/>
          <w:sz w:val="24"/>
          <w:szCs w:val="19"/>
          <w:lang w:val="en-US" w:eastAsia="zh-CN" w:bidi="ar-SA"/>
        </w:rPr>
      </w:pPr>
      <w:r>
        <w:rPr>
          <w:rFonts w:hint="eastAsia" w:ascii="仿宋" w:hAnsi="Segoe UI" w:eastAsia="仿宋" w:cs="Segoe UI"/>
          <w:b/>
          <w:bCs/>
          <w:i w:val="0"/>
          <w:iCs w:val="0"/>
          <w:caps w:val="0"/>
          <w:color w:val="auto"/>
          <w:spacing w:val="0"/>
          <w:kern w:val="2"/>
          <w:sz w:val="24"/>
          <w:szCs w:val="19"/>
          <w:lang w:val="en-US" w:eastAsia="zh-CN" w:bidi="ar-SA"/>
        </w:rPr>
        <w:t>source字段枚举值</w:t>
      </w:r>
    </w:p>
    <w:p w14:paraId="762D3FC4">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ai_guess：AI自动匹配，用户未修改</w:t>
      </w:r>
    </w:p>
    <w:p w14:paraId="519BE3D9">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user_correct：AI自动匹配，用户手动修正</w:t>
      </w:r>
    </w:p>
    <w:p w14:paraId="4BE863C0">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user_manual：AI未匹配到，用户完全手动指定</w:t>
      </w:r>
    </w:p>
    <w:p w14:paraId="36E11018">
      <w:pPr>
        <w:widowControl w:val="0"/>
        <w:ind w:leftChars="0" w:firstLine="420" w:firstLineChars="0"/>
        <w:jc w:val="both"/>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b/>
          <w:bCs/>
          <w:i w:val="0"/>
          <w:iCs w:val="0"/>
          <w:caps w:val="0"/>
          <w:color w:val="auto"/>
          <w:spacing w:val="0"/>
          <w:kern w:val="2"/>
          <w:sz w:val="24"/>
          <w:szCs w:val="19"/>
          <w:lang w:val="en-US" w:eastAsia="zh-CN" w:bidi="ar-SA"/>
        </w:rPr>
        <w:t>索引：</w:t>
      </w:r>
      <m:oMath>
        <m:r>
          <m:rPr>
            <m:sty m:val="p"/>
          </m:rPr>
          <w:rPr>
            <w:rFonts w:hint="default" w:ascii="Cambria Math" w:hAnsi="Cambria Math" w:eastAsia="仿宋" w:cs="Segoe UI"/>
            <w:caps w:val="0"/>
            <w:color w:val="auto"/>
            <w:spacing w:val="0"/>
            <w:kern w:val="2"/>
            <w:sz w:val="24"/>
            <w:szCs w:val="19"/>
            <w:lang w:val="en-US" w:eastAsia="zh-CN" w:bidi="ar-SA"/>
          </w:rPr>
          <m:t>(use</m:t>
        </m:r>
        <m:r>
          <m:rPr>
            <m:sty m:val="p"/>
          </m:rPr>
          <w:rPr>
            <w:rFonts w:hint="eastAsia" w:ascii="Cambria Math" w:hAnsi="Cambria Math" w:eastAsia="仿宋" w:cs="Segoe UI"/>
            <w:caps w:val="0"/>
            <w:color w:val="auto"/>
            <w:spacing w:val="0"/>
            <w:kern w:val="2"/>
            <w:sz w:val="24"/>
            <w:szCs w:val="19"/>
            <w:lang w:val="en-US" w:eastAsia="zh-CN" w:bidi="ar-SA"/>
          </w:rPr>
          <m:t>r</m:t>
        </m:r>
        <m:r>
          <m:rPr>
            <m:sty m:val="p"/>
          </m:rPr>
          <w:rPr>
            <w:rFonts w:hint="default" w:ascii="Cambria Math" w:hAnsi="Cambria Math" w:eastAsia="仿宋" w:cs="Segoe UI"/>
            <w:caps w:val="0"/>
            <w:color w:val="auto"/>
            <w:spacing w:val="0"/>
            <w:kern w:val="2"/>
            <w:sz w:val="24"/>
            <w:szCs w:val="19"/>
            <w:lang w:val="en-US" w:eastAsia="zh-CN" w:bidi="ar-SA"/>
          </w:rPr>
          <m:t>_</m:t>
        </m:r>
        <m:r>
          <m:rPr>
            <m:sty m:val="p"/>
          </m:rPr>
          <w:rPr>
            <w:rFonts w:hint="eastAsia" w:ascii="Cambria Math" w:hAnsi="Cambria Math" w:eastAsia="仿宋" w:cs="Segoe UI"/>
            <w:caps w:val="0"/>
            <w:color w:val="auto"/>
            <w:spacing w:val="0"/>
            <w:kern w:val="2"/>
            <w:sz w:val="24"/>
            <w:szCs w:val="19"/>
            <w:lang w:val="en-US" w:eastAsia="zh-CN" w:bidi="ar-SA"/>
          </w:rPr>
          <m:t>i</m:t>
        </m:r>
        <m:r>
          <m:rPr>
            <m:sty m:val="p"/>
          </m:rPr>
          <w:rPr>
            <w:rFonts w:hint="default" w:ascii="Cambria Math" w:hAnsi="Cambria Math" w:eastAsia="仿宋" w:cs="Segoe UI"/>
            <w:caps w:val="0"/>
            <w:color w:val="auto"/>
            <w:spacing w:val="0"/>
            <w:kern w:val="2"/>
            <w:sz w:val="24"/>
            <w:szCs w:val="19"/>
            <w:lang w:val="en-US" w:eastAsia="zh-CN" w:bidi="ar-SA"/>
          </w:rPr>
          <m:t>d,fun</m:t>
        </m:r>
        <m:r>
          <m:rPr>
            <m:sty m:val="p"/>
          </m:rPr>
          <w:rPr>
            <w:rFonts w:hint="eastAsia" w:ascii="Cambria Math" w:hAnsi="Cambria Math" w:eastAsia="仿宋" w:cs="Segoe UI"/>
            <w:caps w:val="0"/>
            <w:color w:val="auto"/>
            <w:spacing w:val="0"/>
            <w:kern w:val="2"/>
            <w:sz w:val="24"/>
            <w:szCs w:val="19"/>
            <w:lang w:val="en-US" w:eastAsia="zh-CN" w:bidi="ar-SA"/>
          </w:rPr>
          <m:t>d</m:t>
        </m:r>
        <m:r>
          <m:rPr>
            <m:sty m:val="p"/>
          </m:rPr>
          <w:rPr>
            <w:rFonts w:hint="default" w:ascii="Cambria Math" w:hAnsi="Cambria Math" w:eastAsia="仿宋" w:cs="Segoe UI"/>
            <w:caps w:val="0"/>
            <w:color w:val="auto"/>
            <w:spacing w:val="0"/>
            <w:kern w:val="2"/>
            <w:sz w:val="24"/>
            <w:szCs w:val="19"/>
            <w:lang w:val="en-US" w:eastAsia="zh-CN" w:bidi="ar-SA"/>
          </w:rPr>
          <m:t>_</m:t>
        </m:r>
        <m:r>
          <m:rPr>
            <m:sty m:val="p"/>
          </m:rPr>
          <w:rPr>
            <w:rFonts w:hint="eastAsia" w:ascii="Cambria Math" w:hAnsi="Cambria Math" w:eastAsia="仿宋" w:cs="Segoe UI"/>
            <w:caps w:val="0"/>
            <w:color w:val="auto"/>
            <w:spacing w:val="0"/>
            <w:kern w:val="2"/>
            <w:sz w:val="24"/>
            <w:szCs w:val="19"/>
            <w:lang w:val="en-US" w:eastAsia="zh-CN" w:bidi="ar-SA"/>
          </w:rPr>
          <m:t>n</m:t>
        </m:r>
        <m:r>
          <m:rPr>
            <m:sty m:val="p"/>
          </m:rPr>
          <w:rPr>
            <w:rFonts w:hint="default" w:ascii="Cambria Math" w:hAnsi="Cambria Math" w:eastAsia="仿宋" w:cs="Segoe UI"/>
            <w:caps w:val="0"/>
            <w:color w:val="auto"/>
            <w:spacing w:val="0"/>
            <w:kern w:val="2"/>
            <w:sz w:val="24"/>
            <w:szCs w:val="19"/>
            <w:lang w:val="en-US" w:eastAsia="zh-CN" w:bidi="ar-SA"/>
          </w:rPr>
          <m:t>ame)</m:t>
        </m:r>
      </m:oMath>
      <w:r>
        <w:rPr>
          <w:rFonts w:hint="eastAsia" w:ascii="仿宋" w:hAnsi="Segoe UI" w:eastAsia="仿宋" w:cs="Segoe UI"/>
          <w:i w:val="0"/>
          <w:iCs w:val="0"/>
          <w:caps w:val="0"/>
          <w:color w:val="auto"/>
          <w:spacing w:val="0"/>
          <w:kern w:val="2"/>
          <w:sz w:val="24"/>
          <w:szCs w:val="19"/>
          <w:lang w:val="en-US" w:eastAsia="zh-CN" w:bidi="ar-SA"/>
        </w:rPr>
        <w:t>联合唯一索引。同一用户下，同一基金只能有一条映射记录。</w:t>
      </w:r>
    </w:p>
    <w:p w14:paraId="6A967B37">
      <w:pPr>
        <w:pStyle w:val="4"/>
        <w:bidi w:val="0"/>
        <w:rPr>
          <w:rFonts w:hint="eastAsia" w:ascii="仿宋" w:hAnsi="Segoe UI" w:eastAsia="仿宋" w:cs="Segoe UI"/>
          <w:i w:val="0"/>
          <w:iCs w:val="0"/>
          <w:caps w:val="0"/>
          <w:color w:val="auto"/>
          <w:spacing w:val="0"/>
          <w:kern w:val="2"/>
          <w:sz w:val="24"/>
          <w:szCs w:val="19"/>
          <w:lang w:val="en-US" w:eastAsia="zh-CN" w:bidi="ar-SA"/>
        </w:rPr>
      </w:pPr>
      <w:r>
        <w:rPr>
          <w:rFonts w:hint="default"/>
        </w:rPr>
        <w:t>6.7.3 自动匹配逻辑</w:t>
      </w:r>
    </w:p>
    <w:p w14:paraId="1DAF1297">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每次解析截图时，后端执行以下流程：</w:t>
      </w:r>
    </w:p>
    <w:p w14:paraId="5CA9E4A6">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AI解析返回基金名称列表</w:t>
      </w:r>
    </w:p>
    <w:p w14:paraId="3BF5BFF0">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批量查询fund_category_map表：SELECT fund_name, category FROM fund_category_map WHERE user_id = ? AND fund_name IN (...)</w:t>
      </w:r>
    </w:p>
    <w:p w14:paraId="451339DD">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命中的基金 → 直接使用映射表中的大类</w:t>
      </w:r>
    </w:p>
    <w:p w14:paraId="3F44B144">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未命中的基金 → 标记为“待确认”，大类字段留空</w:t>
      </w:r>
    </w:p>
    <w:p w14:paraId="6664E279">
      <w:pPr>
        <w:widowControl w:val="0"/>
        <w:spacing w:before="0" w:beforeAutospacing="1" w:after="120" w:afterAutospacing="1" w:line="360" w:lineRule="auto"/>
        <w:ind w:left="0" w:leftChars="0" w:firstLine="480" w:firstLineChars="200"/>
        <w:jc w:val="both"/>
        <w:outlineLvl w:val="9"/>
        <w:rPr>
          <w:rFonts w:hint="eastAsia" w:ascii="仿宋" w:hAnsi="Segoe UI" w:eastAsia="仿宋" w:cs="Segoe UI"/>
          <w:i w:val="0"/>
          <w:iCs w:val="0"/>
          <w:caps w:val="0"/>
          <w:color w:val="auto"/>
          <w:spacing w:val="0"/>
          <w:kern w:val="2"/>
          <w:sz w:val="24"/>
          <w:szCs w:val="19"/>
          <w:lang w:val="en-US" w:eastAsia="zh-CN" w:bidi="ar-SA"/>
        </w:rPr>
      </w:pPr>
      <w:r>
        <w:rPr>
          <w:rFonts w:hint="eastAsia" w:ascii="仿宋" w:hAnsi="Segoe UI" w:eastAsia="仿宋" w:cs="Segoe UI"/>
          <w:i w:val="0"/>
          <w:iCs w:val="0"/>
          <w:caps w:val="0"/>
          <w:color w:val="auto"/>
          <w:spacing w:val="0"/>
          <w:kern w:val="2"/>
          <w:sz w:val="24"/>
          <w:szCs w:val="19"/>
          <w:lang w:val="en-US" w:eastAsia="zh-CN" w:bidi="ar-SA"/>
        </w:rPr>
        <w:t>前端展示确认面板后，用户手动选择的基金 → 写入fund_category_map表</w:t>
      </w:r>
    </w:p>
    <w:p w14:paraId="69A43D35">
      <w:pPr>
        <w:pStyle w:val="4"/>
        <w:bidi w:val="0"/>
      </w:pPr>
      <w:r>
        <w:rPr>
          <w:rFonts w:hint="eastAsia"/>
          <w:lang w:val="en-US" w:eastAsia="zh-CN"/>
        </w:rPr>
        <w:t>6.7.4 初次解析与增量解析</w:t>
      </w:r>
    </w:p>
    <w:p w14:paraId="785C8B2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rPr>
      </w:pPr>
      <w:r>
        <w:rPr>
          <w:rFonts w:hint="eastAsia" w:ascii="仿宋" w:hAnsi="Segoe UI" w:eastAsia="仿宋" w:cs="Segoe UI"/>
          <w:i w:val="0"/>
          <w:iCs w:val="0"/>
          <w:caps w:val="0"/>
          <w:color w:val="auto"/>
          <w:spacing w:val="0"/>
          <w:sz w:val="24"/>
          <w:szCs w:val="19"/>
          <w:lang w:val="en-US" w:eastAsia="zh-CN"/>
        </w:rPr>
        <w:t>初次解析（fund_category_map表为空）：所有基金均需用户手动确认大类归属</w:t>
      </w:r>
    </w:p>
    <w:p w14:paraId="4FF32EB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lang w:val="en-US"/>
        </w:rPr>
      </w:pPr>
      <w:r>
        <w:rPr>
          <w:rFonts w:hint="eastAsia" w:ascii="仿宋" w:hAnsi="Segoe UI" w:eastAsia="仿宋" w:cs="Segoe UI"/>
          <w:i w:val="0"/>
          <w:iCs w:val="0"/>
          <w:caps w:val="0"/>
          <w:color w:val="auto"/>
          <w:spacing w:val="0"/>
          <w:sz w:val="24"/>
          <w:szCs w:val="19"/>
          <w:lang w:val="en-US" w:eastAsia="zh-CN"/>
        </w:rPr>
        <w:t>增量解析（fund_category_map表非空）：已匹配的基金自动填充，仅新出现的基金需要用户确认</w:t>
      </w:r>
    </w:p>
    <w:p w14:paraId="72787ED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hint="default" w:ascii="仿宋" w:hAnsi="Segoe UI" w:eastAsia="仿宋" w:cs="Segoe UI"/>
          <w:i w:val="0"/>
          <w:iCs w:val="0"/>
          <w:caps w:val="0"/>
          <w:color w:val="0F1115"/>
          <w:spacing w:val="0"/>
          <w:sz w:val="24"/>
          <w:szCs w:val="19"/>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9634CEF">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第七章 前端页面结构</w:t>
      </w:r>
    </w:p>
    <w:p w14:paraId="18AD8D7E">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rPr>
      </w:pPr>
      <w:r>
        <w:rPr>
          <w:rFonts w:hint="default" w:ascii="仿宋" w:hAnsi="Segoe UI" w:eastAsia="仿宋" w:cs="Segoe UI"/>
          <w:b/>
          <w:bCs/>
          <w:caps w:val="0"/>
          <w:color w:val="auto"/>
          <w:spacing w:val="0"/>
          <w:sz w:val="30"/>
          <w:szCs w:val="24"/>
          <w:shd w:val="clear" w:fill="FFFFFF"/>
        </w:rPr>
        <w:t>7.1 整体布局</w:t>
      </w:r>
    </w:p>
    <w:p w14:paraId="4F9006EA">
      <w:pPr>
        <w:pStyle w:val="7"/>
        <w:keepNext w:val="0"/>
        <w:keepLines w:val="0"/>
        <w:widowControl/>
        <w:suppressLineNumbers w:val="0"/>
        <w:shd w:val="clear" w:fill="FFFFFF"/>
        <w:spacing w:before="192" w:beforeAutospacing="0" w:after="192" w:afterAutospacing="0"/>
        <w:ind w:left="0" w:right="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采用“侧边栏 + 主内容区”经典布局。侧边栏固定240px宽度，可折叠为窄条（只显示图标），主内容区根据菜单切换，独立滚动。</w:t>
      </w:r>
    </w:p>
    <w:p w14:paraId="13952730">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配色方案：主色深蓝#0A59F7，背景浅灰#F5F5F5，卡片白色#FFFFFF，涨/正红色#FF4D4F，跌/负绿色#52C41A，事件标记黄色#FAAD14，警告/待确认浅橙#FFF3E0，灰显/禁用#D9D9D9。</w:t>
      </w:r>
    </w:p>
    <w:p w14:paraId="268FC99A">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字体：系统默认（苹方/微软雅黑），数字用等宽字体保证金额对齐。圆角统一8px（卡片）、4px（按钮）、2px（标签）。卡片阴影0 2px 8px rgba(0,0,0,0.08)。所有间距为8的倍数（8/16/24/32）。</w:t>
      </w:r>
    </w:p>
    <w:p w14:paraId="14276721">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sz w:val="24"/>
          <w:szCs w:val="19"/>
        </w:rPr>
      </w:pPr>
      <w:r>
        <w:rPr>
          <w:rFonts w:hint="default" w:ascii="仿宋" w:hAnsi="Segoe UI" w:eastAsia="仿宋" w:cs="Segoe UI"/>
          <w:i w:val="0"/>
          <w:iCs w:val="0"/>
          <w:caps w:val="0"/>
          <w:color w:val="auto"/>
          <w:spacing w:val="0"/>
          <w:kern w:val="2"/>
          <w:sz w:val="24"/>
          <w:szCs w:val="19"/>
          <w:shd w:val="clear" w:fill="FFFFFF"/>
          <w:lang w:val="en-US" w:eastAsia="zh-CN" w:bidi="ar-SA"/>
        </w:rPr>
        <w:t>Phase 1-3不做移动端适配，面向桌面端（≥1024px宽）。Phase 5考虑移动端：侧边栏改为底部Tab导航，主内容区改为单列布局。</w:t>
      </w:r>
    </w:p>
    <w:p w14:paraId="05ADF99A">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仿宋" w:hAnsi="Segoe UI" w:eastAsia="仿宋" w:cs="Segoe UI"/>
          <w:b/>
          <w:bCs/>
          <w:caps w:val="0"/>
          <w:color w:val="auto"/>
          <w:spacing w:val="0"/>
          <w:kern w:val="0"/>
          <w:sz w:val="30"/>
          <w:szCs w:val="24"/>
          <w:shd w:val="clear" w:fill="FFFFFF"/>
          <w:lang w:val="en-US" w:eastAsia="zh-CN" w:bidi="ar"/>
        </w:rPr>
      </w:pPr>
      <w:r>
        <w:rPr>
          <w:rFonts w:hint="default" w:ascii="仿宋" w:hAnsi="Segoe UI" w:eastAsia="仿宋" w:cs="Segoe UI"/>
          <w:b/>
          <w:bCs/>
          <w:caps w:val="0"/>
          <w:color w:val="auto"/>
          <w:spacing w:val="0"/>
          <w:sz w:val="30"/>
          <w:szCs w:val="24"/>
          <w:shd w:val="clear" w:fill="FFFFFF"/>
        </w:rPr>
        <w:t xml:space="preserve">7.2 </w:t>
      </w:r>
      <w:r>
        <w:rPr>
          <w:rFonts w:hint="default" w:ascii="仿宋" w:hAnsi="Segoe UI" w:eastAsia="仿宋" w:cs="Segoe UI"/>
          <w:b/>
          <w:bCs/>
          <w:caps w:val="0"/>
          <w:color w:val="auto"/>
          <w:spacing w:val="0"/>
          <w:kern w:val="0"/>
          <w:sz w:val="30"/>
          <w:szCs w:val="24"/>
          <w:shd w:val="clear" w:fill="FFFFFF"/>
          <w:lang w:val="en-US" w:eastAsia="zh-CN" w:bidi="ar"/>
        </w:rPr>
        <w:t>首页与侧边栏的分工逻辑</w:t>
      </w:r>
    </w:p>
    <w:p w14:paraId="7977994F">
      <w:pPr>
        <w:pStyle w:val="7"/>
        <w:keepNext w:val="0"/>
        <w:keepLines w:val="0"/>
        <w:widowControl/>
        <w:suppressLineNumbers w:val="0"/>
        <w:spacing w:before="192" w:beforeAutospacing="0" w:after="192" w:afterAutospacing="0"/>
        <w:ind w:left="0" w:right="0" w:firstLine="420" w:firstLineChars="0"/>
        <w:rPr>
          <w:rFonts w:hint="default" w:ascii="仿宋" w:hAnsi="Segoe UI" w:eastAsia="仿宋" w:cs="Segoe UI"/>
          <w:i w:val="0"/>
          <w:iCs w:val="0"/>
          <w:caps w:val="0"/>
          <w:color w:val="auto"/>
          <w:spacing w:val="0"/>
          <w:sz w:val="24"/>
          <w:szCs w:val="19"/>
          <w:lang w:val="en-US" w:eastAsia="zh-CN"/>
        </w:rPr>
      </w:pPr>
      <w:r>
        <w:rPr>
          <w:rFonts w:hint="default" w:ascii="仿宋" w:hAnsi="Segoe UI" w:eastAsia="仿宋" w:cs="Segoe UI"/>
          <w:i w:val="0"/>
          <w:iCs w:val="0"/>
          <w:caps w:val="0"/>
          <w:color w:val="auto"/>
          <w:spacing w:val="0"/>
          <w:kern w:val="2"/>
          <w:sz w:val="24"/>
          <w:szCs w:val="19"/>
          <w:shd w:val="clear" w:fill="FFFFFF"/>
          <w:lang w:val="en-US" w:eastAsia="zh-CN" w:bidi="ar-SA"/>
        </w:rPr>
        <w:t>首页只放三样东西：数据总览、核心操作入口、最近动态。</w:t>
      </w:r>
    </w:p>
    <w:p w14:paraId="211E4BD2">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sz w:val="24"/>
          <w:szCs w:val="19"/>
          <w:lang w:val="en-US" w:eastAsia="zh-CN"/>
        </w:rPr>
      </w:pPr>
      <w:r>
        <w:rPr>
          <w:rFonts w:hint="default" w:ascii="仿宋" w:hAnsi="Segoe UI" w:eastAsia="仿宋" w:cs="Segoe UI"/>
          <w:i w:val="0"/>
          <w:iCs w:val="0"/>
          <w:caps w:val="0"/>
          <w:color w:val="auto"/>
          <w:spacing w:val="0"/>
          <w:kern w:val="2"/>
          <w:sz w:val="24"/>
          <w:szCs w:val="19"/>
          <w:shd w:val="clear" w:fill="FFFFFF"/>
          <w:lang w:val="en-US" w:eastAsia="zh-CN" w:bidi="ar-SA"/>
        </w:rPr>
        <w:t>侧边栏放所有功能页面的导航入口，包括首页本身也在侧边栏菜单中。</w:t>
      </w:r>
    </w:p>
    <w:p w14:paraId="2EB83B8C">
      <w:pPr>
        <w:keepNext w:val="0"/>
        <w:keepLines w:val="0"/>
        <w:widowControl/>
        <w:suppressLineNumbers w:val="0"/>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分工原则：首页是“一眼看清现状”和“快速开始操作”的地方。侧边栏是“进入具体功能模块”的通道。用户打开FinControl，第一眼看到的是资产总览和核心数据，如果需要深入操作（比如查看历史净值、管理数据源），再通过侧边栏进入对应页面。</w:t>
      </w:r>
    </w:p>
    <w:p w14:paraId="59576578">
      <w:pPr>
        <w:pStyle w:val="7"/>
        <w:keepNext w:val="0"/>
        <w:keepLines w:val="0"/>
        <w:widowControl/>
        <w:suppressLineNumbers w:val="0"/>
        <w:spacing w:before="192" w:beforeAutospacing="0" w:after="192" w:afterAutospacing="0" w:line="336" w:lineRule="atLeast"/>
        <w:ind w:left="240" w:right="240"/>
      </w:pPr>
      <w:r>
        <w:rPr>
          <w:rFonts w:hint="default" w:ascii="仿宋" w:hAnsi="Segoe UI" w:eastAsia="仿宋" w:cs="Segoe UI"/>
          <w:i w:val="0"/>
          <w:iCs w:val="0"/>
          <w:caps w:val="0"/>
          <w:color w:val="auto"/>
          <w:spacing w:val="0"/>
          <w:kern w:val="2"/>
          <w:sz w:val="24"/>
          <w:szCs w:val="19"/>
          <w:shd w:val="clear" w:fill="FFFFFF"/>
          <w:lang w:val="en-US" w:eastAsia="zh-CN" w:bidi="ar-SA"/>
        </w:rPr>
        <w:t>首页具体布局：</w:t>
      </w:r>
    </w:p>
    <w:p w14:paraId="0E8C50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2" w:afterAutospacing="0" w:line="240" w:lineRule="atLeast"/>
        <w:ind w:left="240" w:right="24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150093BA">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w:t>
      </w:r>
    </w:p>
    <w:p w14:paraId="7B054E23">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FinControl                        [最新快照：2026-06-09]      │</w:t>
      </w:r>
    </w:p>
    <w:p w14:paraId="23209A50">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w:t>
      </w:r>
    </w:p>
    <w:p w14:paraId="01109104">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   │</w:t>
      </w:r>
    </w:p>
    <w:p w14:paraId="3CA5EC68">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余额类      │  │  六大类总值  │  │  累计收益率           │   │</w:t>
      </w:r>
    </w:p>
    <w:p w14:paraId="36CA40E2">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¥ 418.46   │  │ ¥ 6,480.91  │  │  +8.42%             │   │</w:t>
      </w:r>
    </w:p>
    <w:p w14:paraId="2FE46D6C">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   │</w:t>
      </w:r>
    </w:p>
    <w:p w14:paraId="3E42D617">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w:t>
      </w:r>
    </w:p>
    <w:p w14:paraId="2828EA0B">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w:t>
      </w:r>
    </w:p>
    <w:p w14:paraId="3CBA7796">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六大类占比（环形图）     │  │  最近操作（时间线）       │  │</w:t>
      </w:r>
    </w:p>
    <w:p w14:paraId="197435E4">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w:t>
      </w:r>
    </w:p>
    <w:p w14:paraId="325FE2A1">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w:t>
      </w:r>
    </w:p>
    <w:p w14:paraId="30706601">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              │</w:t>
      </w:r>
    </w:p>
    <w:p w14:paraId="50E4D390">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上传截图 │  │ 📊 月度操作 │  │ 🤖 AI顾问  │              │</w:t>
      </w:r>
    </w:p>
    <w:p w14:paraId="5488E81A">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  └────────────┘  └────────────┘              │</w:t>
      </w:r>
    </w:p>
    <w:p w14:paraId="5470BEE9">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w:t>
      </w:r>
    </w:p>
    <w:p w14:paraId="01D8ACB7">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  [六大类明细表格，可展开/折叠，默认折叠]                        │</w:t>
      </w:r>
    </w:p>
    <w:p w14:paraId="0794A3DD">
      <w:pPr>
        <w:pStyle w:val="7"/>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val="0"/>
          <w:bCs w:val="0"/>
          <w:i w:val="0"/>
          <w:iCs w:val="0"/>
          <w:caps w:val="0"/>
          <w:color w:val="0F1115"/>
          <w:spacing w:val="0"/>
          <w:sz w:val="19"/>
          <w:szCs w:val="19"/>
          <w:shd w:val="clear" w:fill="FFFFFF"/>
        </w:rPr>
      </w:pPr>
      <w:r>
        <w:rPr>
          <w:rFonts w:hint="default" w:ascii="Segoe UI" w:hAnsi="Segoe UI" w:eastAsia="Segoe UI" w:cs="Segoe UI"/>
          <w:b w:val="0"/>
          <w:bCs w:val="0"/>
          <w:i w:val="0"/>
          <w:iCs w:val="0"/>
          <w:caps w:val="0"/>
          <w:color w:val="0F1115"/>
          <w:spacing w:val="0"/>
          <w:sz w:val="19"/>
          <w:szCs w:val="19"/>
          <w:shd w:val="clear" w:fill="FFFFFF"/>
        </w:rPr>
        <w:t>└──────────────────────────────────────────────────────────────┘</w:t>
      </w:r>
    </w:p>
    <w:p w14:paraId="6A59B53B">
      <w:pPr>
        <w:pStyle w:val="7"/>
        <w:keepNext w:val="0"/>
        <w:keepLines w:val="0"/>
        <w:widowControl/>
        <w:suppressLineNumbers w:val="0"/>
        <w:spacing w:before="192" w:beforeAutospacing="0" w:after="192" w:afterAutospacing="0" w:line="336" w:lineRule="atLeast"/>
        <w:ind w:left="240" w:right="240"/>
      </w:pPr>
      <w:r>
        <w:rPr>
          <w:rFonts w:hint="default" w:ascii="Segoe UI" w:hAnsi="Segoe UI" w:eastAsia="Segoe UI" w:cs="Segoe UI"/>
          <w:b/>
          <w:bCs/>
          <w:i w:val="0"/>
          <w:iCs w:val="0"/>
          <w:caps w:val="0"/>
          <w:color w:val="0F1115"/>
          <w:spacing w:val="0"/>
          <w:sz w:val="19"/>
          <w:szCs w:val="19"/>
          <w:shd w:val="clear" w:fill="FFFFFF"/>
        </w:rPr>
        <w:t>设计要点</w:t>
      </w:r>
      <w:r>
        <w:rPr>
          <w:rFonts w:hint="default" w:ascii="Segoe UI" w:hAnsi="Segoe UI" w:eastAsia="Segoe UI" w:cs="Segoe UI"/>
          <w:i w:val="0"/>
          <w:iCs w:val="0"/>
          <w:caps w:val="0"/>
          <w:color w:val="0F1115"/>
          <w:spacing w:val="0"/>
          <w:sz w:val="19"/>
          <w:szCs w:val="19"/>
          <w:shd w:val="clear" w:fill="FFFFFF"/>
        </w:rPr>
        <w:t>：</w:t>
      </w:r>
    </w:p>
    <w:p w14:paraId="3DC5DDA6">
      <w:pPr>
        <w:pStyle w:val="7"/>
        <w:keepNext w:val="0"/>
        <w:keepLines w:val="0"/>
        <w:widowControl/>
        <w:suppressLineNumbers w:val="0"/>
        <w:spacing w:before="0" w:beforeAutospacing="0" w:after="0" w:afterAutospacing="0" w:line="336" w:lineRule="atLeast"/>
        <w:ind w:right="24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顶部三张数据卡片并排，数字用大号加粗字体</w:t>
      </w:r>
    </w:p>
    <w:p w14:paraId="4E77D588">
      <w:pPr>
        <w:pStyle w:val="7"/>
        <w:keepNext w:val="0"/>
        <w:keepLines w:val="0"/>
        <w:widowControl/>
        <w:suppressLineNumbers w:val="0"/>
        <w:spacing w:before="0" w:beforeAutospacing="0" w:after="0" w:afterAutospacing="0" w:line="336" w:lineRule="atLeast"/>
        <w:ind w:right="24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环形图+最近操作时间线并排，各占50%宽度。环形图鼠标悬停显示具体金额和占比</w:t>
      </w:r>
    </w:p>
    <w:p w14:paraId="6E5D4695">
      <w:pPr>
        <w:pStyle w:val="7"/>
        <w:keepNext w:val="0"/>
        <w:keepLines w:val="0"/>
        <w:widowControl/>
        <w:suppressLineNumbers w:val="0"/>
        <w:spacing w:before="0" w:beforeAutospacing="0" w:after="0" w:afterAutospacing="0" w:line="336" w:lineRule="atLeast"/>
        <w:ind w:right="24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底部三个快捷操作卡片（上传截图、月度操作、AI顾问），每张有图标、标题、一行简短描述。悬停轻微上浮，点击跳转对应页面</w:t>
      </w:r>
    </w:p>
    <w:p w14:paraId="64CDB52A">
      <w:pPr>
        <w:pStyle w:val="7"/>
        <w:keepNext w:val="0"/>
        <w:keepLines w:val="0"/>
        <w:widowControl/>
        <w:suppressLineNumbers w:val="0"/>
        <w:spacing w:before="0" w:beforeAutospacing="0" w:after="0" w:afterAutospacing="0" w:line="336" w:lineRule="atLeast"/>
        <w:ind w:right="24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六大类明细表格默认折叠。表头：大类名称、金额、占比、目标比例、偏差。偏差红绿色标注。每行可点击跳转该大类历史详情</w:t>
      </w:r>
    </w:p>
    <w:p w14:paraId="3D2B6435">
      <w:pPr>
        <w:pStyle w:val="4"/>
        <w:keepNext w:val="0"/>
        <w:keepLines w:val="0"/>
        <w:widowControl/>
        <w:suppressLineNumbers w:val="0"/>
        <w:spacing w:before="384" w:beforeAutospacing="0" w:after="192" w:afterAutospacing="0" w:line="360" w:lineRule="atLeast"/>
        <w:ind w:left="240" w:right="24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7.3 侧边栏菜单结构</w:t>
      </w:r>
    </w:p>
    <w:p w14:paraId="0E7B6C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2" w:afterAutospacing="0" w:line="240" w:lineRule="atLeast"/>
        <w:ind w:left="240" w:right="24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59D75C08">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w:t>
      </w:r>
    </w:p>
    <w:p w14:paraId="11A87C3D">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FinControl  │  ← Logo + 名称，点击回首页</w:t>
      </w:r>
    </w:p>
    <w:p w14:paraId="7910C384">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w:t>
      </w:r>
    </w:p>
    <w:p w14:paraId="5FF776BD">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首页     │  ← 当前高亮</w:t>
      </w:r>
    </w:p>
    <w:p w14:paraId="1520611D">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数据管理 │  ← Phase 1</w:t>
      </w:r>
    </w:p>
    <w:p w14:paraId="038D4978">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月度操作 │  ← Phase 2</w:t>
      </w:r>
    </w:p>
    <w:p w14:paraId="680D9DB2">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资产配置 │  ← Phase 2</w:t>
      </w:r>
    </w:p>
    <w:p w14:paraId="5F10974D">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净值曲线 │  ← Phase 3</w:t>
      </w:r>
    </w:p>
    <w:p w14:paraId="66AEF76B">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比例演化 │  ← Phase 3</w:t>
      </w:r>
    </w:p>
    <w:p w14:paraId="3A4BDC46">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AI顾问   │  ← Phase 1</w:t>
      </w:r>
    </w:p>
    <w:p w14:paraId="121FCC80">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w:t>
      </w:r>
    </w:p>
    <w:p w14:paraId="2E7594D5">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季度操作 │  ← 灰显，“敬请期待”</w:t>
      </w:r>
    </w:p>
    <w:p w14:paraId="3F509A6B">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  │</w:t>
      </w:r>
    </w:p>
    <w:p w14:paraId="6EE34436">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  [折叠按钮]  │</w:t>
      </w:r>
    </w:p>
    <w:p w14:paraId="4A1BA3CA">
      <w:pPr>
        <w:pStyle w:val="7"/>
        <w:keepNext w:val="0"/>
        <w:keepLines w:val="0"/>
        <w:widowControl/>
        <w:suppressLineNumbers w:val="0"/>
        <w:spacing w:before="192" w:beforeAutospacing="0" w:after="192" w:afterAutospacing="0" w:line="336" w:lineRule="atLeast"/>
        <w:ind w:left="240" w:right="240"/>
        <w:rPr>
          <w:rFonts w:hint="default" w:ascii="Consolas" w:hAnsi="Consolas" w:eastAsia="Consolas" w:cs="Consolas"/>
          <w:i w:val="0"/>
          <w:iCs w:val="0"/>
          <w:caps w:val="0"/>
          <w:color w:val="0F1115"/>
          <w:spacing w:val="0"/>
          <w:sz w:val="15"/>
          <w:szCs w:val="15"/>
          <w:shd w:val="clear" w:fill="FFFFFF"/>
        </w:rPr>
      </w:pPr>
      <w:r>
        <w:rPr>
          <w:rFonts w:hint="default" w:ascii="Consolas" w:hAnsi="Consolas" w:eastAsia="Consolas" w:cs="Consolas"/>
          <w:i w:val="0"/>
          <w:iCs w:val="0"/>
          <w:caps w:val="0"/>
          <w:color w:val="0F1115"/>
          <w:spacing w:val="0"/>
          <w:sz w:val="15"/>
          <w:szCs w:val="15"/>
          <w:shd w:val="clear" w:fill="FFFFFF"/>
        </w:rPr>
        <w:t>└─────────────┘</w:t>
      </w:r>
    </w:p>
    <w:p w14:paraId="13A83B5D">
      <w:pPr>
        <w:pStyle w:val="7"/>
        <w:keepNext w:val="0"/>
        <w:keepLines w:val="0"/>
        <w:widowControl/>
        <w:suppressLineNumbers w:val="0"/>
        <w:spacing w:before="0" w:beforeAutospacing="0" w:after="0" w:afterAutospacing="0" w:line="336" w:lineRule="atLeast"/>
        <w:ind w:right="24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菜单项顺序按使用频率排序。“季度操作台”灰色显示，不可点击，悬停显示tooltip：“6月末首次实战后开放”。</w:t>
      </w:r>
    </w:p>
    <w:p w14:paraId="5276EA46">
      <w:pPr>
        <w:pStyle w:val="4"/>
        <w:keepNext w:val="0"/>
        <w:keepLines w:val="0"/>
        <w:widowControl/>
        <w:suppressLineNumbers w:val="0"/>
        <w:spacing w:before="384" w:beforeAutospacing="0" w:after="192" w:afterAutospacing="0" w:line="360" w:lineRule="atLeast"/>
        <w:ind w:left="240" w:right="24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7.4 各页面功能细化</w:t>
      </w:r>
    </w:p>
    <w:p w14:paraId="7B1434DA">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7.4.1 首页</w:t>
      </w:r>
      <w:r>
        <w:rPr>
          <w:rFonts w:hint="default" w:ascii="宋体" w:hAnsi="宋体" w:eastAsia="宋体" w:cs="宋体"/>
          <w:b/>
          <w:bCs/>
          <w:i w:val="0"/>
          <w:iCs w:val="0"/>
          <w:caps w:val="0"/>
          <w:color w:val="0F1115"/>
          <w:spacing w:val="0"/>
          <w:sz w:val="27"/>
          <w:szCs w:val="27"/>
          <w:shd w:val="clear" w:fill="FFFFFF"/>
        </w:rPr>
        <w:t>（</w:t>
      </w:r>
      <w:r>
        <w:rPr>
          <w:rStyle w:val="11"/>
          <w:rFonts w:hint="eastAsia" w:ascii="宋体" w:hAnsi="宋体" w:eastAsia="宋体" w:cs="宋体"/>
          <w:b/>
          <w:bCs/>
          <w:i w:val="0"/>
          <w:iCs w:val="0"/>
          <w:caps w:val="0"/>
          <w:color w:val="0F1115"/>
          <w:spacing w:val="0"/>
          <w:sz w:val="27"/>
          <w:szCs w:val="27"/>
          <w:shd w:val="clear" w:fill="EBEEF2"/>
        </w:rPr>
        <w:t>/</w:t>
      </w:r>
      <w:r>
        <w:rPr>
          <w:rFonts w:hint="default" w:ascii="宋体" w:hAnsi="宋体" w:eastAsia="宋体" w:cs="宋体"/>
          <w:b/>
          <w:bCs/>
          <w:i w:val="0"/>
          <w:iCs w:val="0"/>
          <w:caps w:val="0"/>
          <w:color w:val="0F1115"/>
          <w:spacing w:val="0"/>
          <w:sz w:val="27"/>
          <w:szCs w:val="27"/>
          <w:shd w:val="clear" w:fill="FFFFFF"/>
        </w:rPr>
        <w:t>）</w:t>
      </w:r>
    </w:p>
    <w:p w14:paraId="6183B22E">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数据卡片区</w:t>
      </w:r>
      <w:r>
        <w:rPr>
          <w:rFonts w:hint="eastAsia" w:ascii="仿宋" w:hAnsi="仿宋" w:eastAsia="仿宋" w:cs="仿宋"/>
          <w:i w:val="0"/>
          <w:iCs w:val="0"/>
          <w:caps w:val="0"/>
          <w:color w:val="0F1115"/>
          <w:spacing w:val="0"/>
          <w:sz w:val="24"/>
          <w:szCs w:val="24"/>
          <w:shd w:val="clear" w:fill="FFFFFF"/>
        </w:rPr>
        <w:t>：余额类、六大类总值、累计收益率三张卡片并排，白色底，圆角，轻微阴影。</w:t>
      </w:r>
    </w:p>
    <w:p w14:paraId="7F2E1152">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环形图+最近操作</w:t>
      </w:r>
      <w:r>
        <w:rPr>
          <w:rFonts w:hint="eastAsia" w:ascii="仿宋" w:hAnsi="仿宋" w:eastAsia="仿宋" w:cs="仿宋"/>
          <w:i w:val="0"/>
          <w:iCs w:val="0"/>
          <w:caps w:val="0"/>
          <w:color w:val="0F1115"/>
          <w:spacing w:val="0"/>
          <w:sz w:val="24"/>
          <w:szCs w:val="24"/>
          <w:shd w:val="clear" w:fill="FFFFFF"/>
        </w:rPr>
        <w:t>：环形图用ECharts/Recharts渲染。最近操作用时间线组件展示最近3-5条记录（截图解析、月度操作、手动输入），让用户感知系统正常工作。</w:t>
      </w:r>
    </w:p>
    <w:p w14:paraId="1BEADBCC">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快捷操作卡片</w:t>
      </w:r>
      <w:r>
        <w:rPr>
          <w:rFonts w:hint="eastAsia" w:ascii="仿宋" w:hAnsi="仿宋" w:eastAsia="仿宋" w:cs="仿宋"/>
          <w:i w:val="0"/>
          <w:iCs w:val="0"/>
          <w:caps w:val="0"/>
          <w:color w:val="0F1115"/>
          <w:spacing w:val="0"/>
          <w:sz w:val="24"/>
          <w:szCs w:val="24"/>
          <w:shd w:val="clear" w:fill="FFFFFF"/>
        </w:rPr>
        <w:t>：三张卡片，悬停轻微上浮，点击跳转。</w:t>
      </w:r>
    </w:p>
    <w:p w14:paraId="498862BC">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六大类明细表格</w:t>
      </w:r>
      <w:r>
        <w:rPr>
          <w:rFonts w:hint="eastAsia" w:ascii="仿宋" w:hAnsi="仿宋" w:eastAsia="仿宋" w:cs="仿宋"/>
          <w:i w:val="0"/>
          <w:iCs w:val="0"/>
          <w:caps w:val="0"/>
          <w:color w:val="0F1115"/>
          <w:spacing w:val="0"/>
          <w:sz w:val="24"/>
          <w:szCs w:val="24"/>
          <w:shd w:val="clear" w:fill="FFFFFF"/>
        </w:rPr>
        <w:t>：默认折叠。点击展开后显示完整六大类明细。</w:t>
      </w:r>
    </w:p>
    <w:p w14:paraId="70DE2C65">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7.4.2 数据管理</w:t>
      </w:r>
      <w:r>
        <w:rPr>
          <w:rFonts w:hint="default" w:ascii="宋体" w:hAnsi="宋体" w:eastAsia="宋体" w:cs="宋体"/>
          <w:b/>
          <w:bCs/>
          <w:i w:val="0"/>
          <w:iCs w:val="0"/>
          <w:caps w:val="0"/>
          <w:color w:val="0F1115"/>
          <w:spacing w:val="0"/>
          <w:sz w:val="27"/>
          <w:szCs w:val="27"/>
          <w:shd w:val="clear" w:fill="FFFFFF"/>
        </w:rPr>
        <w:t>（</w:t>
      </w:r>
      <w:r>
        <w:rPr>
          <w:rStyle w:val="11"/>
          <w:rFonts w:hint="default" w:ascii="宋体" w:hAnsi="宋体" w:eastAsia="宋体" w:cs="宋体"/>
          <w:b/>
          <w:bCs/>
          <w:i w:val="0"/>
          <w:iCs w:val="0"/>
          <w:caps w:val="0"/>
          <w:color w:val="0F1115"/>
          <w:spacing w:val="0"/>
          <w:sz w:val="27"/>
          <w:szCs w:val="27"/>
          <w:shd w:val="clear" w:fill="EBEEF2"/>
        </w:rPr>
        <w:t>/data</w:t>
      </w:r>
      <w:r>
        <w:rPr>
          <w:rFonts w:hint="default" w:ascii="宋体" w:hAnsi="宋体" w:eastAsia="宋体" w:cs="宋体"/>
          <w:b/>
          <w:bCs/>
          <w:i w:val="0"/>
          <w:iCs w:val="0"/>
          <w:caps w:val="0"/>
          <w:color w:val="0F1115"/>
          <w:spacing w:val="0"/>
          <w:sz w:val="27"/>
          <w:szCs w:val="27"/>
          <w:shd w:val="clear" w:fill="FFFFFF"/>
        </w:rPr>
        <w:t>）</w:t>
      </w:r>
    </w:p>
    <w:p w14:paraId="6CBD2358">
      <w:pPr>
        <w:pStyle w:val="7"/>
        <w:keepNext w:val="0"/>
        <w:keepLines w:val="0"/>
        <w:widowControl/>
        <w:suppressLineNumbers w:val="0"/>
        <w:shd w:val="clear" w:fill="FFFFFF"/>
        <w:spacing w:before="192" w:beforeAutospacing="0" w:after="192" w:afterAutospacing="0"/>
        <w:ind w:left="0" w:right="0" w:firstLine="420" w:firstLineChars="0"/>
        <w:rPr>
          <w:rFonts w:hint="eastAsia"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数据管理页面定位为“以对话形式呈现的智能数据采集终端”，包含两个子功能：</w:t>
      </w:r>
    </w:p>
    <w:p w14:paraId="3B8285A6">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b/>
          <w:bCs/>
          <w:i w:val="0"/>
          <w:iCs w:val="0"/>
          <w:caps w:val="0"/>
          <w:color w:val="0F1115"/>
          <w:spacing w:val="0"/>
          <w:kern w:val="2"/>
          <w:sz w:val="24"/>
          <w:szCs w:val="24"/>
          <w:shd w:val="clear" w:fill="FFFFFF"/>
          <w:lang w:val="en-US" w:eastAsia="zh-CN" w:bidi="ar-SA"/>
        </w:rPr>
        <w:t>截图解析对话（主功能）：</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用户上传截图后，系统自动创建截图解析对话，以对话气泡形式展示AI返回的完整资产明细报告。用户在对话气泡中点击“确认入库”，触发大类确认面板，确认后数据写入数据库。详细工作流见5.6节。</w:t>
      </w:r>
    </w:p>
    <w:p w14:paraId="20143A0B">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eastAsia" w:ascii="仿宋" w:hAnsi="仿宋" w:eastAsia="仿宋" w:cs="仿宋"/>
          <w:sz w:val="24"/>
          <w:szCs w:val="24"/>
        </w:rPr>
      </w:pPr>
      <w:r>
        <w:rPr>
          <w:rFonts w:hint="default" w:ascii="仿宋" w:hAnsi="仿宋" w:eastAsia="仿宋" w:cs="仿宋"/>
          <w:b/>
          <w:bCs/>
          <w:i w:val="0"/>
          <w:iCs w:val="0"/>
          <w:caps w:val="0"/>
          <w:color w:val="0F1115"/>
          <w:spacing w:val="0"/>
          <w:kern w:val="2"/>
          <w:sz w:val="24"/>
          <w:szCs w:val="24"/>
          <w:shd w:val="clear" w:fill="FFFFFF"/>
          <w:lang w:val="en-US" w:eastAsia="zh-CN" w:bidi="ar-SA"/>
        </w:rPr>
        <w:t>解析日志（辅助功能）：</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展示历史上传记录，可查看详情、重新解析。每条记录标注日期、基金数量、状态、来源、操作。“解析日志以对话列表形式展示在截图解析对话界面的左侧栏中，每条记录显示日期、基金数量、入库状态。点击某条记录可展开查看对应的AI回复气泡。</w:t>
      </w:r>
    </w:p>
    <w:p w14:paraId="5946974D">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7.4.3 月度操作台</w:t>
      </w:r>
      <w:r>
        <w:rPr>
          <w:rFonts w:hint="default" w:ascii="宋体" w:hAnsi="宋体" w:eastAsia="宋体" w:cs="宋体"/>
          <w:b/>
          <w:bCs/>
          <w:i w:val="0"/>
          <w:iCs w:val="0"/>
          <w:caps w:val="0"/>
          <w:color w:val="0F1115"/>
          <w:spacing w:val="0"/>
          <w:sz w:val="27"/>
          <w:szCs w:val="27"/>
          <w:shd w:val="clear" w:fill="FFFFFF"/>
        </w:rPr>
        <w:t>（</w:t>
      </w:r>
      <w:r>
        <w:rPr>
          <w:rStyle w:val="11"/>
          <w:rFonts w:hint="default" w:ascii="宋体" w:hAnsi="宋体" w:eastAsia="宋体" w:cs="宋体"/>
          <w:b/>
          <w:bCs/>
          <w:i w:val="0"/>
          <w:iCs w:val="0"/>
          <w:caps w:val="0"/>
          <w:color w:val="0F1115"/>
          <w:spacing w:val="0"/>
          <w:sz w:val="27"/>
          <w:szCs w:val="27"/>
          <w:shd w:val="clear" w:fill="EBEEF2"/>
        </w:rPr>
        <w:t>/correction</w:t>
      </w:r>
      <w:r>
        <w:rPr>
          <w:rFonts w:hint="default" w:ascii="宋体" w:hAnsi="宋体" w:eastAsia="宋体" w:cs="宋体"/>
          <w:b/>
          <w:bCs/>
          <w:i w:val="0"/>
          <w:iCs w:val="0"/>
          <w:caps w:val="0"/>
          <w:color w:val="0F1115"/>
          <w:spacing w:val="0"/>
          <w:sz w:val="27"/>
          <w:szCs w:val="27"/>
          <w:shd w:val="clear" w:fill="FFFFFF"/>
        </w:rPr>
        <w:t>）</w:t>
      </w:r>
    </w:p>
    <w:p w14:paraId="1D5F4655">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输入区</w:t>
      </w:r>
      <w:r>
        <w:rPr>
          <w:rFonts w:hint="eastAsia" w:ascii="仿宋" w:hAnsi="仿宋" w:eastAsia="仿宋" w:cs="仿宋"/>
          <w:i w:val="0"/>
          <w:iCs w:val="0"/>
          <w:caps w:val="0"/>
          <w:color w:val="0F1115"/>
          <w:spacing w:val="0"/>
          <w:sz w:val="24"/>
          <w:szCs w:val="24"/>
          <w:shd w:val="clear" w:fill="FFFFFF"/>
        </w:rPr>
        <w:t>：四个输入框（当前总资产、货币类市值、固收类市值、高波定投总额）。默认值从最新快照自动填充，用户可手动修改。</w:t>
      </w:r>
    </w:p>
    <w:p w14:paraId="3EEA45D6">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计算按钮</w:t>
      </w:r>
      <w:r>
        <w:rPr>
          <w:rFonts w:hint="eastAsia" w:ascii="仿宋" w:hAnsi="仿宋" w:eastAsia="仿宋" w:cs="仿宋"/>
          <w:i w:val="0"/>
          <w:iCs w:val="0"/>
          <w:caps w:val="0"/>
          <w:color w:val="0F1115"/>
          <w:spacing w:val="0"/>
          <w:sz w:val="24"/>
          <w:szCs w:val="24"/>
          <w:shd w:val="clear" w:fill="FFFFFF"/>
        </w:rPr>
        <w:t>：点击后调用后端二元一次方程组求解器。</w:t>
      </w:r>
    </w:p>
    <w:p w14:paraId="70D2EF37">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结果展示与取整交互</w:t>
      </w:r>
      <w:r>
        <w:rPr>
          <w:rFonts w:hint="eastAsia" w:ascii="仿宋" w:hAnsi="仿宋" w:eastAsia="仿宋" w:cs="仿宋"/>
          <w:i w:val="0"/>
          <w:iCs w:val="0"/>
          <w:caps w:val="0"/>
          <w:color w:val="0F1115"/>
          <w:spacing w:val="0"/>
          <w:sz w:val="24"/>
          <w:szCs w:val="24"/>
          <w:shd w:val="clear" w:fill="FFFFFF"/>
        </w:rPr>
        <w:t>：展示理论精确值、系统取整建议、取整后比例偏差。用户可在弹窗中手动修改补仓数字，系统实时重算偏差。确认后写入数据库。</w:t>
      </w:r>
    </w:p>
    <w:p w14:paraId="57555850">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7.4.4 资产配置（</w:t>
      </w:r>
      <w:r>
        <w:rPr>
          <w:rStyle w:val="11"/>
          <w:rFonts w:hint="default" w:ascii="宋体" w:hAnsi="宋体" w:eastAsia="宋体" w:cs="宋体"/>
          <w:b/>
          <w:bCs/>
          <w:i w:val="0"/>
          <w:iCs w:val="0"/>
          <w:caps w:val="0"/>
          <w:color w:val="0F1115"/>
          <w:spacing w:val="0"/>
          <w:sz w:val="27"/>
          <w:szCs w:val="27"/>
          <w:shd w:val="clear" w:fill="EBEEF2"/>
        </w:rPr>
        <w:t>/config</w:t>
      </w:r>
      <w:r>
        <w:rPr>
          <w:rFonts w:hint="default" w:ascii="宋体" w:hAnsi="宋体" w:eastAsia="宋体" w:cs="宋体"/>
          <w:b/>
          <w:bCs/>
          <w:i w:val="0"/>
          <w:iCs w:val="0"/>
          <w:caps w:val="0"/>
          <w:color w:val="0F1115"/>
          <w:spacing w:val="0"/>
          <w:sz w:val="27"/>
          <w:szCs w:val="27"/>
          <w:shd w:val="clear" w:fill="FFFFFF"/>
        </w:rPr>
        <w:t>）</w:t>
      </w:r>
    </w:p>
    <w:p w14:paraId="32F7143C">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目标比例设定</w:t>
      </w:r>
      <w:r>
        <w:rPr>
          <w:rFonts w:hint="eastAsia" w:ascii="仿宋" w:hAnsi="仿宋" w:eastAsia="仿宋" w:cs="仿宋"/>
          <w:i w:val="0"/>
          <w:iCs w:val="0"/>
          <w:caps w:val="0"/>
          <w:color w:val="0F1115"/>
          <w:spacing w:val="0"/>
          <w:sz w:val="24"/>
          <w:szCs w:val="24"/>
          <w:shd w:val="clear" w:fill="FFFFFF"/>
        </w:rPr>
        <w:t>：六大类各一个输入框，总和自动校验是否为100%。</w:t>
      </w:r>
    </w:p>
    <w:p w14:paraId="6B0B923F">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约束参数配置</w:t>
      </w:r>
      <w:r>
        <w:rPr>
          <w:rFonts w:hint="eastAsia" w:ascii="仿宋" w:hAnsi="仿宋" w:eastAsia="仿宋" w:cs="仿宋"/>
          <w:i w:val="0"/>
          <w:iCs w:val="0"/>
          <w:caps w:val="0"/>
          <w:color w:val="0F1115"/>
          <w:spacing w:val="0"/>
          <w:sz w:val="24"/>
          <w:szCs w:val="24"/>
          <w:shd w:val="clear" w:fill="FFFFFF"/>
        </w:rPr>
        <w:t>：申购起点（默认100元）、月度总投入上限（默认1000元）。保存后写入</w:t>
      </w:r>
      <w:r>
        <w:rPr>
          <w:rStyle w:val="11"/>
          <w:rFonts w:hint="eastAsia" w:ascii="仿宋" w:hAnsi="仿宋" w:eastAsia="仿宋" w:cs="仿宋"/>
          <w:i w:val="0"/>
          <w:iCs w:val="0"/>
          <w:caps w:val="0"/>
          <w:color w:val="0F1115"/>
          <w:spacing w:val="0"/>
          <w:sz w:val="24"/>
          <w:szCs w:val="24"/>
          <w:shd w:val="clear" w:fill="EBEEF2"/>
        </w:rPr>
        <w:t>user_config</w:t>
      </w:r>
      <w:r>
        <w:rPr>
          <w:rFonts w:hint="eastAsia" w:ascii="仿宋" w:hAnsi="仿宋" w:eastAsia="仿宋" w:cs="仿宋"/>
          <w:i w:val="0"/>
          <w:iCs w:val="0"/>
          <w:caps w:val="0"/>
          <w:color w:val="0F1115"/>
          <w:spacing w:val="0"/>
          <w:sz w:val="24"/>
          <w:szCs w:val="24"/>
          <w:shd w:val="clear" w:fill="FFFFFF"/>
        </w:rPr>
        <w:t>表，并同步更新</w:t>
      </w:r>
      <w:r>
        <w:rPr>
          <w:rStyle w:val="11"/>
          <w:rFonts w:hint="eastAsia" w:ascii="仿宋" w:hAnsi="仿宋" w:eastAsia="仿宋" w:cs="仿宋"/>
          <w:i w:val="0"/>
          <w:iCs w:val="0"/>
          <w:caps w:val="0"/>
          <w:color w:val="0F1115"/>
          <w:spacing w:val="0"/>
          <w:sz w:val="24"/>
          <w:szCs w:val="24"/>
          <w:shd w:val="clear" w:fill="EBEEF2"/>
        </w:rPr>
        <w:t>asset_snapshot</w:t>
      </w:r>
      <w:r>
        <w:rPr>
          <w:rFonts w:hint="eastAsia" w:ascii="仿宋" w:hAnsi="仿宋" w:eastAsia="仿宋" w:cs="仿宋"/>
          <w:i w:val="0"/>
          <w:iCs w:val="0"/>
          <w:caps w:val="0"/>
          <w:color w:val="0F1115"/>
          <w:spacing w:val="0"/>
          <w:sz w:val="24"/>
          <w:szCs w:val="24"/>
          <w:shd w:val="clear" w:fill="FFFFFF"/>
        </w:rPr>
        <w:t>表的</w:t>
      </w:r>
      <w:r>
        <w:rPr>
          <w:rStyle w:val="11"/>
          <w:rFonts w:hint="eastAsia" w:ascii="仿宋" w:hAnsi="仿宋" w:eastAsia="仿宋" w:cs="仿宋"/>
          <w:i w:val="0"/>
          <w:iCs w:val="0"/>
          <w:caps w:val="0"/>
          <w:color w:val="0F1115"/>
          <w:spacing w:val="0"/>
          <w:sz w:val="24"/>
          <w:szCs w:val="24"/>
          <w:shd w:val="clear" w:fill="EBEEF2"/>
        </w:rPr>
        <w:t>target_ratio</w:t>
      </w:r>
      <w:r>
        <w:rPr>
          <w:rFonts w:hint="eastAsia" w:ascii="仿宋" w:hAnsi="仿宋" w:eastAsia="仿宋" w:cs="仿宋"/>
          <w:i w:val="0"/>
          <w:iCs w:val="0"/>
          <w:caps w:val="0"/>
          <w:color w:val="0F1115"/>
          <w:spacing w:val="0"/>
          <w:sz w:val="24"/>
          <w:szCs w:val="24"/>
          <w:shd w:val="clear" w:fill="FFFFFF"/>
        </w:rPr>
        <w:t>字段。</w:t>
      </w:r>
    </w:p>
    <w:p w14:paraId="380D32D2">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7.4.5 净值曲线（</w:t>
      </w:r>
      <w:r>
        <w:rPr>
          <w:rStyle w:val="11"/>
          <w:rFonts w:hint="default" w:ascii="宋体" w:hAnsi="宋体" w:eastAsia="宋体" w:cs="宋体"/>
          <w:b/>
          <w:bCs/>
          <w:i w:val="0"/>
          <w:iCs w:val="0"/>
          <w:caps w:val="0"/>
          <w:color w:val="0F1115"/>
          <w:spacing w:val="0"/>
          <w:sz w:val="27"/>
          <w:szCs w:val="27"/>
          <w:shd w:val="clear" w:fill="EBEEF2"/>
        </w:rPr>
        <w:t>/nav</w:t>
      </w:r>
      <w:r>
        <w:rPr>
          <w:rFonts w:hint="default" w:ascii="宋体" w:hAnsi="宋体" w:eastAsia="宋体" w:cs="宋体"/>
          <w:b/>
          <w:bCs/>
          <w:i w:val="0"/>
          <w:iCs w:val="0"/>
          <w:caps w:val="0"/>
          <w:color w:val="0F1115"/>
          <w:spacing w:val="0"/>
          <w:sz w:val="27"/>
          <w:szCs w:val="27"/>
          <w:shd w:val="clear" w:fill="FFFFFF"/>
        </w:rPr>
        <w:t>）</w:t>
      </w:r>
    </w:p>
    <w:p w14:paraId="03320944">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汇总指标卡片</w:t>
      </w:r>
      <w:r>
        <w:rPr>
          <w:rFonts w:hint="eastAsia" w:ascii="仿宋" w:hAnsi="仿宋" w:eastAsia="仿宋" w:cs="仿宋"/>
          <w:i w:val="0"/>
          <w:iCs w:val="0"/>
          <w:caps w:val="0"/>
          <w:color w:val="0F1115"/>
          <w:spacing w:val="0"/>
          <w:sz w:val="24"/>
          <w:szCs w:val="24"/>
          <w:shd w:val="clear" w:fill="FFFFFF"/>
        </w:rPr>
        <w:t>：累计净值、累计收益率、累计收益三张卡片并排。</w:t>
      </w:r>
    </w:p>
    <w:p w14:paraId="299FD94B">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图表区</w:t>
      </w:r>
      <w:r>
        <w:rPr>
          <w:rFonts w:hint="eastAsia" w:ascii="仿宋" w:hAnsi="仿宋" w:eastAsia="仿宋" w:cs="仿宋"/>
          <w:i w:val="0"/>
          <w:iCs w:val="0"/>
          <w:caps w:val="0"/>
          <w:color w:val="0F1115"/>
          <w:spacing w:val="0"/>
          <w:sz w:val="24"/>
          <w:szCs w:val="24"/>
          <w:shd w:val="clear" w:fill="FFFFFF"/>
        </w:rPr>
        <w:t>：净值走势折线图（红色）+ 日收益柱状图（红涨绿跌）+ 关键事件黄色标记点。支持鼠标悬停显示具体数值。</w:t>
      </w:r>
    </w:p>
    <w:p w14:paraId="5B4AB49C">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日期查询</w:t>
      </w:r>
      <w:r>
        <w:rPr>
          <w:rFonts w:hint="eastAsia" w:ascii="仿宋" w:hAnsi="仿宋" w:eastAsia="仿宋" w:cs="仿宋"/>
          <w:i w:val="0"/>
          <w:iCs w:val="0"/>
          <w:caps w:val="0"/>
          <w:color w:val="0F1115"/>
          <w:spacing w:val="0"/>
          <w:sz w:val="24"/>
          <w:szCs w:val="24"/>
          <w:shd w:val="clear" w:fill="FFFFFF"/>
        </w:rPr>
        <w:t>：日期选择器，选择某天后显示当天的收益率和收益金额。</w:t>
      </w:r>
    </w:p>
    <w:p w14:paraId="475E8E79">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手动校正区</w:t>
      </w:r>
      <w:r>
        <w:rPr>
          <w:rFonts w:hint="eastAsia" w:ascii="仿宋" w:hAnsi="仿宋" w:eastAsia="仿宋" w:cs="仿宋"/>
          <w:i w:val="0"/>
          <w:iCs w:val="0"/>
          <w:caps w:val="0"/>
          <w:color w:val="0F1115"/>
          <w:spacing w:val="0"/>
          <w:sz w:val="24"/>
          <w:szCs w:val="24"/>
          <w:shd w:val="clear" w:fill="FFFFFF"/>
        </w:rPr>
        <w:t>：折叠面板。包含净值校正（输入累计收益率百分比）和日收益补充（输入日期、收益率、收益金额）。</w:t>
      </w:r>
    </w:p>
    <w:p w14:paraId="1A74F915">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7.4.6 比例演化（</w:t>
      </w:r>
      <w:r>
        <w:rPr>
          <w:rStyle w:val="11"/>
          <w:rFonts w:hint="default" w:ascii="宋体" w:hAnsi="宋体" w:eastAsia="宋体" w:cs="宋体"/>
          <w:b/>
          <w:bCs/>
          <w:i w:val="0"/>
          <w:iCs w:val="0"/>
          <w:caps w:val="0"/>
          <w:color w:val="0F1115"/>
          <w:spacing w:val="0"/>
          <w:sz w:val="27"/>
          <w:szCs w:val="27"/>
          <w:shd w:val="clear" w:fill="EBEEF2"/>
        </w:rPr>
        <w:t>/ratio</w:t>
      </w:r>
      <w:r>
        <w:rPr>
          <w:rFonts w:hint="default" w:ascii="宋体" w:hAnsi="宋体" w:eastAsia="宋体" w:cs="宋体"/>
          <w:b/>
          <w:bCs/>
          <w:i w:val="0"/>
          <w:iCs w:val="0"/>
          <w:caps w:val="0"/>
          <w:color w:val="0F1115"/>
          <w:spacing w:val="0"/>
          <w:sz w:val="27"/>
          <w:szCs w:val="27"/>
          <w:shd w:val="clear" w:fill="FFFFFF"/>
        </w:rPr>
        <w:t>）</w:t>
      </w:r>
    </w:p>
    <w:p w14:paraId="2A82795F">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最新快照比例色带</w:t>
      </w:r>
      <w:r>
        <w:rPr>
          <w:rFonts w:hint="eastAsia" w:ascii="仿宋" w:hAnsi="仿宋" w:eastAsia="仿宋" w:cs="仿宋"/>
          <w:i w:val="0"/>
          <w:iCs w:val="0"/>
          <w:caps w:val="0"/>
          <w:color w:val="0F1115"/>
          <w:spacing w:val="0"/>
          <w:sz w:val="24"/>
          <w:szCs w:val="24"/>
          <w:shd w:val="clear" w:fill="FFFFFF"/>
        </w:rPr>
        <w:t>：横向堆叠色带，六大类各一种颜色，宽度与占比成正比。</w:t>
      </w:r>
    </w:p>
    <w:p w14:paraId="7DE9CBE8">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历史快照列表</w:t>
      </w:r>
      <w:r>
        <w:rPr>
          <w:rFonts w:hint="eastAsia" w:ascii="仿宋" w:hAnsi="仿宋" w:eastAsia="仿宋" w:cs="仿宋"/>
          <w:i w:val="0"/>
          <w:iCs w:val="0"/>
          <w:caps w:val="0"/>
          <w:color w:val="0F1115"/>
          <w:spacing w:val="0"/>
          <w:sz w:val="24"/>
          <w:szCs w:val="24"/>
          <w:shd w:val="clear" w:fill="FFFFFF"/>
        </w:rPr>
        <w:t>：按日期倒序排列，每个日期一张卡片。卡片内为横向柱状图。支持按日期范围筛选。</w:t>
      </w:r>
    </w:p>
    <w:p w14:paraId="5D279D2A">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7.4.7 AI顾问（</w:t>
      </w:r>
      <w:r>
        <w:rPr>
          <w:rStyle w:val="11"/>
          <w:rFonts w:hint="default" w:ascii="宋体" w:hAnsi="宋体" w:eastAsia="宋体" w:cs="宋体"/>
          <w:b/>
          <w:bCs/>
          <w:i w:val="0"/>
          <w:iCs w:val="0"/>
          <w:caps w:val="0"/>
          <w:color w:val="0F1115"/>
          <w:spacing w:val="0"/>
          <w:sz w:val="27"/>
          <w:szCs w:val="27"/>
          <w:shd w:val="clear" w:fill="EBEEF2"/>
        </w:rPr>
        <w:t>/ai</w:t>
      </w:r>
      <w:r>
        <w:rPr>
          <w:rFonts w:hint="default" w:ascii="宋体" w:hAnsi="宋体" w:eastAsia="宋体" w:cs="宋体"/>
          <w:b/>
          <w:bCs/>
          <w:i w:val="0"/>
          <w:iCs w:val="0"/>
          <w:caps w:val="0"/>
          <w:color w:val="0F1115"/>
          <w:spacing w:val="0"/>
          <w:sz w:val="27"/>
          <w:szCs w:val="27"/>
          <w:shd w:val="clear" w:fill="FFFFFF"/>
        </w:rPr>
        <w:t>）</w:t>
      </w:r>
    </w:p>
    <w:p w14:paraId="2C3F52FC">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对话区域</w:t>
      </w:r>
      <w:r>
        <w:rPr>
          <w:rFonts w:hint="eastAsia" w:ascii="仿宋" w:hAnsi="仿宋" w:eastAsia="仿宋" w:cs="仿宋"/>
          <w:i w:val="0"/>
          <w:iCs w:val="0"/>
          <w:caps w:val="0"/>
          <w:color w:val="0F1115"/>
          <w:spacing w:val="0"/>
          <w:sz w:val="24"/>
          <w:szCs w:val="24"/>
          <w:shd w:val="clear" w:fill="FFFFFF"/>
        </w:rPr>
        <w:t>：气泡式对话界面（复用DecisionMate的React组件）。用户消息靠右（蓝色背景），AI回复靠左（白色背景）。支持多轮对话，上下文管理。</w:t>
      </w:r>
    </w:p>
    <w:p w14:paraId="73561723">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输入区</w:t>
      </w:r>
      <w:r>
        <w:rPr>
          <w:rFonts w:hint="eastAsia" w:ascii="仿宋" w:hAnsi="仿宋" w:eastAsia="仿宋" w:cs="仿宋"/>
          <w:i w:val="0"/>
          <w:iCs w:val="0"/>
          <w:caps w:val="0"/>
          <w:color w:val="0F1115"/>
          <w:spacing w:val="0"/>
          <w:sz w:val="24"/>
          <w:szCs w:val="24"/>
          <w:shd w:val="clear" w:fill="FFFFFF"/>
        </w:rPr>
        <w:t>：底部固定，包含文本输入框、发送按钮、快捷提问按钮（“本月补仓建议”、“比例偏离分析”）。</w:t>
      </w:r>
    </w:p>
    <w:p w14:paraId="70BC7AA0">
      <w:pPr>
        <w:pStyle w:val="7"/>
        <w:keepNext w:val="0"/>
        <w:keepLines w:val="0"/>
        <w:widowControl/>
        <w:suppressLineNumbers w:val="0"/>
        <w:spacing w:before="192" w:beforeAutospacing="0" w:after="192" w:afterAutospacing="0" w:line="336" w:lineRule="atLeast"/>
        <w:ind w:left="240" w:right="240" w:firstLine="418" w:firstLineChars="0"/>
      </w:pPr>
      <w:r>
        <w:rPr>
          <w:rFonts w:hint="eastAsia" w:ascii="仿宋" w:hAnsi="仿宋" w:eastAsia="仿宋" w:cs="仿宋"/>
          <w:b/>
          <w:bCs/>
          <w:i w:val="0"/>
          <w:iCs w:val="0"/>
          <w:caps w:val="0"/>
          <w:color w:val="0F1115"/>
          <w:spacing w:val="0"/>
          <w:sz w:val="24"/>
          <w:szCs w:val="24"/>
          <w:shd w:val="clear" w:fill="FFFFFF"/>
        </w:rPr>
        <w:t>对话管理</w:t>
      </w:r>
      <w:r>
        <w:rPr>
          <w:rFonts w:hint="eastAsia" w:ascii="仿宋" w:hAnsi="仿宋" w:eastAsia="仿宋" w:cs="仿宋"/>
          <w:i w:val="0"/>
          <w:iCs w:val="0"/>
          <w:caps w:val="0"/>
          <w:color w:val="0F1115"/>
          <w:spacing w:val="0"/>
          <w:sz w:val="24"/>
          <w:szCs w:val="24"/>
          <w:shd w:val="clear" w:fill="FFFFFF"/>
        </w:rPr>
        <w:t>：左侧可切换历史对话列表。顶部“新对话”按钮。</w:t>
      </w:r>
    </w:p>
    <w:p w14:paraId="19758914">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b w:val="0"/>
          <w:bCs w:val="0"/>
          <w:i w:val="0"/>
          <w:iCs w:val="0"/>
          <w:caps w:val="0"/>
          <w:color w:val="0F1115"/>
          <w:spacing w:val="0"/>
          <w:sz w:val="24"/>
          <w:szCs w:val="24"/>
          <w:shd w:val="clear" w:fill="FFFFFF"/>
        </w:rPr>
      </w:pPr>
      <w:r>
        <w:rPr>
          <w:rFonts w:hint="default" w:ascii="仿宋" w:hAnsi="仿宋" w:eastAsia="仿宋" w:cs="仿宋"/>
          <w:b/>
          <w:bCs/>
          <w:i w:val="0"/>
          <w:iCs w:val="0"/>
          <w:caps w:val="0"/>
          <w:color w:val="0F1115"/>
          <w:spacing w:val="0"/>
          <w:sz w:val="24"/>
          <w:szCs w:val="24"/>
          <w:shd w:val="clear" w:fill="FFFFFF"/>
        </w:rPr>
        <w:t>双回路分流：</w:t>
      </w:r>
      <w:r>
        <w:rPr>
          <w:rFonts w:hint="default" w:ascii="仿宋" w:hAnsi="仿宋" w:eastAsia="仿宋" w:cs="仿宋"/>
          <w:b w:val="0"/>
          <w:bCs w:val="0"/>
          <w:i w:val="0"/>
          <w:iCs w:val="0"/>
          <w:caps w:val="0"/>
          <w:color w:val="0F1115"/>
          <w:spacing w:val="0"/>
          <w:sz w:val="24"/>
          <w:szCs w:val="24"/>
          <w:shd w:val="clear" w:fill="FFFFFF"/>
        </w:rPr>
        <w:t>用户输入先经意图分类器判断。垃圾回路（非投资决策类）直接透传，不加载ZOH理论Prompt。慢回路（投资决策类）加载完整ZOH理论System Prompt。</w:t>
      </w:r>
    </w:p>
    <w:p w14:paraId="6E48AB7C">
      <w:pPr>
        <w:pStyle w:val="5"/>
        <w:keepNext w:val="0"/>
        <w:keepLines w:val="0"/>
        <w:widowControl/>
        <w:suppressLineNumbers w:val="0"/>
        <w:spacing w:before="192" w:beforeAutospacing="0" w:after="192" w:afterAutospacing="0" w:line="336" w:lineRule="atLeast"/>
        <w:ind w:left="240" w:right="240"/>
        <w:rPr>
          <w:rFonts w:hint="default" w:ascii="Segoe UI" w:hAnsi="Segoe UI" w:eastAsia="Segoe UI" w:cs="Segoe UI"/>
          <w:b/>
          <w:bCs/>
          <w:sz w:val="19"/>
          <w:szCs w:val="19"/>
        </w:rPr>
      </w:pPr>
      <w:r>
        <w:rPr>
          <w:rFonts w:hint="default" w:ascii="宋体" w:hAnsi="宋体" w:eastAsia="宋体" w:cs="宋体"/>
          <w:b/>
          <w:bCs/>
          <w:kern w:val="0"/>
          <w:sz w:val="27"/>
          <w:szCs w:val="27"/>
          <w:lang w:val="en-US" w:eastAsia="zh-CN" w:bidi="ar"/>
        </w:rPr>
        <w:t>7.4.8 季度操作台</w:t>
      </w:r>
      <w:r>
        <w:rPr>
          <w:rFonts w:hint="eastAsia" w:ascii="宋体" w:hAnsi="宋体" w:eastAsia="宋体" w:cs="宋体"/>
          <w:b/>
          <w:bCs/>
          <w:kern w:val="0"/>
          <w:sz w:val="27"/>
          <w:szCs w:val="27"/>
          <w:lang w:val="en-US" w:eastAsia="zh-CN" w:bidi="ar"/>
        </w:rPr>
        <w:t>（</w:t>
      </w:r>
      <w:r>
        <w:rPr>
          <w:rStyle w:val="11"/>
          <w:rFonts w:hint="eastAsia" w:ascii="宋体" w:hAnsi="宋体" w:eastAsia="宋体" w:cs="宋体"/>
          <w:b/>
          <w:bCs/>
          <w:i w:val="0"/>
          <w:iCs w:val="0"/>
          <w:caps w:val="0"/>
          <w:color w:val="0F1115"/>
          <w:spacing w:val="0"/>
          <w:sz w:val="27"/>
          <w:szCs w:val="27"/>
          <w:shd w:val="clear" w:fill="EBEEF2"/>
        </w:rPr>
        <w:t>/quarterly</w:t>
      </w:r>
      <w:r>
        <w:rPr>
          <w:rFonts w:hint="eastAsia" w:ascii="宋体" w:hAnsi="宋体" w:eastAsia="宋体" w:cs="宋体"/>
          <w:b/>
          <w:bCs/>
          <w:i w:val="0"/>
          <w:iCs w:val="0"/>
          <w:caps w:val="0"/>
          <w:color w:val="0F1115"/>
          <w:spacing w:val="0"/>
          <w:sz w:val="27"/>
          <w:szCs w:val="27"/>
          <w:shd w:val="clear" w:fill="FFFFFF"/>
        </w:rPr>
        <w:t>）</w:t>
      </w:r>
    </w:p>
    <w:p w14:paraId="6C142266">
      <w:pPr>
        <w:pStyle w:val="7"/>
        <w:keepNext w:val="0"/>
        <w:keepLines w:val="0"/>
        <w:widowControl/>
        <w:suppressLineNumbers w:val="0"/>
        <w:spacing w:before="192" w:beforeAutospacing="0" w:after="192" w:afterAutospacing="0" w:line="336" w:lineRule="atLeast"/>
        <w:ind w:left="240" w:right="240" w:firstLine="418" w:firstLineChars="0"/>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灰显占位</w:t>
      </w:r>
      <w:r>
        <w:rPr>
          <w:rFonts w:hint="eastAsia" w:ascii="仿宋" w:hAnsi="仿宋" w:eastAsia="仿宋" w:cs="仿宋"/>
          <w:i w:val="0"/>
          <w:iCs w:val="0"/>
          <w:caps w:val="0"/>
          <w:color w:val="0F1115"/>
          <w:spacing w:val="0"/>
          <w:sz w:val="24"/>
          <w:szCs w:val="24"/>
          <w:shd w:val="clear" w:fill="FFFFFF"/>
        </w:rPr>
        <w:t>：页面中央显示“季度操作台——6月末首次实战后开放”。按钮灰显不可点击。</w:t>
      </w:r>
    </w:p>
    <w:p w14:paraId="6250846D">
      <w:pPr>
        <w:pStyle w:val="4"/>
        <w:keepNext w:val="0"/>
        <w:keepLines w:val="0"/>
        <w:widowControl/>
        <w:suppressLineNumbers w:val="0"/>
        <w:spacing w:before="384" w:beforeAutospacing="0" w:after="192" w:afterAutospacing="0" w:line="360" w:lineRule="atLeast"/>
        <w:ind w:left="240" w:right="240"/>
        <w:rPr>
          <w:rFonts w:hint="default"/>
        </w:rPr>
      </w:pPr>
      <w:r>
        <w:rPr>
          <w:rFonts w:hint="default" w:ascii="Segoe UI" w:hAnsi="Segoe UI" w:eastAsia="Segoe UI" w:cs="Segoe UI"/>
          <w:b/>
          <w:bCs/>
          <w:i w:val="0"/>
          <w:iCs w:val="0"/>
          <w:caps w:val="0"/>
          <w:color w:val="0F1115"/>
          <w:spacing w:val="0"/>
          <w:sz w:val="24"/>
          <w:szCs w:val="24"/>
          <w:shd w:val="clear" w:fill="FFFFFF"/>
        </w:rPr>
        <w:t>7.5 页面清单汇总</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8"/>
        <w:gridCol w:w="1400"/>
        <w:gridCol w:w="4906"/>
        <w:gridCol w:w="1001"/>
      </w:tblGrid>
      <w:tr w14:paraId="7753A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0F093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页面</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2BE6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路由</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9439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功能</w:t>
            </w:r>
          </w:p>
        </w:tc>
        <w:tc>
          <w:tcPr>
            <w:tcW w:w="100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64DE7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优先级</w:t>
            </w:r>
          </w:p>
        </w:tc>
      </w:tr>
      <w:tr w14:paraId="6555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3DAB3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首页</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3EECA9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99D5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资产总览（余额类卡片、环形图、六大类明细列表）</w:t>
            </w:r>
          </w:p>
        </w:tc>
        <w:tc>
          <w:tcPr>
            <w:tcW w:w="100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AD646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1</w:t>
            </w:r>
          </w:p>
        </w:tc>
      </w:tr>
      <w:tr w14:paraId="305C7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1A715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资产配置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245B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/config</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27ABE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目标比例设定、约束参数配置</w:t>
            </w:r>
          </w:p>
        </w:tc>
        <w:tc>
          <w:tcPr>
            <w:tcW w:w="100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19160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2</w:t>
            </w:r>
          </w:p>
        </w:tc>
      </w:tr>
      <w:tr w14:paraId="17C18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FD148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月度操作台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AFC8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/correction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C5E1B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二元一次方程组求解+取整交互</w:t>
            </w:r>
          </w:p>
        </w:tc>
        <w:tc>
          <w:tcPr>
            <w:tcW w:w="100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182BC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2</w:t>
            </w:r>
          </w:p>
        </w:tc>
      </w:tr>
      <w:tr w14:paraId="6298B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E528F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净值曲线</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D29C6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/nav</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D6E3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累计净值走势+日收益柱状图</w:t>
            </w:r>
          </w:p>
        </w:tc>
        <w:tc>
          <w:tcPr>
            <w:tcW w:w="100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ED6E5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w:t>
            </w:r>
          </w:p>
        </w:tc>
      </w:tr>
      <w:tr w14:paraId="0F2A0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03696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比例演化</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C85B6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/ratio</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F09ACE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六大类比例历史变化</w:t>
            </w:r>
          </w:p>
        </w:tc>
        <w:tc>
          <w:tcPr>
            <w:tcW w:w="100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E1A77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w:t>
            </w:r>
          </w:p>
        </w:tc>
      </w:tr>
      <w:tr w14:paraId="5E30C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07DA2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数据管理</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C127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/data</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E046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手动上传截图、解析日志、手动输入</w:t>
            </w:r>
          </w:p>
        </w:tc>
        <w:tc>
          <w:tcPr>
            <w:tcW w:w="100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E0098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1</w:t>
            </w:r>
          </w:p>
        </w:tc>
      </w:tr>
      <w:tr w14:paraId="3F4FE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A2302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AI顾问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A8405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/ai</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93A4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多轮对话、上下文管理、快捷提问</w:t>
            </w:r>
          </w:p>
        </w:tc>
        <w:tc>
          <w:tcPr>
            <w:tcW w:w="100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2F1F0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1</w:t>
            </w:r>
          </w:p>
        </w:tc>
      </w:tr>
      <w:tr w14:paraId="63820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E38BF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季度操作台</w:t>
            </w:r>
          </w:p>
        </w:tc>
        <w:tc>
          <w:tcPr>
            <w:tcW w:w="140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FA1D2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/quarterly</w:t>
            </w:r>
          </w:p>
        </w:tc>
        <w:tc>
          <w:tcPr>
            <w:tcW w:w="490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044573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LQR预留（灰色按钮，标注“敬请期待”）</w:t>
            </w:r>
          </w:p>
        </w:tc>
        <w:tc>
          <w:tcPr>
            <w:tcW w:w="100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114AE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w:t>
            </w:r>
          </w:p>
        </w:tc>
      </w:tr>
    </w:tbl>
    <w:p w14:paraId="6F2CE0C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eastAsia="仿宋"/>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B2B221A">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第八章 开发阶段划分</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6"/>
        <w:gridCol w:w="1878"/>
        <w:gridCol w:w="1261"/>
        <w:gridCol w:w="4400"/>
      </w:tblGrid>
      <w:tr w14:paraId="572CA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79731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阶段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9FAC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核心任务</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F4F8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预计时间</w:t>
            </w:r>
          </w:p>
        </w:tc>
        <w:tc>
          <w:tcPr>
            <w:tcW w:w="440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F8446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验收标准</w:t>
            </w:r>
          </w:p>
        </w:tc>
      </w:tr>
      <w:tr w14:paraId="4A5A3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A80E2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Phase 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94BD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数据流水线闭环</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00D02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3-4天</w:t>
            </w:r>
          </w:p>
        </w:tc>
        <w:tc>
          <w:tcPr>
            <w:tcW w:w="440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A7D3D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截图上传→API解析→入库→首页展示完整闭环</w:t>
            </w:r>
          </w:p>
        </w:tc>
      </w:tr>
      <w:tr w14:paraId="7F7AC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EFBE0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Phase 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B612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核心业务功能</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D387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2-3天</w:t>
            </w:r>
          </w:p>
        </w:tc>
        <w:tc>
          <w:tcPr>
            <w:tcW w:w="440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BD6ED0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资产配置+月度操作台+历史查询可用</w:t>
            </w:r>
          </w:p>
        </w:tc>
      </w:tr>
      <w:tr w14:paraId="134E8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61923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Phase 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B005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数据可视化</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C651D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2-3天</w:t>
            </w:r>
          </w:p>
        </w:tc>
        <w:tc>
          <w:tcPr>
            <w:tcW w:w="440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E879B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净值曲线+比例演化+日收益明细可用</w:t>
            </w:r>
          </w:p>
        </w:tc>
      </w:tr>
      <w:tr w14:paraId="59976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97536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Phase 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ACF5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已知问题修复</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5591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2-3天</w:t>
            </w:r>
          </w:p>
        </w:tc>
        <w:tc>
          <w:tcPr>
            <w:tcW w:w="440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59F89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异常处理+数据校验+UI优化完成</w:t>
            </w:r>
          </w:p>
        </w:tc>
      </w:tr>
      <w:tr w14:paraId="25B5D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5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356B9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Phase 5</w:t>
            </w:r>
          </w:p>
        </w:tc>
        <w:tc>
          <w:tcPr>
            <w:tcW w:w="187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CD169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拓展性功能</w:t>
            </w:r>
          </w:p>
        </w:tc>
        <w:tc>
          <w:tcPr>
            <w:tcW w:w="126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125D1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远期</w:t>
            </w:r>
          </w:p>
        </w:tc>
        <w:tc>
          <w:tcPr>
            <w:tcW w:w="440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77C3E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LQR集成+多用户+移动端适配</w:t>
            </w:r>
          </w:p>
        </w:tc>
      </w:tr>
    </w:tbl>
    <w:p w14:paraId="58DE8126">
      <w:pPr>
        <w:pStyle w:val="4"/>
        <w:keepNext w:val="0"/>
        <w:keepLines w:val="0"/>
        <w:widowControl/>
        <w:suppressLineNumbers w:val="0"/>
        <w:shd w:val="clear" w:fill="FFFFFF"/>
        <w:snapToGrid/>
        <w:spacing w:before="192" w:beforeAutospacing="0" w:after="192" w:afterAutospacing="0" w:line="240" w:lineRule="auto"/>
        <w:ind w:right="0" w:rightChars="0" w:firstLine="420" w:firstLineChars="0"/>
        <w:jc w:val="both"/>
        <w:rPr>
          <w:rFonts w:ascii="仿宋" w:eastAsia="仿宋"/>
          <w:sz w:val="24"/>
        </w:rPr>
      </w:pPr>
      <w:r>
        <w:rPr>
          <w:rFonts w:hint="default" w:ascii="仿宋" w:hAnsi="Segoe UI" w:eastAsia="仿宋" w:cs="Segoe UI"/>
          <w:b/>
          <w:bCs/>
          <w:caps w:val="0"/>
          <w:color w:val="auto"/>
          <w:spacing w:val="0"/>
          <w:sz w:val="24"/>
          <w:szCs w:val="24"/>
          <w:shd w:val="clear" w:fill="FFFFFF"/>
        </w:rPr>
        <w:t>Phase 1详细验收标准</w:t>
      </w:r>
    </w:p>
    <w:p w14:paraId="378B7938">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用户在Web前端上传支付宝截图</w:t>
      </w:r>
    </w:p>
    <w:p w14:paraId="201D5D52">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后端调用DeepSeek API解析图片，返回JSON</w:t>
      </w:r>
    </w:p>
    <w:p w14:paraId="1CAC7D8E">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解析结果正确写入</w:t>
      </w:r>
      <w:r>
        <w:rPr>
          <w:rStyle w:val="11"/>
          <w:rFonts w:hint="default" w:ascii="仿宋" w:hAnsi="Consolas" w:eastAsia="仿宋" w:cs="Consolas"/>
          <w:i w:val="0"/>
          <w:iCs w:val="0"/>
          <w:caps w:val="0"/>
          <w:color w:val="auto"/>
          <w:spacing w:val="0"/>
          <w:sz w:val="24"/>
          <w:szCs w:val="18"/>
          <w:shd w:val="clear" w:fill="EBEEF2"/>
        </w:rPr>
        <w:t>asset_raw</w:t>
      </w:r>
      <w:r>
        <w:rPr>
          <w:rFonts w:hint="default" w:ascii="仿宋" w:hAnsi="Segoe UI" w:eastAsia="仿宋" w:cs="Segoe UI"/>
          <w:i w:val="0"/>
          <w:iCs w:val="0"/>
          <w:caps w:val="0"/>
          <w:color w:val="auto"/>
          <w:spacing w:val="0"/>
          <w:sz w:val="24"/>
          <w:szCs w:val="19"/>
          <w:shd w:val="clear" w:fill="FFFFFF"/>
        </w:rPr>
        <w:t>表，自动汇总写入</w:t>
      </w:r>
      <w:r>
        <w:rPr>
          <w:rStyle w:val="11"/>
          <w:rFonts w:hint="default" w:ascii="仿宋" w:hAnsi="Consolas" w:eastAsia="仿宋" w:cs="Consolas"/>
          <w:i w:val="0"/>
          <w:iCs w:val="0"/>
          <w:caps w:val="0"/>
          <w:color w:val="auto"/>
          <w:spacing w:val="0"/>
          <w:sz w:val="24"/>
          <w:szCs w:val="18"/>
          <w:shd w:val="clear" w:fill="EBEEF2"/>
        </w:rPr>
        <w:t>asset_snapshot</w:t>
      </w:r>
      <w:r>
        <w:rPr>
          <w:rFonts w:hint="default" w:ascii="仿宋" w:hAnsi="Segoe UI" w:eastAsia="仿宋" w:cs="Segoe UI"/>
          <w:i w:val="0"/>
          <w:iCs w:val="0"/>
          <w:caps w:val="0"/>
          <w:color w:val="auto"/>
          <w:spacing w:val="0"/>
          <w:sz w:val="24"/>
          <w:szCs w:val="19"/>
          <w:shd w:val="clear" w:fill="FFFFFF"/>
        </w:rPr>
        <w:t>表</w:t>
      </w:r>
    </w:p>
    <w:p w14:paraId="3DE7E65D">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首页从后端API获取最新快照数据并正确展示六大类金额和占比</w:t>
      </w:r>
    </w:p>
    <w:p w14:paraId="3F2696C6">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AI顾问页面可进行多轮对话，对话历史存入</w:t>
      </w:r>
      <w:r>
        <w:rPr>
          <w:rStyle w:val="11"/>
          <w:rFonts w:hint="default" w:ascii="仿宋" w:hAnsi="Consolas" w:eastAsia="仿宋" w:cs="Consolas"/>
          <w:i w:val="0"/>
          <w:iCs w:val="0"/>
          <w:caps w:val="0"/>
          <w:color w:val="auto"/>
          <w:spacing w:val="0"/>
          <w:sz w:val="24"/>
          <w:szCs w:val="18"/>
          <w:shd w:val="clear" w:fill="EBEEF2"/>
        </w:rPr>
        <w:t>chat_history</w:t>
      </w:r>
      <w:r>
        <w:rPr>
          <w:rFonts w:hint="default" w:ascii="仿宋" w:hAnsi="Segoe UI" w:eastAsia="仿宋" w:cs="Segoe UI"/>
          <w:i w:val="0"/>
          <w:iCs w:val="0"/>
          <w:caps w:val="0"/>
          <w:color w:val="auto"/>
          <w:spacing w:val="0"/>
          <w:sz w:val="24"/>
          <w:szCs w:val="19"/>
          <w:shd w:val="clear" w:fill="FFFFFF"/>
        </w:rPr>
        <w:t>表</w:t>
      </w:r>
    </w:p>
    <w:p w14:paraId="13A24B24">
      <w:pPr>
        <w:pStyle w:val="7"/>
        <w:keepNext w:val="0"/>
        <w:keepLines w:val="0"/>
        <w:widowControl/>
        <w:suppressLineNumbers w:val="0"/>
        <w:snapToGrid/>
        <w:spacing w:before="192" w:beforeAutospacing="0" w:after="192" w:afterAutospacing="0" w:line="240" w:lineRule="auto"/>
        <w:ind w:left="0" w:leftChars="0" w:right="0" w:rightChars="0" w:firstLine="480" w:firstLineChars="200"/>
        <w:jc w:val="both"/>
        <w:rPr>
          <w:rFonts w:ascii="仿宋" w:eastAsia="仿宋"/>
          <w:sz w:val="24"/>
        </w:rPr>
      </w:pPr>
      <w:r>
        <w:rPr>
          <w:rFonts w:hint="default" w:ascii="仿宋" w:hAnsi="Segoe UI" w:eastAsia="仿宋" w:cs="Segoe UI"/>
          <w:i w:val="0"/>
          <w:iCs w:val="0"/>
          <w:caps w:val="0"/>
          <w:color w:val="auto"/>
          <w:spacing w:val="0"/>
          <w:sz w:val="24"/>
          <w:szCs w:val="19"/>
          <w:shd w:val="clear" w:fill="FFFFFF"/>
        </w:rPr>
        <w:t>所有API接口支持</w:t>
      </w:r>
      <w:r>
        <w:rPr>
          <w:rStyle w:val="11"/>
          <w:rFonts w:hint="default" w:ascii="仿宋" w:hAnsi="Consolas" w:eastAsia="仿宋" w:cs="Consolas"/>
          <w:i w:val="0"/>
          <w:iCs w:val="0"/>
          <w:caps w:val="0"/>
          <w:color w:val="auto"/>
          <w:spacing w:val="0"/>
          <w:sz w:val="24"/>
          <w:szCs w:val="18"/>
          <w:shd w:val="clear" w:fill="EBEEF2"/>
        </w:rPr>
        <w:t>user_id</w:t>
      </w:r>
      <w:r>
        <w:rPr>
          <w:rFonts w:hint="default" w:ascii="仿宋" w:hAnsi="Segoe UI" w:eastAsia="仿宋" w:cs="Segoe UI"/>
          <w:i w:val="0"/>
          <w:iCs w:val="0"/>
          <w:caps w:val="0"/>
          <w:color w:val="auto"/>
          <w:spacing w:val="0"/>
          <w:sz w:val="24"/>
          <w:szCs w:val="19"/>
          <w:shd w:val="clear" w:fill="FFFFFF"/>
        </w:rPr>
        <w:t>参数（默认值1）</w:t>
      </w:r>
    </w:p>
    <w:p w14:paraId="7C42F7A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eastAsia="仿宋"/>
          <w:sz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B40A621">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第九章 关键技术决策记录</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1"/>
        <w:gridCol w:w="2513"/>
        <w:gridCol w:w="3933"/>
        <w:gridCol w:w="1128"/>
      </w:tblGrid>
      <w:tr w14:paraId="35C58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06"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4129A8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ID</w:t>
            </w:r>
          </w:p>
        </w:tc>
        <w:tc>
          <w:tcPr>
            <w:tcW w:w="252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3347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决策</w:t>
            </w:r>
          </w:p>
        </w:tc>
        <w:tc>
          <w:tcPr>
            <w:tcW w:w="3951"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480E1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理由</w:t>
            </w:r>
          </w:p>
        </w:tc>
        <w:tc>
          <w:tcPr>
            <w:tcW w:w="1114"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28C2A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决策时间</w:t>
            </w:r>
          </w:p>
        </w:tc>
      </w:tr>
      <w:tr w14:paraId="60CDB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804AF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ADR-001</w:t>
            </w:r>
          </w:p>
        </w:tc>
        <w:tc>
          <w:tcPr>
            <w:tcW w:w="252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C60D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前端选择React</w:t>
            </w:r>
          </w:p>
        </w:tc>
        <w:tc>
          <w:tcPr>
            <w:tcW w:w="395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5A6B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复用DecisionMate经验，保持简历技术栈一致性</w:t>
            </w:r>
          </w:p>
        </w:tc>
        <w:tc>
          <w:tcPr>
            <w:tcW w:w="11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5022E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2026-06-10</w:t>
            </w:r>
          </w:p>
        </w:tc>
      </w:tr>
      <w:tr w14:paraId="3C291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E12C5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ADR-002</w:t>
            </w:r>
          </w:p>
        </w:tc>
        <w:tc>
          <w:tcPr>
            <w:tcW w:w="252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166F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1-3对话历史存MySQL</w:t>
            </w:r>
          </w:p>
        </w:tc>
        <w:tc>
          <w:tcPr>
            <w:tcW w:w="395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98312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避免过度设计，聚焦核心流水线</w:t>
            </w:r>
          </w:p>
        </w:tc>
        <w:tc>
          <w:tcPr>
            <w:tcW w:w="11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23D98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2026-06-10</w:t>
            </w:r>
          </w:p>
        </w:tc>
      </w:tr>
      <w:tr w14:paraId="69F56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B1933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ADR-003</w:t>
            </w:r>
          </w:p>
        </w:tc>
        <w:tc>
          <w:tcPr>
            <w:tcW w:w="252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E093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LQR采用策略模式预留</w:t>
            </w:r>
          </w:p>
        </w:tc>
        <w:tc>
          <w:tcPr>
            <w:tcW w:w="395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49F07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理论未经实战验证</w:t>
            </w:r>
          </w:p>
        </w:tc>
        <w:tc>
          <w:tcPr>
            <w:tcW w:w="11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0A2E6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2026-06-10</w:t>
            </w:r>
          </w:p>
        </w:tc>
      </w:tr>
      <w:tr w14:paraId="14D6B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4D738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ADR-004</w:t>
            </w:r>
          </w:p>
        </w:tc>
        <w:tc>
          <w:tcPr>
            <w:tcW w:w="252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C588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从Phase 1起支持多用户隔离</w:t>
            </w:r>
          </w:p>
        </w:tc>
        <w:tc>
          <w:tcPr>
            <w:tcW w:w="395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8AD6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改造成本远低于后期追加</w:t>
            </w:r>
          </w:p>
        </w:tc>
        <w:tc>
          <w:tcPr>
            <w:tcW w:w="11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18B9B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2026-06-10</w:t>
            </w:r>
          </w:p>
        </w:tc>
      </w:tr>
      <w:tr w14:paraId="1F647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59779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ADR-005</w:t>
            </w:r>
          </w:p>
        </w:tc>
        <w:tc>
          <w:tcPr>
            <w:tcW w:w="252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10AB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数据库不使用Docker</w:t>
            </w:r>
          </w:p>
        </w:tc>
        <w:tc>
          <w:tcPr>
            <w:tcW w:w="395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630B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本地开发，保持环境轻量</w:t>
            </w:r>
          </w:p>
        </w:tc>
        <w:tc>
          <w:tcPr>
            <w:tcW w:w="11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1CFF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2026-06-10</w:t>
            </w:r>
          </w:p>
        </w:tc>
      </w:tr>
      <w:tr w14:paraId="7273F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6D8F1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ADR-006</w:t>
            </w:r>
          </w:p>
        </w:tc>
        <w:tc>
          <w:tcPr>
            <w:tcW w:w="252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E86A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后端选Java Spring Boot</w:t>
            </w:r>
          </w:p>
        </w:tc>
        <w:tc>
          <w:tcPr>
            <w:tcW w:w="395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45E5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补充Java技术栈空白</w:t>
            </w:r>
          </w:p>
        </w:tc>
        <w:tc>
          <w:tcPr>
            <w:tcW w:w="11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C982D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2026-06-10</w:t>
            </w:r>
          </w:p>
        </w:tc>
      </w:tr>
      <w:tr w14:paraId="454EB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0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0630F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ADR-007</w:t>
            </w:r>
          </w:p>
        </w:tc>
        <w:tc>
          <w:tcPr>
            <w:tcW w:w="252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946B89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基金名称不脱敏</w:t>
            </w:r>
          </w:p>
        </w:tc>
        <w:tc>
          <w:tcPr>
            <w:tcW w:w="395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6923A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后续通过映射表或大模型检索代码</w:t>
            </w:r>
          </w:p>
        </w:tc>
        <w:tc>
          <w:tcPr>
            <w:tcW w:w="1114"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69ACE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2026-06-10</w:t>
            </w:r>
          </w:p>
        </w:tc>
      </w:tr>
    </w:tbl>
    <w:p w14:paraId="55D0546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eastAsia="仿宋"/>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391560C">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第十章 与微控金融（鸿蒙版）的改进对照</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8"/>
        <w:gridCol w:w="3414"/>
        <w:gridCol w:w="3713"/>
      </w:tblGrid>
      <w:tr w14:paraId="1092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CBF0F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问题</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763F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鸿蒙版表现</w:t>
            </w:r>
          </w:p>
        </w:tc>
        <w:tc>
          <w:tcPr>
            <w:tcW w:w="3713"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F9254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FinControl改进</w:t>
            </w:r>
          </w:p>
        </w:tc>
      </w:tr>
      <w:tr w14:paraId="638EE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68EB7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数据持久化</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A642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数据硬编码在前端，重启丢失</w:t>
            </w:r>
          </w:p>
        </w:tc>
        <w:tc>
          <w:tcPr>
            <w:tcW w:w="371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B22BF2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MySQL持久化存储，数据永不丢失</w:t>
            </w:r>
          </w:p>
        </w:tc>
      </w:tr>
      <w:tr w14:paraId="3557D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DC62F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数据入口</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ED618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手动修改代码中的金额</w:t>
            </w:r>
          </w:p>
        </w:tc>
        <w:tc>
          <w:tcPr>
            <w:tcW w:w="371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3256B1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截图自动解析+手动上传</w:t>
            </w:r>
          </w:p>
        </w:tc>
      </w:tr>
      <w:tr w14:paraId="49C9D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19692E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架构分层</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2FCEB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所有逻辑在前端单例中</w:t>
            </w:r>
          </w:p>
        </w:tc>
        <w:tc>
          <w:tcPr>
            <w:tcW w:w="371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176D7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后端Service层+前端View层分离</w:t>
            </w:r>
          </w:p>
        </w:tc>
      </w:tr>
      <w:tr w14:paraId="6D805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3C275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AI对话</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7117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单次输入，无上下文</w:t>
            </w:r>
          </w:p>
        </w:tc>
        <w:tc>
          <w:tcPr>
            <w:tcW w:w="371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D5CCA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多轮对话，上下文管理，历史存储</w:t>
            </w:r>
          </w:p>
        </w:tc>
      </w:tr>
      <w:tr w14:paraId="4E0DD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C1F118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多用户</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872C2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w:t>
            </w:r>
          </w:p>
        </w:tc>
        <w:tc>
          <w:tcPr>
            <w:tcW w:w="371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B32EB8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从Phase 1起预留user_id</w:t>
            </w:r>
          </w:p>
        </w:tc>
      </w:tr>
      <w:tr w14:paraId="47A3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C3C599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算法扩展性</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D9C4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二元一次方程硬编码在前端</w:t>
            </w:r>
          </w:p>
        </w:tc>
        <w:tc>
          <w:tcPr>
            <w:tcW w:w="371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7EFE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策略模式预留LQR接口</w:t>
            </w:r>
          </w:p>
        </w:tc>
      </w:tr>
      <w:tr w14:paraId="694ED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BA8E4B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开发模式</w:t>
            </w:r>
          </w:p>
        </w:tc>
        <w:tc>
          <w:tcPr>
            <w:tcW w:w="341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AF433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螺旋模型（边做边改）</w:t>
            </w:r>
          </w:p>
        </w:tc>
        <w:tc>
          <w:tcPr>
            <w:tcW w:w="3713"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C0EFA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瀑布模型（先写设计文档再编码）</w:t>
            </w:r>
          </w:p>
        </w:tc>
      </w:tr>
    </w:tbl>
    <w:p w14:paraId="780C767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eastAsia="仿宋"/>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4CBB3E3">
      <w:pPr>
        <w:pStyle w:val="2"/>
        <w:keepNext/>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rPr>
      </w:pPr>
      <w:r>
        <w:rPr>
          <w:rFonts w:hint="default" w:ascii="仿宋" w:hAnsi="Segoe UI" w:eastAsia="仿宋" w:cs="Segoe UI"/>
          <w:b/>
          <w:bCs/>
          <w:caps w:val="0"/>
          <w:color w:val="auto"/>
          <w:spacing w:val="0"/>
          <w:sz w:val="32"/>
          <w:szCs w:val="26"/>
          <w:shd w:val="clear" w:fill="FFFFFF"/>
        </w:rPr>
        <w:t>第十一章 已识别的不确定性与应对预案</w:t>
      </w:r>
    </w:p>
    <w:tbl>
      <w:tblPr>
        <w:tblStyle w:val="8"/>
        <w:tblW w:w="97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0"/>
        <w:gridCol w:w="1404"/>
        <w:gridCol w:w="2537"/>
        <w:gridCol w:w="2471"/>
        <w:gridCol w:w="2408"/>
      </w:tblGrid>
      <w:tr w14:paraId="2798C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88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C673D2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ID</w:t>
            </w:r>
          </w:p>
        </w:tc>
        <w:tc>
          <w:tcPr>
            <w:tcW w:w="141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B51B9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不确定性</w:t>
            </w:r>
          </w:p>
        </w:tc>
        <w:tc>
          <w:tcPr>
            <w:tcW w:w="250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40E3D6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影响范围</w:t>
            </w:r>
          </w:p>
        </w:tc>
        <w:tc>
          <w:tcPr>
            <w:tcW w:w="250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A5ADC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预计澄清时间</w:t>
            </w:r>
          </w:p>
        </w:tc>
        <w:tc>
          <w:tcPr>
            <w:tcW w:w="245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3AAE9B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应对预案</w:t>
            </w:r>
          </w:p>
        </w:tc>
      </w:tr>
      <w:tr w14:paraId="0D2B5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2416BD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UNC-001</w:t>
            </w:r>
          </w:p>
        </w:tc>
        <w:tc>
          <w:tcPr>
            <w:tcW w:w="141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F252E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LQR输入输出参数待实战验证</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8C75F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CorrectionInput/Output数据结构</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85FE2A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6月末首次实战后</w:t>
            </w:r>
          </w:p>
        </w:tc>
        <w:tc>
          <w:tcPr>
            <w:tcW w:w="24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3B37D1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先定义通用接口，实战后按需调整</w:t>
            </w:r>
          </w:p>
        </w:tc>
      </w:tr>
      <w:tr w14:paraId="58A0C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150953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UNC-002</w:t>
            </w:r>
          </w:p>
        </w:tc>
        <w:tc>
          <w:tcPr>
            <w:tcW w:w="141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2C72C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历史收益率数据导入方式</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5E958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3净值曲线功能</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B6FA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lang w:val="en-US"/>
              </w:rPr>
            </w:pPr>
            <w:r>
              <w:rPr>
                <w:rFonts w:hint="default" w:ascii="Segoe UI" w:hAnsi="Segoe UI" w:eastAsia="Segoe UI" w:cs="Segoe UI"/>
                <w:kern w:val="0"/>
                <w:sz w:val="18"/>
                <w:szCs w:val="18"/>
                <w:lang w:val="en-US" w:eastAsia="zh-CN" w:bidi="ar"/>
              </w:rPr>
              <w:t>Phase 3启动前</w:t>
            </w:r>
            <w:r>
              <w:rPr>
                <w:rFonts w:hint="eastAsia" w:ascii="Segoe UI" w:hAnsi="Segoe UI" w:eastAsia="Segoe UI" w:cs="Segoe UI"/>
                <w:kern w:val="0"/>
                <w:sz w:val="18"/>
                <w:szCs w:val="18"/>
                <w:lang w:val="en-US" w:eastAsia="zh-CN" w:bidi="ar"/>
              </w:rPr>
              <w:t>完成导入脚本</w:t>
            </w:r>
          </w:p>
        </w:tc>
        <w:tc>
          <w:tcPr>
            <w:tcW w:w="24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0FAD03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ascii="Segoe UI" w:hAnsi="Segoe UI" w:eastAsia="Segoe UI" w:cs="Segoe UI"/>
                <w:i w:val="0"/>
                <w:iCs w:val="0"/>
                <w:caps w:val="0"/>
                <w:color w:val="0F1115"/>
                <w:spacing w:val="0"/>
                <w:sz w:val="19"/>
                <w:szCs w:val="19"/>
                <w:shd w:val="clear" w:fill="FFFFFF"/>
              </w:rPr>
              <w:t>数据格式已验证，导入脚本待写</w:t>
            </w:r>
          </w:p>
        </w:tc>
      </w:tr>
      <w:tr w14:paraId="4B83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4E5AFA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UNC-003</w:t>
            </w:r>
          </w:p>
        </w:tc>
        <w:tc>
          <w:tcPr>
            <w:tcW w:w="141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66678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前端图表库选型</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654AE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3数据可视化</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73B97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3启动前</w:t>
            </w:r>
          </w:p>
        </w:tc>
        <w:tc>
          <w:tcPr>
            <w:tcW w:w="24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49640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ECharts vs Recharts届时选择</w:t>
            </w:r>
          </w:p>
        </w:tc>
      </w:tr>
      <w:tr w14:paraId="4A430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D222F8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UNC-004</w:t>
            </w:r>
          </w:p>
        </w:tc>
        <w:tc>
          <w:tcPr>
            <w:tcW w:w="141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5CC4A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基金代码-名称映射表建立时机</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D3F6B3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asset_</w:t>
            </w:r>
            <w:r>
              <w:rPr>
                <w:rFonts w:hint="default" w:ascii="Segoe UI" w:hAnsi="Segoe UI" w:eastAsia="Segoe UI" w:cs="Segoe UI"/>
                <w:color w:val="3964FE"/>
                <w:kern w:val="0"/>
                <w:sz w:val="18"/>
                <w:szCs w:val="18"/>
                <w:u w:val="none"/>
                <w:bdr w:val="single" w:color="auto" w:sz="12" w:space="0"/>
                <w:lang w:val="en-US" w:eastAsia="zh-CN" w:bidi="ar"/>
              </w:rPr>
              <w:fldChar w:fldCharType="begin"/>
            </w:r>
            <w:r>
              <w:rPr>
                <w:rFonts w:hint="default" w:ascii="Segoe UI" w:hAnsi="Segoe UI" w:eastAsia="Segoe UI" w:cs="Segoe UI"/>
                <w:color w:val="3964FE"/>
                <w:kern w:val="0"/>
                <w:sz w:val="18"/>
                <w:szCs w:val="18"/>
                <w:u w:val="none"/>
                <w:bdr w:val="single" w:color="auto" w:sz="12" w:space="0"/>
                <w:lang w:val="en-US" w:eastAsia="zh-CN" w:bidi="ar"/>
              </w:rPr>
              <w:instrText xml:space="preserve"> HYPERLINK "https://raw.fund/" \t "https://chat.deepseek.com/a/chat/s/_blank" </w:instrText>
            </w:r>
            <w:r>
              <w:rPr>
                <w:rFonts w:hint="default" w:ascii="Segoe UI" w:hAnsi="Segoe UI" w:eastAsia="Segoe UI" w:cs="Segoe UI"/>
                <w:color w:val="3964FE"/>
                <w:kern w:val="0"/>
                <w:sz w:val="18"/>
                <w:szCs w:val="18"/>
                <w:u w:val="none"/>
                <w:bdr w:val="single" w:color="auto" w:sz="12" w:space="0"/>
                <w:lang w:val="en-US" w:eastAsia="zh-CN" w:bidi="ar"/>
              </w:rPr>
              <w:fldChar w:fldCharType="separate"/>
            </w:r>
            <w:r>
              <w:rPr>
                <w:rStyle w:val="10"/>
                <w:rFonts w:hint="default" w:ascii="Segoe UI" w:hAnsi="Segoe UI" w:eastAsia="Segoe UI" w:cs="Segoe UI"/>
                <w:color w:val="3964FE"/>
                <w:sz w:val="18"/>
                <w:szCs w:val="18"/>
                <w:u w:val="none"/>
              </w:rPr>
              <w:t>raw.fund</w:t>
            </w:r>
            <w:r>
              <w:rPr>
                <w:rFonts w:hint="default" w:ascii="Segoe UI" w:hAnsi="Segoe UI" w:eastAsia="Segoe UI" w:cs="Segoe UI"/>
                <w:color w:val="3964FE"/>
                <w:kern w:val="0"/>
                <w:sz w:val="18"/>
                <w:szCs w:val="18"/>
                <w:u w:val="none"/>
                <w:bdr w:val="single" w:color="auto" w:sz="12" w:space="0"/>
                <w:lang w:val="en-US" w:eastAsia="zh-CN" w:bidi="ar"/>
              </w:rPr>
              <w:fldChar w:fldCharType="end"/>
            </w:r>
            <w:r>
              <w:rPr>
                <w:rFonts w:hint="default" w:ascii="Segoe UI" w:hAnsi="Segoe UI" w:eastAsia="Segoe UI" w:cs="Segoe UI"/>
                <w:kern w:val="0"/>
                <w:sz w:val="18"/>
                <w:szCs w:val="18"/>
                <w:lang w:val="en-US" w:eastAsia="zh-CN" w:bidi="ar"/>
              </w:rPr>
              <w:t>_code字段</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6F6EF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SDK阶段</w:t>
            </w:r>
          </w:p>
        </w:tc>
        <w:tc>
          <w:tcPr>
            <w:tcW w:w="24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961FF0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不影响Phase 1-3，远期检索</w:t>
            </w:r>
          </w:p>
        </w:tc>
      </w:tr>
      <w:tr w14:paraId="797AD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055105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UNC-005</w:t>
            </w:r>
          </w:p>
        </w:tc>
        <w:tc>
          <w:tcPr>
            <w:tcW w:w="141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1E709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sub_detail JSON结构启用时机</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B41775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asset_snapshot.sub_detail字段</w:t>
            </w:r>
          </w:p>
        </w:tc>
        <w:tc>
          <w:tcPr>
            <w:tcW w:w="250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E7361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第三峰研究启动时</w:t>
            </w:r>
          </w:p>
        </w:tc>
        <w:tc>
          <w:tcPr>
            <w:tcW w:w="24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591ECE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不影响Phase 1-3</w:t>
            </w:r>
          </w:p>
        </w:tc>
      </w:tr>
      <w:tr w14:paraId="46B00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82" w:type="dxa"/>
            <w:tcBorders>
              <w:top w:val="single" w:color="auto" w:sz="4" w:space="0"/>
              <w:left w:val="single" w:color="auto" w:sz="12" w:space="0"/>
              <w:bottom w:val="single" w:color="auto" w:sz="4" w:space="0"/>
              <w:right w:val="nil"/>
            </w:tcBorders>
            <w:shd w:val="clear" w:color="auto" w:fill="auto"/>
            <w:noWrap w:val="0"/>
            <w:tcMar>
              <w:top w:w="120" w:type="dxa"/>
              <w:left w:w="-1" w:type="dxa"/>
              <w:bottom w:w="120" w:type="dxa"/>
              <w:right w:w="192" w:type="dxa"/>
            </w:tcMar>
            <w:vAlign w:val="center"/>
          </w:tcPr>
          <w:p w14:paraId="509DC5B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UNC-006</w:t>
            </w:r>
          </w:p>
        </w:tc>
        <w:tc>
          <w:tcPr>
            <w:tcW w:w="141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7FAD18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截图Prompt长期稳定性</w:t>
            </w:r>
          </w:p>
        </w:tc>
        <w:tc>
          <w:tcPr>
            <w:tcW w:w="250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4CA6D7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数据解析准确率</w:t>
            </w:r>
          </w:p>
        </w:tc>
        <w:tc>
          <w:tcPr>
            <w:tcW w:w="250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412053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支付宝页面改版时</w:t>
            </w:r>
          </w:p>
        </w:tc>
        <w:tc>
          <w:tcPr>
            <w:tcW w:w="2450" w:type="dxa"/>
            <w:tcBorders>
              <w:top w:val="single" w:color="auto" w:sz="4" w:space="0"/>
              <w:left w:val="single" w:color="auto" w:sz="4" w:space="0"/>
              <w:bottom w:val="single" w:color="auto" w:sz="4" w:space="0"/>
              <w:right w:val="single" w:color="auto" w:sz="12" w:space="0"/>
            </w:tcBorders>
            <w:shd w:val="clear" w:color="auto" w:fill="auto"/>
            <w:noWrap w:val="0"/>
            <w:tcMar>
              <w:top w:w="120" w:type="dxa"/>
              <w:left w:w="192" w:type="dxa"/>
              <w:bottom w:w="120" w:type="dxa"/>
              <w:right w:w="-1" w:type="dxa"/>
            </w:tcMar>
            <w:vAlign w:val="center"/>
          </w:tcPr>
          <w:p w14:paraId="3CBD7A8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版本管理表支持快速切换</w:t>
            </w:r>
          </w:p>
        </w:tc>
      </w:tr>
      <w:tr w14:paraId="0FD4A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8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326E12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kern w:val="0"/>
                <w:sz w:val="18"/>
                <w:szCs w:val="18"/>
                <w:lang w:val="en-US" w:eastAsia="zh-CN" w:bidi="ar"/>
              </w:rPr>
            </w:pPr>
            <w:r>
              <w:rPr>
                <w:rFonts w:ascii="Segoe UI" w:hAnsi="Segoe UI" w:eastAsia="Segoe UI" w:cs="Segoe UI"/>
                <w:i w:val="0"/>
                <w:iCs w:val="0"/>
                <w:caps w:val="0"/>
                <w:color w:val="0F1115"/>
                <w:spacing w:val="0"/>
                <w:sz w:val="18"/>
                <w:szCs w:val="19"/>
                <w:shd w:val="clear" w:fill="FFFFFF"/>
              </w:rPr>
              <w:t>UNC-007</w:t>
            </w:r>
          </w:p>
        </w:tc>
        <w:tc>
          <w:tcPr>
            <w:tcW w:w="141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93FA78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用户自定义大类实现时机</w:t>
            </w:r>
          </w:p>
        </w:tc>
        <w:tc>
          <w:tcPr>
            <w:tcW w:w="250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0629DF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hint="default" w:ascii="Segoe UI" w:hAnsi="Segoe UI" w:eastAsia="Segoe UI" w:cs="Segoe UI"/>
                <w:kern w:val="0"/>
                <w:sz w:val="18"/>
                <w:szCs w:val="18"/>
                <w:lang w:val="en-US" w:eastAsia="zh-CN" w:bidi="ar"/>
              </w:rPr>
              <w:t>fund_category_map表、大类选择器、MonthlyCorrectionStrategy</w:t>
            </w:r>
          </w:p>
        </w:tc>
        <w:tc>
          <w:tcPr>
            <w:tcW w:w="250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5D4CB7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i w:val="0"/>
                <w:iCs w:val="0"/>
                <w:caps w:val="0"/>
                <w:color w:val="0F1115"/>
                <w:spacing w:val="0"/>
                <w:sz w:val="19"/>
                <w:szCs w:val="19"/>
                <w:shd w:val="clear" w:fill="FFFFFF"/>
              </w:rPr>
              <w:t>SDK阶段（Phase 5之后）</w:t>
            </w:r>
          </w:p>
        </w:tc>
        <w:tc>
          <w:tcPr>
            <w:tcW w:w="245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A026A1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kern w:val="0"/>
                <w:sz w:val="18"/>
                <w:szCs w:val="18"/>
                <w:lang w:val="en-US" w:eastAsia="zh-CN" w:bidi="ar"/>
              </w:rPr>
            </w:pPr>
            <w:r>
              <w:rPr>
                <w:rFonts w:ascii="Segoe UI" w:hAnsi="Segoe UI" w:eastAsia="Segoe UI" w:cs="Segoe UI"/>
                <w:i w:val="0"/>
                <w:iCs w:val="0"/>
                <w:caps w:val="0"/>
                <w:color w:val="0F1115"/>
                <w:spacing w:val="0"/>
                <w:sz w:val="18"/>
                <w:szCs w:val="19"/>
                <w:shd w:val="clear" w:fill="FFFFFF"/>
              </w:rPr>
              <w:t>当前硬编码六大类，架构已预留扩展接口</w:t>
            </w:r>
          </w:p>
        </w:tc>
      </w:tr>
    </w:tbl>
    <w:p w14:paraId="514849D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eastAsia="仿宋"/>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5B8D59B">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shd w:val="clear" w:fill="FFFFFF"/>
        </w:rPr>
      </w:pPr>
      <w:r>
        <w:rPr>
          <w:rFonts w:hint="default" w:ascii="仿宋" w:hAnsi="Segoe UI" w:eastAsia="仿宋" w:cs="Segoe UI"/>
          <w:b/>
          <w:bCs/>
          <w:caps w:val="0"/>
          <w:color w:val="auto"/>
          <w:spacing w:val="0"/>
          <w:sz w:val="32"/>
          <w:szCs w:val="26"/>
          <w:shd w:val="clear" w:fill="FFFFFF"/>
        </w:rPr>
        <w:t>附录A：六大类目标比例</w:t>
      </w:r>
    </w:p>
    <w:tbl>
      <w:tblPr>
        <w:tblStyle w:val="8"/>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6"/>
        <w:gridCol w:w="2300"/>
        <w:gridCol w:w="3399"/>
      </w:tblGrid>
      <w:tr w14:paraId="570BD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73B331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大类</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6AE4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目标比例</w:t>
            </w:r>
          </w:p>
        </w:tc>
        <w:tc>
          <w:tcPr>
            <w:tcW w:w="3399"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09727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角色定位</w:t>
            </w:r>
          </w:p>
        </w:tc>
      </w:tr>
      <w:tr w14:paraId="36AC4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E194B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货币类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8C2BC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w:t>
            </w:r>
          </w:p>
        </w:tc>
        <w:tc>
          <w:tcPr>
            <w:tcW w:w="339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A5C19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流动性备用</w:t>
            </w:r>
          </w:p>
        </w:tc>
      </w:tr>
      <w:tr w14:paraId="41466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B2EA7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固收类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D3A13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15%</w:t>
            </w:r>
          </w:p>
        </w:tc>
        <w:tc>
          <w:tcPr>
            <w:tcW w:w="339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55E10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稳健压舱石</w:t>
            </w:r>
          </w:p>
        </w:tc>
      </w:tr>
      <w:tr w14:paraId="70EA8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859D4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商品类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C8B79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25%</w:t>
            </w:r>
          </w:p>
        </w:tc>
        <w:tc>
          <w:tcPr>
            <w:tcW w:w="339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5C6CE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抗通胀 + 避险</w:t>
            </w:r>
          </w:p>
        </w:tc>
      </w:tr>
      <w:tr w14:paraId="3F1F2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9045E3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A股权益类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FA293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25%</w:t>
            </w:r>
          </w:p>
        </w:tc>
        <w:tc>
          <w:tcPr>
            <w:tcW w:w="339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049FB8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分享中国经济增长</w:t>
            </w:r>
          </w:p>
        </w:tc>
      </w:tr>
      <w:tr w14:paraId="125B3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CA7D75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海外权益类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47CCE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20%</w:t>
            </w:r>
          </w:p>
        </w:tc>
        <w:tc>
          <w:tcPr>
            <w:tcW w:w="339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E4B99C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分散地域风险</w:t>
            </w:r>
          </w:p>
        </w:tc>
      </w:tr>
      <w:tr w14:paraId="2E21D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9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7A8968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港股/大中华类</w:t>
            </w:r>
          </w:p>
        </w:tc>
        <w:tc>
          <w:tcPr>
            <w:tcW w:w="230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AD5C64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w:t>
            </w:r>
          </w:p>
        </w:tc>
        <w:tc>
          <w:tcPr>
            <w:tcW w:w="3399"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2635701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大中华卫星探索</w:t>
            </w:r>
          </w:p>
        </w:tc>
      </w:tr>
    </w:tbl>
    <w:p w14:paraId="13A20519">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仿宋" w:hAnsi="Segoe UI" w:eastAsia="仿宋" w:cs="Segoe UI"/>
          <w:i w:val="0"/>
          <w:iCs w:val="0"/>
          <w:caps w:val="0"/>
          <w:spacing w:val="0"/>
          <w:sz w:val="24"/>
          <w:szCs w:val="19"/>
        </w:rPr>
      </w:pPr>
      <w:r>
        <w:rPr>
          <w:rFonts w:ascii="仿宋" w:eastAsia="仿宋"/>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D0E7ACE">
      <w:pPr>
        <w:pStyle w:val="2"/>
        <w:keepNext w:val="0"/>
        <w:keepLines w:val="0"/>
        <w:widowControl/>
        <w:suppressLineNumbers w:val="0"/>
        <w:shd w:val="clear" w:fill="FFFFFF"/>
        <w:snapToGrid/>
        <w:spacing w:before="384" w:beforeAutospacing="0" w:after="192" w:afterAutospacing="0" w:line="384" w:lineRule="atLeast"/>
        <w:ind w:left="0" w:leftChars="0" w:right="0" w:rightChars="0" w:firstLine="0" w:firstLineChars="0"/>
        <w:jc w:val="center"/>
        <w:outlineLvl w:val="0"/>
        <w:rPr>
          <w:rFonts w:hint="default" w:ascii="仿宋" w:hAnsi="Segoe UI" w:eastAsia="仿宋" w:cs="Segoe UI"/>
          <w:b/>
          <w:bCs/>
          <w:caps w:val="0"/>
          <w:color w:val="auto"/>
          <w:spacing w:val="0"/>
          <w:sz w:val="32"/>
          <w:szCs w:val="26"/>
          <w:shd w:val="clear" w:fill="FFFFFF"/>
        </w:rPr>
      </w:pPr>
      <w:r>
        <w:rPr>
          <w:rFonts w:hint="default" w:ascii="仿宋" w:hAnsi="Segoe UI" w:eastAsia="仿宋" w:cs="Segoe UI"/>
          <w:b/>
          <w:bCs/>
          <w:caps w:val="0"/>
          <w:color w:val="auto"/>
          <w:spacing w:val="0"/>
          <w:sz w:val="32"/>
          <w:szCs w:val="26"/>
          <w:shd w:val="clear" w:fill="FFFFFF"/>
        </w:rPr>
        <w:t>附录B：核心Prompt模板</w:t>
      </w:r>
    </w:p>
    <w:p w14:paraId="50A8656A">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shd w:val="clear" w:fill="FFFFFF"/>
        </w:rPr>
      </w:pPr>
      <w:r>
        <w:rPr>
          <w:rFonts w:hint="default" w:ascii="仿宋" w:hAnsi="Segoe UI" w:eastAsia="仿宋" w:cs="Segoe UI"/>
          <w:b/>
          <w:bCs/>
          <w:caps w:val="0"/>
          <w:color w:val="auto"/>
          <w:spacing w:val="0"/>
          <w:sz w:val="30"/>
          <w:szCs w:val="24"/>
          <w:shd w:val="clear" w:fill="FFFFFF"/>
        </w:rPr>
        <w:t>B.1 截图解析Prompt（screenshot_parser v1.0）</w:t>
      </w:r>
    </w:p>
    <w:p w14:paraId="7CD37D64">
      <w:pPr>
        <w:pStyle w:val="7"/>
        <w:keepNext w:val="0"/>
        <w:keepLines w:val="0"/>
        <w:widowControl/>
        <w:suppressLineNumbers w:val="0"/>
        <w:shd w:val="clear" w:fill="FFFFFF"/>
        <w:spacing w:before="192" w:beforeAutospacing="0" w:after="192" w:afterAutospacing="0"/>
        <w:ind w:left="0" w:right="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用途：</w:t>
      </w:r>
      <w:r>
        <w:rPr>
          <w:rFonts w:hint="default" w:ascii="仿宋" w:hAnsi="Segoe UI" w:eastAsia="仿宋" w:cs="Segoe UI"/>
          <w:i w:val="0"/>
          <w:iCs w:val="0"/>
          <w:caps w:val="0"/>
          <w:color w:val="auto"/>
          <w:spacing w:val="0"/>
          <w:kern w:val="2"/>
          <w:sz w:val="24"/>
          <w:szCs w:val="19"/>
          <w:shd w:val="clear" w:fill="FFFFFF"/>
          <w:lang w:val="en-US" w:eastAsia="zh-CN" w:bidi="ar-SA"/>
        </w:rPr>
        <w:t>调用DeepSeek API解析支付宝资产截图，返回结构化JSON和Markdown格式的完整报告。</w:t>
      </w:r>
    </w:p>
    <w:p w14:paraId="7BE23ACB">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技术实现：</w:t>
      </w:r>
      <w:r>
        <w:rPr>
          <w:rFonts w:hint="default" w:ascii="仿宋" w:hAnsi="Segoe UI" w:eastAsia="仿宋" w:cs="Segoe UI"/>
          <w:i w:val="0"/>
          <w:iCs w:val="0"/>
          <w:caps w:val="0"/>
          <w:color w:val="auto"/>
          <w:spacing w:val="0"/>
          <w:kern w:val="2"/>
          <w:sz w:val="24"/>
          <w:szCs w:val="19"/>
          <w:shd w:val="clear" w:fill="FFFFFF"/>
          <w:lang w:val="en-US" w:eastAsia="zh-CN" w:bidi="ar-SA"/>
        </w:rPr>
        <w:t>截图解析通过集成DeepSeek API的图片识别能力实现，未自行开发OCR算法。</w:t>
      </w:r>
    </w:p>
    <w:p w14:paraId="5A00755C">
      <w:pPr>
        <w:keepNext w:val="0"/>
        <w:keepLines w:val="0"/>
        <w:widowControl/>
        <w:suppressLineNumbers w:val="0"/>
        <w:shd w:val="clear" w:fill="FFFFFF"/>
        <w:spacing w:before="192" w:beforeAutospacing="0" w:after="192" w:afterAutospacing="0"/>
        <w:ind w:left="0" w:leftChars="0" w:right="0" w:rightChars="0" w:firstLine="420" w:firstLineChars="0"/>
        <w:jc w:val="both"/>
        <w:rPr>
          <w:rFonts w:hint="default" w:ascii="仿宋" w:hAnsi="Segoe UI" w:eastAsia="仿宋" w:cs="Segoe UI"/>
          <w:b/>
          <w:bCs/>
          <w:i w:val="0"/>
          <w:iCs w:val="0"/>
          <w:caps w:val="0"/>
          <w:color w:val="auto"/>
          <w:spacing w:val="0"/>
          <w:kern w:val="2"/>
          <w:sz w:val="24"/>
          <w:szCs w:val="19"/>
          <w:shd w:val="clear" w:fill="FFFFFF"/>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Prompt内容：</w:t>
      </w:r>
    </w:p>
    <w:p w14:paraId="38B0CAD5">
      <w:pPr>
        <w:keepNext w:val="0"/>
        <w:keepLines w:val="0"/>
        <w:widowControl/>
        <w:suppressLineNumbers w:val="0"/>
        <w:shd w:val="clear" w:fill="FFFFFF"/>
        <w:spacing w:before="192" w:beforeAutospacing="0" w:after="192" w:afterAutospacing="0"/>
        <w:ind w:left="420" w:leftChars="0" w:right="0" w:rightChars="0" w:firstLine="420" w:firstLineChars="0"/>
        <w:jc w:val="both"/>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kern w:val="2"/>
          <w:sz w:val="24"/>
          <w:szCs w:val="19"/>
          <w:shd w:val="clear" w:fill="FFFFFF"/>
          <w:lang w:val="en-US" w:eastAsia="zh-CN" w:bidi="ar-SA"/>
        </w:rPr>
        <w:t>识别[日期]（支付宝）资产明细。默认数据源为支付宝，SDK阶段再考虑多个基金软件的适配。请返回完整的六大类资产明细表格和六大类汇总表格，以及一段总结。表格使用Markdown格式。每只基金需包含基金名称、持仓金额（元）、持有收益（元）、六大类归属。同时返回结构化JSON供后端解析。</w:t>
      </w:r>
    </w:p>
    <w:p w14:paraId="25700F09">
      <w:pPr>
        <w:pStyle w:val="7"/>
        <w:keepNext w:val="0"/>
        <w:keepLines w:val="0"/>
        <w:widowControl/>
        <w:suppressLineNumbers w:val="0"/>
        <w:spacing w:before="192" w:beforeAutospacing="0" w:after="192" w:afterAutospacing="0"/>
        <w:ind w:left="0" w:leftChars="0" w:right="0" w:firstLine="420" w:firstLineChars="0"/>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API返回JSON结构</w:t>
      </w:r>
      <w:r>
        <w:rPr>
          <w:rFonts w:hint="default" w:ascii="仿宋" w:hAnsi="Segoe UI" w:eastAsia="仿宋" w:cs="Segoe UI"/>
          <w:i w:val="0"/>
          <w:iCs w:val="0"/>
          <w:caps w:val="0"/>
          <w:color w:val="auto"/>
          <w:spacing w:val="0"/>
          <w:kern w:val="2"/>
          <w:sz w:val="24"/>
          <w:szCs w:val="19"/>
          <w:shd w:val="clear" w:fill="FFFFFF"/>
          <w:lang w:val="en-US" w:eastAsia="zh-CN" w:bidi="ar-SA"/>
        </w:rPr>
        <w:t>（后端解析用）：见5.6.3节完整示例。</w:t>
      </w:r>
    </w:p>
    <w:p w14:paraId="7A47F1CB">
      <w:pPr>
        <w:keepNext w:val="0"/>
        <w:keepLines w:val="0"/>
        <w:widowControl/>
        <w:suppressLineNumbers w:val="0"/>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b/>
          <w:bCs/>
          <w:i w:val="0"/>
          <w:iCs w:val="0"/>
          <w:caps w:val="0"/>
          <w:color w:val="auto"/>
          <w:spacing w:val="0"/>
          <w:kern w:val="2"/>
          <w:sz w:val="24"/>
          <w:szCs w:val="19"/>
          <w:shd w:val="clear" w:fill="FFFFFF"/>
          <w:lang w:val="en-US" w:eastAsia="zh-CN" w:bidi="ar-SA"/>
        </w:rPr>
        <w:t>对话输出示例</w:t>
      </w:r>
      <w:r>
        <w:rPr>
          <w:rFonts w:hint="default" w:ascii="仿宋" w:hAnsi="Segoe UI" w:eastAsia="仿宋" w:cs="Segoe UI"/>
          <w:i w:val="0"/>
          <w:iCs w:val="0"/>
          <w:caps w:val="0"/>
          <w:color w:val="auto"/>
          <w:spacing w:val="0"/>
          <w:kern w:val="2"/>
          <w:sz w:val="24"/>
          <w:szCs w:val="19"/>
          <w:shd w:val="clear" w:fill="FFFFFF"/>
          <w:lang w:val="en-US" w:eastAsia="zh-CN" w:bidi="ar-SA"/>
        </w:rPr>
        <w:t>（前端展示用）：见5.6.2节完整示例。</w:t>
      </w:r>
    </w:p>
    <w:p w14:paraId="52FEA2EC">
      <w:pPr>
        <w:keepNext w:val="0"/>
        <w:keepLines w:val="0"/>
        <w:widowControl/>
        <w:suppressLineNumbers w:val="0"/>
        <w:spacing w:before="192" w:beforeAutospacing="0" w:after="192" w:afterAutospacing="0"/>
        <w:ind w:left="0" w:leftChars="0" w:right="0" w:rightChars="0" w:firstLine="420" w:firstLineChars="0"/>
        <w:jc w:val="both"/>
        <w:rPr>
          <w:b/>
          <w:bCs/>
        </w:rPr>
      </w:pPr>
      <w:r>
        <w:rPr>
          <w:rFonts w:hint="default" w:ascii="仿宋" w:hAnsi="Segoe UI" w:eastAsia="仿宋" w:cs="Segoe UI"/>
          <w:b/>
          <w:bCs/>
          <w:i w:val="0"/>
          <w:iCs w:val="0"/>
          <w:caps w:val="0"/>
          <w:color w:val="auto"/>
          <w:spacing w:val="0"/>
          <w:kern w:val="2"/>
          <w:sz w:val="24"/>
          <w:szCs w:val="19"/>
          <w:shd w:val="clear" w:fill="FFFFFF"/>
          <w:lang w:val="en-US" w:eastAsia="zh-CN" w:bidi="ar-SA"/>
        </w:rPr>
        <w:t>版本记录：</w:t>
      </w:r>
    </w:p>
    <w:p w14:paraId="7FD62706">
      <w:pPr>
        <w:keepNext w:val="0"/>
        <w:keepLines w:val="0"/>
        <w:widowControl/>
        <w:suppressLineNumbers w:val="0"/>
        <w:spacing w:before="192" w:beforeAutospacing="0" w:after="192" w:afterAutospacing="0"/>
        <w:ind w:left="0" w:leftChars="0" w:right="0" w:rightChars="0" w:firstLine="420" w:firstLineChars="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kern w:val="2"/>
          <w:sz w:val="24"/>
          <w:szCs w:val="19"/>
          <w:shd w:val="clear" w:fill="FFFFFF"/>
          <w:lang w:val="en-US" w:eastAsia="zh-CN" w:bidi="ar-SA"/>
        </w:rPr>
        <w:t>v1.0（2026-06-10）：初始版本，已验证可用。支持六大类+余额类识别，返回Markdown表格+JSON。</w:t>
      </w:r>
    </w:p>
    <w:p w14:paraId="1691076F">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default" w:ascii="仿宋" w:hAnsi="Segoe UI" w:eastAsia="仿宋" w:cs="Segoe UI"/>
          <w:b/>
          <w:bCs/>
          <w:caps w:val="0"/>
          <w:color w:val="auto"/>
          <w:spacing w:val="0"/>
          <w:sz w:val="30"/>
          <w:szCs w:val="24"/>
          <w:shd w:val="clear" w:fill="FFFFFF"/>
        </w:rPr>
      </w:pPr>
      <w:r>
        <w:rPr>
          <w:rFonts w:hint="default" w:ascii="仿宋" w:hAnsi="Segoe UI" w:eastAsia="仿宋" w:cs="Segoe UI"/>
          <w:b/>
          <w:bCs/>
          <w:caps w:val="0"/>
          <w:color w:val="auto"/>
          <w:spacing w:val="0"/>
          <w:sz w:val="30"/>
          <w:szCs w:val="24"/>
          <w:shd w:val="clear" w:fill="FFFFFF"/>
        </w:rPr>
        <w:t>B.2</w:t>
      </w:r>
      <w:r>
        <w:rPr>
          <w:rFonts w:hint="eastAsia" w:ascii="仿宋" w:hAnsi="Segoe UI" w:eastAsia="仿宋" w:cs="Segoe UI"/>
          <w:b/>
          <w:bCs/>
          <w:caps w:val="0"/>
          <w:color w:val="auto"/>
          <w:spacing w:val="0"/>
          <w:sz w:val="30"/>
          <w:szCs w:val="24"/>
          <w:shd w:val="clear" w:fill="FFFFFF"/>
          <w:lang w:val="en-US" w:eastAsia="zh-CN"/>
        </w:rPr>
        <w:t xml:space="preserve"> </w:t>
      </w:r>
      <w:r>
        <w:rPr>
          <w:rFonts w:hint="default" w:ascii="仿宋" w:hAnsi="Segoe UI" w:eastAsia="仿宋" w:cs="Segoe UI"/>
          <w:b/>
          <w:bCs/>
          <w:caps w:val="0"/>
          <w:color w:val="auto"/>
          <w:spacing w:val="0"/>
          <w:sz w:val="30"/>
          <w:szCs w:val="24"/>
          <w:shd w:val="clear" w:fill="FFFFFF"/>
        </w:rPr>
        <w:t>AI顾问System Prompt（ai_assistant v1.0）</w:t>
      </w:r>
    </w:p>
    <w:p w14:paraId="1D78852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用途：</w:t>
      </w:r>
      <w:r>
        <w:rPr>
          <w:rFonts w:hint="default" w:ascii="仿宋" w:hAnsi="Segoe UI" w:eastAsia="仿宋" w:cs="Segoe UI"/>
          <w:i w:val="0"/>
          <w:iCs w:val="0"/>
          <w:caps w:val="0"/>
          <w:color w:val="auto"/>
          <w:spacing w:val="0"/>
          <w:sz w:val="24"/>
          <w:szCs w:val="19"/>
          <w:shd w:val="clear" w:fill="FFFFFF"/>
        </w:rPr>
        <w:t>FinControl AI顾问的主回路System Prompt，嵌入ZOH理论框架。</w:t>
      </w:r>
    </w:p>
    <w:p w14:paraId="45DDF3E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b/>
          <w:bCs/>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Prompt内容：</w:t>
      </w:r>
    </w:p>
    <w:p w14:paraId="1DD505F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你是“FinControl AI顾问”，严格基于用户预设的资产配置规则系统给出建议。</w:t>
      </w:r>
    </w:p>
    <w:p w14:paraId="79F16EA6">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核心规则：</w:t>
      </w:r>
    </w:p>
    <w:p w14:paraId="6A00EC4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资产配置：六大类（货币10%/固收15%/商品25%/A股25%/海外20%/港股5%）</w:t>
      </w:r>
    </w:p>
    <w:p w14:paraId="6879B1E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执行法则：月初归集资金、一次性校准低风险资产、剩余资金按日自动定投</w:t>
      </w:r>
    </w:p>
    <w:p w14:paraId="36A292D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核心原则：不预测市场、零摩擦（不鼓励卖出）、用规则应对波动</w:t>
      </w:r>
    </w:p>
    <w:p w14:paraId="5D5F0EE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b/>
          <w:bCs/>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对话原则：</w:t>
      </w:r>
    </w:p>
    <w:p w14:paraId="4408238A">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去术语化：不使用“零阶保持器”“前馈补偿”等词汇，用“自动校准”“月初一键修复”替代</w:t>
      </w:r>
    </w:p>
    <w:p w14:paraId="3F235358">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共情优先：当用户表达焦虑时，先安抚情绪，再给出规则内的操作建议</w:t>
      </w:r>
    </w:p>
    <w:p w14:paraId="0F19AC2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结论先行：直接告诉用户该做什么，解释不超过20字</w:t>
      </w:r>
    </w:p>
    <w:p w14:paraId="74CB140A">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b/>
          <w:bCs/>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安全边界：</w:t>
      </w:r>
    </w:p>
    <w:p w14:paraId="19054B05">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当被问及“该不该卖”或预测涨跌时，重申“系统只按比例调配，不预测市场”</w:t>
      </w:r>
    </w:p>
    <w:p w14:paraId="19E430A4">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所有建议最后必须加上：“以上分析基于你的规则系统，仅供参考，不构成投资决策。”</w:t>
      </w:r>
    </w:p>
    <w:p w14:paraId="7A0C447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版本记录：</w:t>
      </w:r>
    </w:p>
    <w:p w14:paraId="106AB142">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v1.0（2026-06-10）：初始版本，继承微控金融鸿蒙版AI顾问的System Prompt，去术语化处理。</w:t>
      </w:r>
    </w:p>
    <w:p w14:paraId="3179232E">
      <w:pPr>
        <w:pStyle w:val="7"/>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3342001B">
      <w:pPr>
        <w:pStyle w:val="3"/>
        <w:keepNext w:val="0"/>
        <w:keepLines w:val="0"/>
        <w:widowControl/>
        <w:suppressLineNumbers w:val="0"/>
        <w:shd w:val="clear" w:fill="FFFFFF"/>
        <w:snapToGrid/>
        <w:spacing w:before="384" w:beforeAutospacing="0" w:after="192" w:afterAutospacing="0" w:line="360" w:lineRule="atLeast"/>
        <w:ind w:left="0" w:leftChars="0" w:right="0" w:rightChars="0" w:firstLine="602" w:firstLineChars="200"/>
        <w:jc w:val="both"/>
        <w:outlineLvl w:val="1"/>
        <w:rPr>
          <w:rFonts w:hint="eastAsia" w:ascii="仿宋" w:hAnsi="Segoe UI" w:eastAsia="仿宋" w:cs="Segoe UI"/>
          <w:b/>
          <w:bCs/>
          <w:caps w:val="0"/>
          <w:color w:val="auto"/>
          <w:spacing w:val="0"/>
          <w:sz w:val="30"/>
          <w:szCs w:val="24"/>
          <w:shd w:val="clear" w:fill="FFFFFF"/>
          <w:lang w:val="en-US" w:eastAsia="zh-CN"/>
        </w:rPr>
      </w:pPr>
      <w:r>
        <w:rPr>
          <w:rFonts w:hint="eastAsia" w:ascii="仿宋" w:hAnsi="Segoe UI" w:eastAsia="仿宋" w:cs="Segoe UI"/>
          <w:b/>
          <w:bCs/>
          <w:caps w:val="0"/>
          <w:color w:val="auto"/>
          <w:spacing w:val="0"/>
          <w:sz w:val="30"/>
          <w:szCs w:val="24"/>
          <w:shd w:val="clear" w:fill="FFFFFF"/>
          <w:lang w:val="en-US" w:eastAsia="zh-CN"/>
        </w:rPr>
        <w:t>B.3 意图分类器Prompt（intent_classifier v1.0）</w:t>
      </w:r>
    </w:p>
    <w:p w14:paraId="3F253F5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用途：判断用户输入是否属于“投资决策咨询”。</w:t>
      </w:r>
    </w:p>
    <w:p w14:paraId="3A0929D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b/>
          <w:bCs/>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Prompt内容：</w:t>
      </w:r>
    </w:p>
    <w:p w14:paraId="16172E6F">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判断用户输入是否属于“投资决策咨询”。投资决策咨询包括但不限于：资产配置比例调整、基金定投金额计算、再平衡操作建议、比例偏离分析、市场波动对持仓的影响评估、账户风险分析。非投资决策咨询包括但不限于：闲聊（天气、心情）、通用知识问答、模型身份询问、技术支持、代码编写、写作辅助。</w:t>
      </w:r>
    </w:p>
    <w:p w14:paraId="0435E56B">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用户输入：[用户输入文本]</w:t>
      </w:r>
    </w:p>
    <w:p w14:paraId="00E89F3C">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i w:val="0"/>
          <w:iCs w:val="0"/>
          <w:caps w:val="0"/>
          <w:color w:val="auto"/>
          <w:spacing w:val="0"/>
          <w:sz w:val="24"/>
          <w:szCs w:val="19"/>
          <w:shd w:val="clear" w:fill="FFFFFF"/>
        </w:rPr>
        <w:t>请只返回true或false。true表示属于投资决策咨询，false表示不属于。</w:t>
      </w:r>
    </w:p>
    <w:p w14:paraId="460031C0">
      <w:pPr>
        <w:pStyle w:val="7"/>
        <w:keepNext w:val="0"/>
        <w:keepLines w:val="0"/>
        <w:widowControl/>
        <w:suppressLineNumbers w:val="0"/>
        <w:shd w:val="clear" w:fill="FFFFFF"/>
        <w:spacing w:before="192" w:beforeAutospacing="0" w:after="192" w:afterAutospacing="0"/>
        <w:ind w:left="0" w:right="0" w:firstLine="420" w:firstLineChars="0"/>
        <w:rPr>
          <w:rFonts w:hint="default" w:ascii="仿宋" w:hAnsi="Segoe UI" w:eastAsia="仿宋" w:cs="Segoe UI"/>
          <w:b/>
          <w:bCs/>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分流处理逻辑：</w:t>
      </w:r>
    </w:p>
    <w:p w14:paraId="10071D53">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0" w:firstLineChars="200"/>
        <w:jc w:val="both"/>
        <w:rPr>
          <w:rFonts w:hint="default" w:ascii="仿宋" w:hAnsi="Segoe UI" w:eastAsia="仿宋" w:cs="Segoe UI"/>
          <w:i w:val="0"/>
          <w:iCs w:val="0"/>
          <w:caps w:val="0"/>
          <w:color w:val="auto"/>
          <w:spacing w:val="0"/>
          <w:kern w:val="2"/>
          <w:sz w:val="24"/>
          <w:szCs w:val="19"/>
          <w:shd w:val="clear" w:fill="FFFFFF"/>
          <w:lang w:val="en-US" w:eastAsia="zh-CN" w:bidi="ar-SA"/>
        </w:rPr>
      </w:pPr>
      <w:r>
        <w:rPr>
          <w:rFonts w:hint="default" w:ascii="仿宋" w:hAnsi="Segoe UI" w:eastAsia="仿宋" w:cs="Segoe UI"/>
          <w:i w:val="0"/>
          <w:iCs w:val="0"/>
          <w:caps w:val="0"/>
          <w:color w:val="auto"/>
          <w:spacing w:val="0"/>
          <w:sz w:val="24"/>
          <w:szCs w:val="19"/>
          <w:shd w:val="clear" w:fill="FFFFFF"/>
        </w:rPr>
        <w:t>true → 走主回路，加载完整ZOH理论System Prompt（ai_assistant v1.0）</w:t>
      </w:r>
    </w:p>
    <w:p w14:paraId="6AF7AC45">
      <w:pPr>
        <w:pStyle w:val="7"/>
        <w:keepNext w:val="0"/>
        <w:keepLines w:val="0"/>
        <w:widowControl/>
        <w:suppressLineNumbers w:val="0"/>
        <w:spacing w:before="0" w:beforeAutospacing="0" w:after="0" w:afterAutospacing="0"/>
        <w:ind w:left="0" w:right="0" w:firstLine="420" w:firstLineChars="0"/>
      </w:pPr>
      <w:r>
        <w:rPr>
          <w:rFonts w:hint="default" w:ascii="仿宋" w:hAnsi="Segoe UI" w:eastAsia="仿宋" w:cs="Segoe UI"/>
          <w:i w:val="0"/>
          <w:iCs w:val="0"/>
          <w:caps w:val="0"/>
          <w:color w:val="auto"/>
          <w:spacing w:val="0"/>
          <w:kern w:val="2"/>
          <w:sz w:val="24"/>
          <w:szCs w:val="19"/>
          <w:shd w:val="clear" w:fill="FFFFFF"/>
          <w:lang w:val="en-US" w:eastAsia="zh-CN" w:bidi="ar-SA"/>
        </w:rPr>
        <w:t>false → 走垃圾回路，直接透传给DeepSeek API，不加载任何投资理论System Prompt</w:t>
      </w:r>
    </w:p>
    <w:p w14:paraId="48BC6D0A">
      <w:pPr>
        <w:pStyle w:val="7"/>
        <w:keepNext w:val="0"/>
        <w:keepLines w:val="0"/>
        <w:widowControl/>
        <w:suppressLineNumbers w:val="0"/>
        <w:shd w:val="clear" w:fill="FFFFFF"/>
        <w:spacing w:before="192" w:beforeAutospacing="0" w:after="192" w:afterAutospacing="0"/>
        <w:ind w:left="0" w:right="0" w:firstLine="420" w:firstLineChars="0"/>
        <w:rPr>
          <w:rFonts w:hint="default" w:ascii="Segoe UI" w:hAnsi="Segoe UI" w:eastAsia="Segoe UI" w:cs="Segoe UI"/>
          <w:i w:val="0"/>
          <w:iCs w:val="0"/>
          <w:caps w:val="0"/>
          <w:color w:val="0F1115"/>
          <w:spacing w:val="0"/>
          <w:sz w:val="19"/>
          <w:szCs w:val="19"/>
        </w:rPr>
      </w:pPr>
      <w:r>
        <w:rPr>
          <w:rFonts w:hint="default" w:ascii="仿宋" w:hAnsi="Segoe UI" w:eastAsia="仿宋" w:cs="Segoe UI"/>
          <w:b/>
          <w:bCs/>
          <w:i w:val="0"/>
          <w:iCs w:val="0"/>
          <w:caps w:val="0"/>
          <w:color w:val="auto"/>
          <w:spacing w:val="0"/>
          <w:sz w:val="24"/>
          <w:szCs w:val="19"/>
          <w:shd w:val="clear" w:fill="FFFFFF"/>
        </w:rPr>
        <w:t>调用方式：</w:t>
      </w:r>
      <w:r>
        <w:rPr>
          <w:rFonts w:hint="default" w:ascii="仿宋" w:hAnsi="Segoe UI" w:eastAsia="仿宋" w:cs="Segoe UI"/>
          <w:i w:val="0"/>
          <w:iCs w:val="0"/>
          <w:caps w:val="0"/>
          <w:color w:val="auto"/>
          <w:spacing w:val="0"/>
          <w:sz w:val="24"/>
          <w:szCs w:val="19"/>
          <w:shd w:val="clear" w:fill="FFFFFF"/>
        </w:rPr>
        <w:t>每次用户发送消息时，先调用intent_classifier Prompt（极短，成本极低），根据返回结果决定使用哪个System Prompt。分类结果不需要持久化，不需要存入数据库。它只是一个路由判断。</w:t>
      </w:r>
    </w:p>
    <w:p w14:paraId="74FEB2C7">
      <w:pPr>
        <w:pStyle w:val="7"/>
        <w:keepNext w:val="0"/>
        <w:keepLines w:val="0"/>
        <w:widowControl/>
        <w:suppressLineNumbers w:val="0"/>
        <w:shd w:val="clear" w:fill="FFFFFF"/>
        <w:snapToGrid/>
        <w:spacing w:before="192" w:beforeAutospacing="0" w:after="192" w:afterAutospacing="0" w:line="240" w:lineRule="auto"/>
        <w:ind w:right="0" w:rightChars="0"/>
        <w:jc w:val="both"/>
        <w:rPr>
          <w:rFonts w:hint="default" w:ascii="仿宋" w:hAnsi="Segoe UI" w:eastAsia="仿宋" w:cs="Segoe UI"/>
          <w:i w:val="0"/>
          <w:iCs w:val="0"/>
          <w:caps w:val="0"/>
          <w:color w:val="auto"/>
          <w:spacing w:val="0"/>
          <w:sz w:val="24"/>
          <w:szCs w:val="19"/>
          <w:shd w:val="clear" w:fill="FFFFFF"/>
        </w:rPr>
      </w:pPr>
    </w:p>
    <w:p w14:paraId="54D2D1AD">
      <w:pPr>
        <w:pStyle w:val="7"/>
        <w:keepNext w:val="0"/>
        <w:keepLines w:val="0"/>
        <w:widowControl/>
        <w:suppressLineNumbers w:val="0"/>
        <w:shd w:val="clear" w:fill="FFFFFF"/>
        <w:snapToGrid/>
        <w:spacing w:before="192" w:beforeAutospacing="0" w:after="192" w:afterAutospacing="0" w:line="240" w:lineRule="auto"/>
        <w:ind w:left="0" w:leftChars="0" w:right="0" w:rightChars="0" w:firstLine="482" w:firstLineChars="200"/>
        <w:jc w:val="both"/>
        <w:rPr>
          <w:rFonts w:hint="default" w:ascii="仿宋" w:hAnsi="Segoe UI" w:eastAsia="仿宋" w:cs="Segoe UI"/>
          <w:i w:val="0"/>
          <w:iCs w:val="0"/>
          <w:caps w:val="0"/>
          <w:color w:val="auto"/>
          <w:spacing w:val="0"/>
          <w:sz w:val="24"/>
          <w:szCs w:val="19"/>
          <w:shd w:val="clear" w:fill="FFFFFF"/>
        </w:rPr>
      </w:pPr>
      <w:r>
        <w:rPr>
          <w:rFonts w:hint="default" w:ascii="仿宋" w:hAnsi="Segoe UI" w:eastAsia="仿宋" w:cs="Segoe UI"/>
          <w:b/>
          <w:bCs/>
          <w:i w:val="0"/>
          <w:iCs w:val="0"/>
          <w:caps w:val="0"/>
          <w:color w:val="auto"/>
          <w:spacing w:val="0"/>
          <w:sz w:val="24"/>
          <w:szCs w:val="19"/>
          <w:shd w:val="clear" w:fill="FFFFFF"/>
        </w:rPr>
        <w:t>文档状态</w:t>
      </w:r>
      <w:r>
        <w:rPr>
          <w:rFonts w:hint="default" w:ascii="仿宋" w:hAnsi="Segoe UI" w:eastAsia="仿宋" w:cs="Segoe UI"/>
          <w:i w:val="0"/>
          <w:iCs w:val="0"/>
          <w:caps w:val="0"/>
          <w:color w:val="auto"/>
          <w:spacing w:val="0"/>
          <w:sz w:val="24"/>
          <w:szCs w:val="19"/>
          <w:shd w:val="clear" w:fill="FFFFFF"/>
        </w:rPr>
        <w:t>：设计基线已确认，设计知识完整覆盖。四层设计知识——哲学层（第一章）、理论层（第二章）、领域知识层（第三章）、工程实现层（第四至十一章）——全部有对应的源材料支撑。Phase 1开发可以正式启动。后续开发严格遵循本文档，如需修改架构决策，需同步更新本文档并记录变更原因。</w:t>
      </w:r>
    </w:p>
    <w:p w14:paraId="7B8FC0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31576B"/>
    <w:rsid w:val="1530463D"/>
    <w:rsid w:val="21F326B6"/>
    <w:rsid w:val="27490680"/>
    <w:rsid w:val="2D9C249D"/>
    <w:rsid w:val="3764396F"/>
    <w:rsid w:val="4CB86A2B"/>
    <w:rsid w:val="6931576B"/>
    <w:rsid w:val="6E9D3D48"/>
    <w:rsid w:val="76DF3965"/>
    <w:rsid w:val="7F725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 w:type="character" w:styleId="10">
    <w:name w:val="Hyperlink"/>
    <w:basedOn w:val="9"/>
    <w:qFormat/>
    <w:uiPriority w:val="0"/>
    <w:rPr>
      <w:color w:val="0000FF"/>
      <w:u w:val="single"/>
    </w:rPr>
  </w:style>
  <w:style w:type="character" w:styleId="11">
    <w:name w:val="HTML Code"/>
    <w:basedOn w:val="9"/>
    <w:qFormat/>
    <w:uiPriority w:val="0"/>
    <w:rPr>
      <w:rFonts w:ascii="Courier New" w:hAnsi="Courier New"/>
      <w:sz w:val="20"/>
    </w:rPr>
  </w:style>
  <w:style w:type="paragraph" w:customStyle="1" w:styleId="12">
    <w:name w:val="图"/>
    <w:basedOn w:val="1"/>
    <w:qFormat/>
    <w:uiPriority w:val="0"/>
    <w:pPr>
      <w:ind w:firstLine="420"/>
      <w:jc w:val="center"/>
    </w:pPr>
    <w:rPr>
      <w:rFonts w:hint="default" w:eastAsia="宋体" w:cs="宋体" w:asciiTheme="minorAscii" w:hAnsiTheme="minorAscii"/>
      <w:sz w:val="21"/>
      <w:szCs w:val="24"/>
    </w:rPr>
  </w:style>
  <w:style w:type="paragraph" w:customStyle="1" w:styleId="13">
    <w:name w:val="示例文字代码"/>
    <w:basedOn w:val="1"/>
    <w:next w:val="1"/>
    <w:uiPriority w:val="0"/>
    <w:pPr>
      <w:spacing w:beforeAutospacing="1" w:afterAutospacing="1"/>
      <w:jc w:val="left"/>
      <w:outlineLvl w:val="9"/>
    </w:pPr>
    <w:rPr>
      <w:rFonts w:hint="eastAsia" w:ascii="宋体" w:hAnsi="宋体" w:eastAsia="宋体" w:cs="宋体"/>
      <w:color w:val="0F1115"/>
      <w:kern w:val="0"/>
      <w:szCs w:val="19"/>
      <w:shd w:val="clear" w:fill="FFFFFF"/>
      <w:lang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1361</Words>
  <Characters>1477</Characters>
  <Lines>0</Lines>
  <Paragraphs>0</Paragraphs>
  <TotalTime>106</TotalTime>
  <ScaleCrop>false</ScaleCrop>
  <LinksUpToDate>false</LinksUpToDate>
  <CharactersWithSpaces>1492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2026-06-10T07:57:00Z</dcterms:created>
  <dc:creator>种花家的兔子</dc:creator>
  <cp:lastModifiedBy>种花家的兔子</cp:lastModifiedBy>
  <dcterms:modified xsi:type="dcterms:W3CDTF">2026-06-12T04:59:34Z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00A70B0C0B044075B048BCCA6B7471C9_11</vt:lpwstr>
  </property>
  <property fmtid="{D5CDD505-2E9C-101B-9397-08002B2CF9AE}" pid="4" name="KSOTemplateDocerSaveRecord">
    <vt:lpwstr>eyJoZGlkIjoiN2ZkN2U0NTE2ZWZjNGNkOGYwMTY5ODIwZjEyYjUxNGMiLCJ1c2VySWQiOiIxNTE3MzI1MDI2In0=</vt:lpwstr>
  </property>
</Properties>
</file>