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7"/>
          <w:szCs w:val="37"/>
        </w:rPr>
      </w:pPr>
      <w:r w:rsidDel="00000000" w:rsidR="00000000" w:rsidRPr="00000000">
        <w:rPr>
          <w:rFonts w:ascii="Roboto" w:cs="Roboto" w:eastAsia="Roboto" w:hAnsi="Roboto"/>
          <w:sz w:val="37"/>
          <w:szCs w:val="37"/>
          <w:rtl w:val="0"/>
        </w:rPr>
        <w:t xml:space="preserve">Software Metrics - Tools and Methodology Exam (Andrei Kovalenko, 2318083)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Test (questions)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Design phase — SDLC stage that turns requirements into a blueprint: architecture, components, interfaces, data models, algorithms, constraints, and NFRs (e.g., performance, security). Outputs: HLD/LLD, diagrams, API specs.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Determine the list of quality requirements — Elicit and prioritize NFRs (reliability, performance, security, usability, maintainability, portability) via stakeholders, scenarios, standards (e.g., ISO/IEC 25010), and risks; define measurable acceptance criteria (e.g., “p95 latency ≤ 200 ms”).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Drawback of code coverage measurement — High coverage ≠ good tests. Coverage can be gamed, ignores assertion quality and data/value partitions, and doesn’t prove requirements are tested. It may give false confidence.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Requirements traceability — Ability to link each requirement ↔ source ↔ design ↔ code ↔ tests ↔ defects. Supports completeness checks and impact analysis (forward/backward traceability).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Software Design — The structured decomposition of a system into modules/components and interactions using architectures/patterns to meet functional &amp; quality requirements with explicit trade-offs.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Goal/Question/Metric (GQM) paradigm — Define a Goal, derive Questions that assess it, then pick Metrics that answer those questions. Ensures measurement is purposeful and interpretable.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Organization measures — Company-level KPIs for process &amp; outcomes: lead/cycle time, throughput, defect density, MTTR/MTBF, customer satisfaction/NPS, predictability (planned vs delivered), cost variance, employee turnover.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Cohesion — How tightly related a module’s responsibilities are. Higher is better (e.g., functional cohesion); low (coincidental/logical) signals a “grab-bag” module.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Downtime — Interval when a service is unavailable (planned or unplanned). Ties to availability: A=uptime/uptime+downtime​. Related: MTBF, MTTR.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Depth in Tree (DIT) — CK metric: longest path from a class to the root of the inheritance tree. Larger DIT ⇒ more reuse but higher complexity/coupling and harder understanding/testing.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