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AlphaVault Deployment and Testing Report</w:t>
      </w:r>
    </w:p>
    <w:p>
      <w:pPr/>
      <w:r>
        <w:t>Du Zhuotong</w:t>
      </w:r>
    </w:p>
    <w:p>
      <w:pPr/>
      <w:r>
        <w:t>This report identifies the public deployment and summarizes the saved test results supporting the submitted prototype. Verification checkpoints are dated 18 October 2026; reported balances and price freshness are observations at those checkpoints.</w:t>
      </w:r>
    </w:p>
    <w:p>
      <w:pPr>
        <w:pStyle w:val="Heading2"/>
      </w:pPr>
      <w:r>
        <w:t>Public access and deployment</w:t>
      </w:r>
    </w:p>
    <w:p>
      <w:pPr/>
      <w:r>
        <w:t>Application: https://alphavault-sepolia.onrender.com</w:t>
        <w:br/>
        <w:t>Health endpoint: https://alphavault-sepolia.onrender.com/api/health</w:t>
        <w:br/>
        <w:t>Repository: https://github.com/qwekker/alphavault-sc6113</w:t>
      </w:r>
    </w:p>
    <w:p>
      <w:pPr/>
      <w:r>
        <w:t>Network: Ethereum Sepolia, chain ID 11155111. Compiler: Solidity 0.8.30, optimizer 200 runs, Shanghai EVM. Seven contracts and 17 deployment/initialization steps were verified. The application uses Render Free with external Supabase PostgreSQL and wallet-signed transactions.</w:t>
      </w:r>
    </w:p>
    <w:tbl>
      <w:tblPr>
        <w:tblW w:type="auto" w:w="0"/>
        <w:tblLayout w:type="fixed"/>
        <w:tblLook w:firstColumn="1" w:firstRow="1" w:lastColumn="0" w:lastRow="0" w:noHBand="0" w:noVBand="1" w:val="04A0"/>
      </w:tblPr>
      <w:tblGrid>
        <w:gridCol w:w="4680"/>
        <w:gridCol w:w="4680"/>
      </w:tblGrid>
      <w:tr>
        <w:trPr>
          <w:cantSplit/>
        </w:trPr>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Contract or asset</w:t>
            </w:r>
          </w:p>
        </w:tc>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Sepolia address</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RiskManager</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0xe526418735631F067ea62eC84A7c3A383C37AcaE</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StrategyEngine</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0x548055cd0103CAA87FAD3a4e329f4c5Dfbd14bFe</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MockExchange</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0x49cD1ecFCCE174Cc95A7dD3d6b79319d6719cf01</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PortfolioVault</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0x4076F1c885eF0f0651005e862D3264D538C941C9</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mUSD</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0xe1C4F513b40B8A188aAD8aA173beF339f37068Ff</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mETH</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0x3FbC8F294aCf246507032175A2689A7691300944</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mBTC</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0xc71d024c775EC1c62A05DDF0E38308C986B26972</w:t>
            </w:r>
          </w:p>
        </w:tc>
      </w:tr>
    </w:tbl>
    <w:p>
      <w:pPr>
        <w:spacing w:after="0"/>
      </w:pPr>
    </w:p>
    <w:p>
      <w:pPr>
        <w:pStyle w:val="Heading2"/>
      </w:pPr>
      <w:r>
        <w:t>Role accounts</w:t>
      </w:r>
    </w:p>
    <w:p>
      <w:pPr/>
      <w:r>
        <w:t>Investor / admin / Keeper: 0x0258E85f725F2d17f87f0f25984A7FD503448169</w:t>
        <w:br/>
        <w:t>Manager: 0xF72d3B36594dA7b06E3994112C8B1516e57cB3aA</w:t>
        <w:br/>
        <w:t>Risk officer: 0xF540005bC24b6E39A6abD22923BC9a7550C94252</w:t>
      </w:r>
    </w:p>
    <w:p>
      <w:pPr/>
      <w:r>
        <w:t>Deployment receipts, contract wiring and bytecode presence are recorded in the public repository. Explorer source verification is a separate step and is not claimed complete. View an address at https://sepolia.etherscan.io/address/ followed by the address above.</w:t>
      </w:r>
    </w:p>
    <w:p>
      <w:r>
        <w:br w:type="page"/>
      </w:r>
    </w:p>
    <w:p>
      <w:pPr>
        <w:pStyle w:val="Heading1"/>
      </w:pPr>
      <w:r>
        <w:t>Testing results and evidence</w:t>
      </w:r>
    </w:p>
    <w:p>
      <w:pPr/>
      <w:r>
        <w:t>The migration passes 36 Python Flask tests and 64 Solidity/legacy regression tests, with zero failures. Use Python 3.12 and Node.js 22.13+, install requirements-dev.txt and npm dependencies, run npm run compile, then python -m pytest -v and npm test. The Flask integration suite uses an isolated local EVM and tests all 13 business methods.</w:t>
      </w:r>
    </w:p>
    <w:tbl>
      <w:tblPr>
        <w:tblW w:type="auto" w:w="0"/>
        <w:tblLayout w:type="fixed"/>
        <w:tblLook w:firstColumn="1" w:firstRow="1" w:lastColumn="0" w:lastRow="0" w:noHBand="0" w:noVBand="1" w:val="04A0"/>
      </w:tblPr>
      <w:tblGrid>
        <w:gridCol w:w="4680"/>
        <w:gridCol w:w="4680"/>
      </w:tblGrid>
      <w:tr>
        <w:trPr>
          <w:cantSplit/>
        </w:trPr>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Area</w:t>
            </w:r>
          </w:p>
        </w:tc>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Verified behavior</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Contract controls</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Roles, strategy/risk limits, cooldown, deadline and atomic rollback</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Accounting and exit</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Deposit shares, virtual balances, rounding and paused/stale-price in-kind exit</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REST and wallets</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Unsigned calldata, input checks, receipt validation and public signing isolation</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Storage and indexing</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SQLite reopen, PostgreSQL SQL/reopen, cursor progress and rollback detection</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Deployment recovery</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Manifest checks, checkpoints, resume and account/deployment mismatch rejection</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Quantitative methods</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Lagged signals, deterministic costs, weights and metrics</w:t>
            </w:r>
          </w:p>
        </w:tc>
      </w:tr>
    </w:tbl>
    <w:p>
      <w:pPr>
        <w:spacing w:after="0"/>
      </w:pPr>
    </w:p>
    <w:p>
      <w:pPr>
        <w:pStyle w:val="Heading2"/>
      </w:pPr>
      <w:r>
        <w:t>Public acceptance and measured outcomes</w:t>
      </w:r>
    </w:p>
    <w:p>
      <w:pPr/>
      <w:r>
        <w:t>The public check at 2026-10-18 09:12:06 UTC passed: PostgreSQL, wallet mode, Sepolia network and the expected vault. It found 12 successful receipts covering 10 distinct method types, including ERC20 approve (9 core methods). Local evidence covers 13 types (12 core). Failed estimates and repeated methods are excluded.</w:t>
      </w:r>
    </w:p>
    <w:p>
      <w:pPr/>
      <w:r>
        <w:t>At the saved checkpoint, NAV was 748.80 mUSD, supply 750 displayed shares, share index 99.84 and paused=false. Both risky-asset price reports were stale. The public rebalance used 563,260 gas; a 250-share redemption succeeded during a pause. Refresh market reports before a new trading demonstration.</w:t>
      </w:r>
    </w:p>
    <w:p>
      <w:pPr/>
      <w:r>
        <w:t>The Flask deployment retains the original PostgreSQL schema and records. Compare evidence/flask-hosted-acceptance.json with the earlier hosted acceptance. The original non-chain jobs sentinel tests persistence independently of blockchain replay. Local Flask tests also verify SQLite reopen and atomic rollback. The public Keeper remains manually signed; the automatic loop is tested locally.</w:t>
      </w:r>
    </w:p>
    <w:p>
      <w:pPr/>
      <w:r>
        <w:t>Synthetic backtests reproduce the saved results. Volatility Target drawdown was 5.82% versus Equal Weight 9.04%, a 3.22 percentage-point reduction; both returns were negative. These results do not establish market profitability, exhaustive security or an uptime guarantee.</w:t>
      </w:r>
    </w:p>
    <w:p>
      <w:pPr>
        <w:pStyle w:val="Heading2"/>
      </w:pPr>
      <w:r>
        <w:t>Supporting evidence in the public repository</w:t>
      </w:r>
    </w:p>
    <w:p>
      <w:pPr/>
      <w:r>
        <w:t>The links below point to the repository. Source-Code in this submission also includes Flask code, standalone ABI, front-end files, dependencies, tests and evidence. RENDER_LINK.txt provides the public service URL.</w:t>
      </w:r>
    </w:p>
    <w:p>
      <w:pPr>
        <w:spacing w:after="60"/>
      </w:pPr>
      <w:hyperlink r:id="rId10">
        <w:r>
          <w:rPr>
            <w:color w:val="173F50"/>
            <w:u w:val="single"/>
          </w:rPr>
          <w:t>Complete testing report</w:t>
        </w:r>
      </w:hyperlink>
      <w:r>
        <w:t xml:space="preserve">    |    </w:t>
      </w:r>
      <w:hyperlink r:id="rId11">
        <w:r>
          <w:rPr>
            <w:color w:val="173F50"/>
            <w:u w:val="single"/>
          </w:rPr>
          <w:t>Automated test log</w:t>
        </w:r>
      </w:hyperlink>
    </w:p>
    <w:p>
      <w:pPr>
        <w:spacing w:after="60"/>
      </w:pPr>
      <w:hyperlink r:id="rId12">
        <w:r>
          <w:rPr>
            <w:color w:val="173F50"/>
            <w:u w:val="single"/>
          </w:rPr>
          <w:t>Public acceptance</w:t>
        </w:r>
      </w:hyperlink>
      <w:r>
        <w:t xml:space="preserve">    |    </w:t>
      </w:r>
      <w:hyperlink r:id="rId13">
        <w:r>
          <w:rPr>
            <w:color w:val="173F50"/>
            <w:u w:val="single"/>
          </w:rPr>
          <w:t>Deployment and business receipts</w:t>
        </w:r>
      </w:hyperlink>
    </w:p>
    <w:p>
      <w:pPr>
        <w:spacing w:after="60"/>
      </w:pPr>
      <w:hyperlink r:id="rId14">
        <w:r>
          <w:rPr>
            <w:color w:val="173F50"/>
            <w:u w:val="single"/>
          </w:rPr>
          <w:t>Contract deployment manifest</w:t>
        </w:r>
      </w:hyperlink>
      <w:r>
        <w:t xml:space="preserve">    |    </w:t>
      </w:r>
      <w:hyperlink r:id="rId15">
        <w:r>
          <w:rPr>
            <w:color w:val="173F50"/>
            <w:u w:val="single"/>
          </w:rPr>
          <w:t>Database restart evidence</w:t>
        </w:r>
      </w:hyperlink>
    </w:p>
    <w:sectPr w:rsidR="00FC693F" w:rsidRPr="0006063C" w:rsidSect="00034616">
      <w:footerReference w:type="default" r:id="rId9"/>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160" w:line="259" w:lineRule="auto"/>
    </w:pPr>
    <w:rPr>
      <w:rFonts w:ascii="Arial" w:hAnsi="Arial"/>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59" w:lineRule="auto"/>
    </w:pPr>
    <w:rPr>
      <w:rFonts w:ascii="Arial" w:hAnsi="Arial"/>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qwekker/alphavault-sc6113/blob/main/docs/TESTING_REPORT.md" TargetMode="External"/><Relationship Id="rId11" Type="http://schemas.openxmlformats.org/officeDocument/2006/relationships/hyperlink" Target="https://github.com/qwekker/alphavault-sc6113/blob/main/evidence/flask-tests.txt" TargetMode="External"/><Relationship Id="rId12" Type="http://schemas.openxmlformats.org/officeDocument/2006/relationships/hyperlink" Target="https://github.com/qwekker/alphavault-sc6113/blob/main/evidence/flask-hosted-acceptance.json" TargetMode="External"/><Relationship Id="rId13" Type="http://schemas.openxmlformats.org/officeDocument/2006/relationships/hyperlink" Target="https://github.com/qwekker/alphavault-sc6113/blob/main/docs/SEPOLIA_RESULTS.md" TargetMode="External"/><Relationship Id="rId14" Type="http://schemas.openxmlformats.org/officeDocument/2006/relationships/hyperlink" Target="https://github.com/qwekker/alphavault-sc6113/blob/main/config/sepolia-deployment.json" TargetMode="External"/><Relationship Id="rId15" Type="http://schemas.openxmlformats.org/officeDocument/2006/relationships/hyperlink" Target="https://github.com/qwekker/alphavault-sc6113/blob/main/evidence/hosted-acceptance.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AlphaVault Deployment and Testing Report</dc:title>
  <dc:subject/>
  <dc:creator>Du Zhuotong</dc:creator>
  <cp:keywords/>
  <dc:description/>
  <cp:lastModifiedBy/>
  <cp:revision>1</cp:revision>
  <dcterms:created xsi:type="dcterms:W3CDTF">2013-12-23T23:15:00Z</dcterms:created>
  <dcterms:modified xsi:type="dcterms:W3CDTF">2013-12-23T23:15:00Z</dcterms:modified>
  <cp:category/>
</cp:coreProperties>
</file>