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BF86C">
      <w:pPr>
        <w:rPr>
          <w:rFonts w:ascii="Arial"/>
          <w:sz w:val="21"/>
        </w:rPr>
      </w:pPr>
    </w:p>
    <w:p w14:paraId="40CFD1EA">
      <w:pPr>
        <w:spacing w:line="241" w:lineRule="auto"/>
        <w:rPr>
          <w:rFonts w:ascii="Arial"/>
          <w:sz w:val="21"/>
        </w:rPr>
      </w:pPr>
    </w:p>
    <w:p w14:paraId="0A9474BE">
      <w:pPr>
        <w:spacing w:before="97" w:line="222" w:lineRule="auto"/>
        <w:ind w:left="3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1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产品简介</w:t>
      </w:r>
    </w:p>
    <w:p w14:paraId="2F30C2B1">
      <w:pPr>
        <w:spacing w:line="368" w:lineRule="auto"/>
        <w:rPr>
          <w:rFonts w:ascii="Arial"/>
          <w:sz w:val="21"/>
        </w:rPr>
      </w:pPr>
    </w:p>
    <w:p w14:paraId="3E34E6D1">
      <w:pPr>
        <w:pStyle w:val="2"/>
        <w:spacing w:before="91" w:line="359" w:lineRule="auto"/>
        <w:ind w:left="20" w:firstLine="559"/>
        <w:jc w:val="both"/>
      </w:pPr>
      <w:r>
        <w:rPr>
          <w:spacing w:val="-4"/>
        </w:rPr>
        <w:t>激光打击系统，是一款先进激光武器系统，主要由高能激</w:t>
      </w:r>
      <w:r>
        <w:rPr>
          <w:spacing w:val="-3"/>
        </w:rPr>
        <w:t>光器分系统、捕获跟踪瞄准分系统、综合显示分系统组成</w:t>
      </w:r>
      <w:r>
        <w:rPr>
          <w:spacing w:val="-4"/>
        </w:rPr>
        <w:t>，旨在为重</w:t>
      </w:r>
      <w:r>
        <w:rPr>
          <w:spacing w:val="-3"/>
        </w:rPr>
        <w:t>要目标、重点区域提供精准高效的机动化低空防御解决方</w:t>
      </w:r>
      <w:r>
        <w:rPr>
          <w:spacing w:val="-4"/>
        </w:rPr>
        <w:t>案，可实现</w:t>
      </w:r>
      <w:r>
        <w:rPr>
          <w:spacing w:val="-9"/>
        </w:rPr>
        <w:t>对低空入侵目标的快速捕获、拦截和打击，能有效毁伤采用光纤控制、</w:t>
      </w:r>
      <w:r>
        <w:rPr>
          <w:spacing w:val="-1"/>
        </w:rPr>
        <w:t>自主控制等制导方式的无人机或巡飞弹目标。</w:t>
      </w:r>
    </w:p>
    <w:p w14:paraId="0059FA70">
      <w:pPr>
        <w:pStyle w:val="2"/>
        <w:spacing w:before="1" w:line="360" w:lineRule="auto"/>
        <w:ind w:left="20" w:right="55" w:firstLine="565"/>
        <w:jc w:val="both"/>
        <w:rPr>
          <w:spacing w:val="-1"/>
        </w:rPr>
      </w:pPr>
      <w:r>
        <w:rPr>
          <w:spacing w:val="-2"/>
        </w:rPr>
        <w:t>系统可广泛应用于军事设施、办公大楼、交通枢纽、能源基</w:t>
      </w:r>
      <w:r>
        <w:rPr>
          <w:spacing w:val="-3"/>
        </w:rPr>
        <w:t>地、</w:t>
      </w:r>
      <w:r>
        <w:rPr>
          <w:spacing w:val="-2"/>
        </w:rPr>
        <w:t>边海防沿线等重要目标和区域的低空立体防御。除车载部署方式外，</w:t>
      </w:r>
      <w:r>
        <w:rPr>
          <w:spacing w:val="-3"/>
        </w:rPr>
        <w:t>还可用于固定阵地部署，实现区域拒止防护，也可安装在</w:t>
      </w:r>
      <w:r>
        <w:rPr>
          <w:spacing w:val="-4"/>
        </w:rPr>
        <w:t>舰船等移动</w:t>
      </w:r>
      <w:r>
        <w:rPr>
          <w:spacing w:val="-1"/>
        </w:rPr>
        <w:t>平台上，满足不同用户的作战任务需求。</w:t>
      </w:r>
    </w:p>
    <w:p w14:paraId="42900273">
      <w:pPr>
        <w:pStyle w:val="2"/>
        <w:spacing w:before="1" w:line="360" w:lineRule="auto"/>
        <w:ind w:left="20" w:right="55" w:firstLine="565"/>
        <w:jc w:val="center"/>
      </w:pPr>
      <w:r>
        <w:drawing>
          <wp:inline distT="0" distB="0" distL="0" distR="0">
            <wp:extent cx="2515235" cy="3230245"/>
            <wp:effectExtent l="0" t="0" r="18415" b="8255"/>
            <wp:docPr id="208681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1068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8559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2AE2">
      <w:pPr>
        <w:spacing w:before="169" w:line="232" w:lineRule="auto"/>
        <w:ind w:left="3362"/>
        <w:rPr>
          <w:rFonts w:ascii="仿宋" w:hAnsi="仿宋" w:eastAsia="仿宋" w:cs="仿宋"/>
          <w:sz w:val="20"/>
          <w:szCs w:val="20"/>
        </w:rPr>
      </w:pPr>
      <w:r>
        <w:rPr>
          <w:rFonts w:ascii="仿宋" w:hAnsi="仿宋" w:eastAsia="仿宋" w:cs="仿宋"/>
          <w:spacing w:val="-1"/>
          <w:sz w:val="20"/>
          <w:szCs w:val="20"/>
        </w:rPr>
        <w:t>图</w:t>
      </w:r>
      <w:r>
        <w:rPr>
          <w:rFonts w:ascii="仿宋" w:hAnsi="仿宋" w:eastAsia="仿宋" w:cs="仿宋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仿宋" w:hAnsi="仿宋" w:eastAsia="仿宋" w:cs="仿宋"/>
          <w:spacing w:val="-1"/>
          <w:sz w:val="20"/>
          <w:szCs w:val="20"/>
        </w:rPr>
        <w:t>激光打击系统</w:t>
      </w:r>
    </w:p>
    <w:p w14:paraId="2DAB1052">
      <w:pPr>
        <w:spacing w:line="232" w:lineRule="auto"/>
        <w:rPr>
          <w:rFonts w:ascii="仿宋" w:hAnsi="仿宋" w:eastAsia="仿宋" w:cs="仿宋"/>
          <w:sz w:val="20"/>
          <w:szCs w:val="20"/>
        </w:rPr>
        <w:sectPr>
          <w:headerReference r:id="rId5" w:type="default"/>
          <w:footerReference r:id="rId6" w:type="default"/>
          <w:pgSz w:w="11910" w:h="16840"/>
          <w:pgMar w:top="1606" w:right="1698" w:bottom="1172" w:left="1786" w:header="852" w:footer="958" w:gutter="0"/>
          <w:pgNumType w:fmt="decimal"/>
          <w:cols w:space="720" w:num="1"/>
        </w:sectPr>
      </w:pPr>
    </w:p>
    <w:p w14:paraId="71887AED">
      <w:pPr>
        <w:spacing w:line="242" w:lineRule="auto"/>
        <w:rPr>
          <w:rFonts w:ascii="Arial"/>
          <w:sz w:val="21"/>
        </w:rPr>
      </w:pPr>
    </w:p>
    <w:p w14:paraId="58694887">
      <w:pPr>
        <w:spacing w:before="98" w:line="222" w:lineRule="auto"/>
        <w:ind w:left="18"/>
        <w:outlineLvl w:val="0"/>
        <w:rPr>
          <w:rFonts w:ascii="黑体" w:hAnsi="黑体" w:eastAsia="黑体" w:cs="黑体"/>
          <w:b/>
          <w:bCs/>
          <w:spacing w:val="-3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 xml:space="preserve">2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产品特点</w:t>
      </w:r>
    </w:p>
    <w:p w14:paraId="4E164C7B">
      <w:pPr>
        <w:spacing w:line="356" w:lineRule="auto"/>
        <w:rPr>
          <w:rFonts w:ascii="Arial"/>
          <w:sz w:val="21"/>
        </w:rPr>
      </w:pPr>
    </w:p>
    <w:p w14:paraId="0803C638">
      <w:pPr>
        <w:pStyle w:val="2"/>
        <w:numPr>
          <w:ilvl w:val="0"/>
          <w:numId w:val="1"/>
        </w:numPr>
        <w:ind w:left="420" w:leftChars="0" w:hanging="420" w:firstLineChars="0"/>
        <w:rPr>
          <w:rFonts w:ascii="Wingdings" w:hAnsi="Wingdings" w:eastAsia="Wingdings" w:cs="Wingdings"/>
          <w:b w:val="0"/>
          <w:bCs w:val="0"/>
          <w:spacing w:val="-11"/>
          <w:lang w:val="en-US" w:eastAsia="zh-CN"/>
        </w:rPr>
      </w:pPr>
      <w:r>
        <w:rPr>
          <w:rFonts w:ascii="Wingdings" w:hAnsi="Wingdings" w:eastAsia="Wingdings" w:cs="Wingdings"/>
          <w:b w:val="0"/>
          <w:bCs w:val="0"/>
          <w:spacing w:val="-11"/>
          <w:lang w:val="en-US" w:eastAsia="zh-CN"/>
        </w:rPr>
        <w:t xml:space="preserve">高效物理毁伤 </w:t>
      </w:r>
    </w:p>
    <w:p w14:paraId="67624EAF">
      <w:pPr>
        <w:pStyle w:val="2"/>
        <w:spacing w:before="192" w:line="361" w:lineRule="auto"/>
        <w:ind w:left="29" w:right="20" w:firstLine="550"/>
        <w:rPr>
          <w:spacing w:val="-4"/>
          <w:lang w:val="en-US" w:eastAsia="zh-CN"/>
        </w:rPr>
      </w:pPr>
      <w:r>
        <w:rPr>
          <w:spacing w:val="-4"/>
          <w:lang w:val="en-US" w:eastAsia="zh-CN"/>
        </w:rPr>
        <w:t>系统具备</w:t>
      </w:r>
      <w:r>
        <w:rPr>
          <w:rFonts w:hint="eastAsia" w:hAnsi="宋体" w:cs="宋体"/>
        </w:rPr>
        <w:t>远场高能激光束的汇聚和控制能力</w:t>
      </w:r>
      <w:r>
        <w:rPr>
          <w:spacing w:val="-4"/>
          <w:lang w:val="en-US" w:eastAsia="zh-CN"/>
        </w:rPr>
        <w:t>，通过持续的高能激光照射，系统可快速对目标关键部位造成不可逆的热烧蚀与物理破坏，实现高效的拦截与坠毁效果。</w:t>
      </w:r>
      <w:r>
        <w:rPr>
          <w:rFonts w:hint="eastAsia"/>
          <w:spacing w:val="-4"/>
          <w:lang w:val="en-US" w:eastAsia="zh-CN"/>
        </w:rPr>
        <w:t>打击过程中无爆炸、无碎片，不会对周边人员和环境产生附加损害，适合城市或重要设施防护。激光打击过程无形无声，定向性好，不易被发现和反制。系统可长时间连续作战，适合持久性防御任务，也是应对无人机蜂群饱和攻击的有效手段。</w:t>
      </w:r>
    </w:p>
    <w:p w14:paraId="4F8B101F">
      <w:pPr>
        <w:pStyle w:val="2"/>
        <w:numPr>
          <w:ilvl w:val="0"/>
          <w:numId w:val="1"/>
        </w:numPr>
        <w:ind w:left="420" w:leftChars="0" w:hanging="420" w:firstLineChars="0"/>
        <w:rPr>
          <w:rFonts w:ascii="Wingdings" w:hAnsi="Wingdings" w:eastAsia="Wingdings" w:cs="Wingdings"/>
          <w:b w:val="0"/>
          <w:bCs w:val="0"/>
          <w:spacing w:val="-11"/>
          <w:lang w:val="en-US" w:eastAsia="zh-CN"/>
        </w:rPr>
      </w:pPr>
      <w:r>
        <w:rPr>
          <w:rFonts w:hint="eastAsia" w:ascii="Wingdings" w:hAnsi="Wingdings" w:eastAsia="Wingdings" w:cs="Wingdings"/>
          <w:b w:val="0"/>
          <w:bCs w:val="0"/>
          <w:spacing w:val="-11"/>
          <w:lang w:val="en-US" w:eastAsia="zh-CN"/>
        </w:rPr>
        <w:t>快</w:t>
      </w:r>
      <w:r>
        <w:rPr>
          <w:rFonts w:ascii="Wingdings" w:hAnsi="Wingdings" w:eastAsia="Wingdings" w:cs="Wingdings"/>
          <w:b w:val="0"/>
          <w:bCs w:val="0"/>
          <w:spacing w:val="-11"/>
          <w:lang w:val="en-US" w:eastAsia="zh-CN"/>
        </w:rPr>
        <w:t xml:space="preserve">速响应极速拦截 </w:t>
      </w:r>
    </w:p>
    <w:p w14:paraId="739C0203">
      <w:pPr>
        <w:pStyle w:val="2"/>
        <w:spacing w:before="192" w:line="361" w:lineRule="auto"/>
        <w:ind w:left="29" w:right="20" w:firstLine="550"/>
        <w:rPr>
          <w:spacing w:val="-4"/>
          <w:lang w:val="en-US" w:eastAsia="zh-CN"/>
        </w:rPr>
      </w:pPr>
      <w:r>
        <w:rPr>
          <w:spacing w:val="-4"/>
          <w:lang w:val="en-US" w:eastAsia="zh-CN"/>
        </w:rPr>
        <w:t>系统依托光速传输的物理特性，</w:t>
      </w:r>
      <w:r>
        <w:rPr>
          <w:rFonts w:hint="eastAsia"/>
          <w:spacing w:val="-4"/>
          <w:lang w:val="en-US" w:eastAsia="zh-CN"/>
        </w:rPr>
        <w:t xml:space="preserve">可在 </w:t>
      </w:r>
      <w:r>
        <w:rPr>
          <w:rFonts w:hint="default"/>
          <w:spacing w:val="-4"/>
          <w:lang w:val="en-US" w:eastAsia="zh-CN"/>
        </w:rPr>
        <w:t xml:space="preserve">5 </w:t>
      </w:r>
      <w:r>
        <w:rPr>
          <w:rFonts w:hint="eastAsia"/>
          <w:spacing w:val="-4"/>
          <w:lang w:val="en-US" w:eastAsia="zh-CN"/>
        </w:rPr>
        <w:t>秒~15秒内</w:t>
      </w:r>
      <w:r>
        <w:rPr>
          <w:spacing w:val="-4"/>
          <w:lang w:val="en-US" w:eastAsia="zh-CN"/>
        </w:rPr>
        <w:t>完成动态预测与精准打击，让目标完全来不及做出规避反应</w:t>
      </w:r>
      <w:r>
        <w:rPr>
          <w:rFonts w:hint="eastAsia"/>
          <w:spacing w:val="-4"/>
          <w:lang w:val="en-US" w:eastAsia="zh-CN"/>
        </w:rPr>
        <w:t>，有效对抗低空突防威胁。</w:t>
      </w:r>
    </w:p>
    <w:p w14:paraId="49D07D17">
      <w:pPr>
        <w:pStyle w:val="2"/>
        <w:numPr>
          <w:ilvl w:val="0"/>
          <w:numId w:val="1"/>
        </w:numPr>
        <w:ind w:left="420" w:leftChars="0" w:hanging="420" w:firstLineChars="0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Wingdings" w:hAnsi="Wingdings" w:eastAsia="Wingdings" w:cs="Wingdings"/>
          <w:b w:val="0"/>
          <w:bCs w:val="0"/>
          <w:snapToGrid w:val="0"/>
          <w:color w:val="000000"/>
          <w:spacing w:val="-11"/>
          <w:kern w:val="0"/>
          <w:sz w:val="28"/>
          <w:szCs w:val="28"/>
          <w:lang w:val="en-US" w:eastAsia="zh-CN" w:bidi="ar-SA"/>
        </w:rPr>
        <w:t>高精度伺服跟踪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97C727F">
      <w:pPr>
        <w:pStyle w:val="2"/>
        <w:spacing w:before="192" w:line="361" w:lineRule="auto"/>
        <w:ind w:left="29" w:right="20" w:firstLine="550"/>
        <w:rPr>
          <w:spacing w:val="-4"/>
          <w:lang w:val="en-US" w:eastAsia="zh-CN"/>
        </w:rPr>
      </w:pPr>
      <w:r>
        <w:rPr>
          <w:spacing w:val="-4"/>
          <w:lang w:val="en-US" w:eastAsia="zh-CN"/>
        </w:rPr>
        <w:t>系统融合了</w:t>
      </w:r>
      <w:r>
        <w:rPr>
          <w:rFonts w:hint="eastAsia"/>
          <w:spacing w:val="-4"/>
          <w:lang w:val="en-US" w:eastAsia="zh-CN"/>
        </w:rPr>
        <w:t>远程UAV目标的智能识别</w:t>
      </w:r>
      <w:r>
        <w:rPr>
          <w:spacing w:val="-4"/>
          <w:lang w:val="en-US" w:eastAsia="zh-CN"/>
        </w:rPr>
        <w:t>与高精度伺服控制技术，</w:t>
      </w:r>
      <w:r>
        <w:rPr>
          <w:rFonts w:hint="eastAsia"/>
          <w:spacing w:val="-4"/>
          <w:lang w:val="en-US" w:eastAsia="zh-CN"/>
        </w:rPr>
        <w:t>在复杂背景下的识别准确率≥95%，</w:t>
      </w:r>
      <w:r>
        <w:rPr>
          <w:spacing w:val="-4"/>
          <w:lang w:val="en-US" w:eastAsia="zh-CN"/>
        </w:rPr>
        <w:t>能够在复杂背景（如建筑物、树木、山脉等）下精准剥离并</w:t>
      </w:r>
      <w:r>
        <w:rPr>
          <w:rFonts w:hint="eastAsia"/>
          <w:spacing w:val="-4"/>
          <w:lang w:val="en-US" w:eastAsia="zh-CN"/>
        </w:rPr>
        <w:t>自动跟踪</w:t>
      </w:r>
      <w:r>
        <w:rPr>
          <w:spacing w:val="-4"/>
          <w:lang w:val="en-US" w:eastAsia="zh-CN"/>
        </w:rPr>
        <w:t>无人机目标</w:t>
      </w:r>
      <w:r>
        <w:rPr>
          <w:rFonts w:hint="eastAsia"/>
          <w:spacing w:val="-4"/>
          <w:lang w:val="en-US" w:eastAsia="zh-CN"/>
        </w:rPr>
        <w:t>，</w:t>
      </w:r>
      <w:r>
        <w:rPr>
          <w:spacing w:val="-4"/>
          <w:lang w:val="en-US" w:eastAsia="zh-CN"/>
        </w:rPr>
        <w:t>从容应对各类高速机动、不规则飞行的低空威胁。</w:t>
      </w:r>
    </w:p>
    <w:p w14:paraId="6C018502">
      <w:pPr>
        <w:pStyle w:val="2"/>
        <w:numPr>
          <w:ilvl w:val="0"/>
          <w:numId w:val="1"/>
        </w:numPr>
        <w:ind w:left="420" w:leftChars="0" w:hanging="420" w:firstLineChars="0"/>
        <w:rPr>
          <w:rFonts w:ascii="Wingdings" w:hAnsi="Wingdings" w:eastAsia="Wingdings" w:cs="Wingdings"/>
          <w:b w:val="0"/>
          <w:bCs w:val="0"/>
          <w:snapToGrid w:val="0"/>
          <w:color w:val="000000"/>
          <w:spacing w:val="-11"/>
          <w:kern w:val="0"/>
          <w:sz w:val="28"/>
          <w:szCs w:val="28"/>
          <w:lang w:val="en-US" w:eastAsia="zh-CN" w:bidi="ar-SA"/>
        </w:rPr>
      </w:pPr>
      <w:r>
        <w:rPr>
          <w:rFonts w:ascii="Wingdings" w:hAnsi="Wingdings" w:eastAsia="Wingdings" w:cs="Wingdings"/>
          <w:b w:val="0"/>
          <w:bCs w:val="0"/>
          <w:snapToGrid w:val="0"/>
          <w:color w:val="000000"/>
          <w:spacing w:val="-11"/>
          <w:kern w:val="0"/>
          <w:sz w:val="28"/>
          <w:szCs w:val="28"/>
          <w:lang w:val="en-US" w:eastAsia="zh-CN" w:bidi="ar-SA"/>
        </w:rPr>
        <w:t xml:space="preserve">多源协同 </w:t>
      </w:r>
    </w:p>
    <w:p w14:paraId="545E51EF">
      <w:pPr>
        <w:pStyle w:val="2"/>
        <w:spacing w:before="192" w:line="361" w:lineRule="auto"/>
        <w:ind w:left="29" w:right="20" w:firstLine="550"/>
        <w:rPr>
          <w:spacing w:val="-4"/>
          <w:lang w:val="en-US" w:eastAsia="zh-CN"/>
        </w:rPr>
      </w:pPr>
      <w:r>
        <w:rPr>
          <w:spacing w:val="-4"/>
          <w:lang w:val="en-US" w:eastAsia="zh-CN"/>
        </w:rPr>
        <w:t>系统能接收并融合外部雷达等传感器的制导信息</w:t>
      </w:r>
      <w:r>
        <w:rPr>
          <w:rFonts w:hint="eastAsia"/>
          <w:spacing w:val="-4"/>
          <w:lang w:val="en-US" w:eastAsia="zh-CN"/>
        </w:rPr>
        <w:t>，</w:t>
      </w:r>
      <w:r>
        <w:rPr>
          <w:spacing w:val="-4"/>
          <w:lang w:val="en-US" w:eastAsia="zh-CN"/>
        </w:rPr>
        <w:t>多源协同机制大幅缩短了目标截获与反应时间，提升了整体作战体系的效能。</w:t>
      </w:r>
    </w:p>
    <w:p w14:paraId="23500AD5">
      <w:pPr>
        <w:pStyle w:val="2"/>
        <w:numPr>
          <w:ilvl w:val="0"/>
          <w:numId w:val="1"/>
        </w:numPr>
        <w:ind w:left="420" w:leftChars="0" w:hanging="420" w:firstLineChars="0"/>
        <w:rPr>
          <w:rFonts w:ascii="Wingdings" w:hAnsi="Wingdings" w:eastAsia="Wingdings" w:cs="Wingdings"/>
          <w:b w:val="0"/>
          <w:bCs w:val="0"/>
          <w:snapToGrid w:val="0"/>
          <w:color w:val="000000"/>
          <w:spacing w:val="-11"/>
          <w:kern w:val="0"/>
          <w:sz w:val="28"/>
          <w:szCs w:val="28"/>
          <w:lang w:val="en-US" w:eastAsia="zh-CN" w:bidi="ar-SA"/>
        </w:rPr>
      </w:pPr>
      <w:r>
        <w:rPr>
          <w:rFonts w:ascii="Wingdings" w:hAnsi="Wingdings" w:eastAsia="Wingdings" w:cs="Wingdings"/>
          <w:b w:val="0"/>
          <w:bCs w:val="0"/>
          <w:snapToGrid w:val="0"/>
          <w:color w:val="000000"/>
          <w:spacing w:val="-11"/>
          <w:kern w:val="0"/>
          <w:sz w:val="28"/>
          <w:szCs w:val="28"/>
          <w:lang w:val="en-US" w:eastAsia="zh-CN" w:bidi="ar-SA"/>
        </w:rPr>
        <w:t xml:space="preserve">灵活部署，宽温域环境适应 </w:t>
      </w:r>
    </w:p>
    <w:p w14:paraId="20DFEDC7">
      <w:pPr>
        <w:pStyle w:val="2"/>
        <w:spacing w:before="192" w:line="361" w:lineRule="auto"/>
        <w:ind w:left="29" w:right="20" w:firstLine="550"/>
        <w:rPr>
          <w:spacing w:val="-4"/>
        </w:rPr>
      </w:pPr>
      <w:r>
        <w:rPr>
          <w:spacing w:val="-4"/>
          <w:lang w:val="en-US" w:eastAsia="zh-CN"/>
        </w:rPr>
        <w:t>系统各核心组件紧凑且易于拆装，能够集成于各类车载平台或固定阵地，满足机动巡逻与要地防卫的双重需求。同时具备极强的环境鲁棒性，能够在严寒、酷暑等多种极端气候条件下保持稳定运行。</w:t>
      </w:r>
      <w:bookmarkStart w:id="0" w:name="_GoBack"/>
      <w:bookmarkEnd w:id="0"/>
    </w:p>
    <w:p w14:paraId="6B323269">
      <w:pPr>
        <w:keepNext w:val="0"/>
        <w:keepLines w:val="0"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24" w:lineRule="auto"/>
        <w:ind w:left="119"/>
        <w:textAlignment w:val="baseline"/>
        <w:outlineLvl w:val="0"/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 xml:space="preserve">3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产品指标</w:t>
      </w:r>
    </w:p>
    <w:p w14:paraId="6F197338">
      <w:pPr>
        <w:spacing w:before="174"/>
      </w:pPr>
    </w:p>
    <w:tbl>
      <w:tblPr>
        <w:tblStyle w:val="8"/>
        <w:tblW w:w="85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9"/>
        <w:gridCol w:w="6767"/>
      </w:tblGrid>
      <w:tr w14:paraId="163D7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536" w:type="dxa"/>
            <w:gridSpan w:val="2"/>
            <w:vAlign w:val="top"/>
          </w:tcPr>
          <w:p w14:paraId="0EFAAA02">
            <w:pPr>
              <w:pStyle w:val="9"/>
              <w:spacing w:before="41" w:line="222" w:lineRule="auto"/>
              <w:ind w:left="3804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参数指标</w:t>
            </w:r>
          </w:p>
        </w:tc>
      </w:tr>
      <w:tr w14:paraId="0DDCD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3" w:hRule="atLeast"/>
        </w:trPr>
        <w:tc>
          <w:tcPr>
            <w:tcW w:w="1769" w:type="dxa"/>
            <w:vAlign w:val="center"/>
          </w:tcPr>
          <w:p w14:paraId="36D17CE5">
            <w:pPr>
              <w:bidi w:val="0"/>
              <w:jc w:val="center"/>
              <w:rPr>
                <w:rFonts w:hint="default" w:eastAsia="仿宋"/>
                <w:spacing w:val="-5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激光打击效能</w:t>
            </w:r>
          </w:p>
        </w:tc>
        <w:tc>
          <w:tcPr>
            <w:tcW w:w="6767" w:type="dxa"/>
            <w:vAlign w:val="center"/>
          </w:tcPr>
          <w:p w14:paraId="14624C83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  <w:lang w:eastAsia="zh-CN"/>
              </w:rPr>
            </w:pPr>
            <w:r>
              <w:rPr>
                <w:rFonts w:hint="default"/>
                <w:spacing w:val="-4"/>
              </w:rPr>
              <w:t>高能激光发射功率</w:t>
            </w:r>
            <w:r>
              <w:rPr>
                <w:rFonts w:hint="eastAsia"/>
                <w:spacing w:val="-4"/>
              </w:rPr>
              <w:t>≥3</w:t>
            </w:r>
            <w:r>
              <w:rPr>
                <w:rFonts w:hint="eastAsia"/>
                <w:spacing w:val="-4"/>
                <w:lang w:val="en-US" w:eastAsia="zh-CN"/>
              </w:rPr>
              <w:t>000W</w:t>
            </w:r>
          </w:p>
          <w:p w14:paraId="4FEAE714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  <w:lang w:eastAsia="zh-CN"/>
              </w:rPr>
            </w:pPr>
            <w:r>
              <w:rPr>
                <w:rFonts w:hint="default"/>
                <w:spacing w:val="-4"/>
              </w:rPr>
              <w:t>有效破坏范围</w:t>
            </w:r>
            <w:r>
              <w:rPr>
                <w:rFonts w:hint="eastAsia"/>
                <w:spacing w:val="-4"/>
              </w:rPr>
              <w:t>≥1000</w:t>
            </w:r>
            <w:r>
              <w:rPr>
                <w:rFonts w:hint="eastAsia"/>
                <w:spacing w:val="-4"/>
                <w:lang w:eastAsia="zh-CN"/>
              </w:rPr>
              <w:t>（</w:t>
            </w:r>
            <w:r>
              <w:rPr>
                <w:rFonts w:hint="eastAsia"/>
                <w:spacing w:val="-4"/>
                <w:lang w:val="en-US" w:eastAsia="zh-CN"/>
              </w:rPr>
              <w:t>以</w:t>
            </w:r>
            <w:r>
              <w:rPr>
                <w:rFonts w:hint="eastAsia"/>
                <w:spacing w:val="-4"/>
              </w:rPr>
              <w:t>大疆幻影无人机在大气弱湍流中的案例研究</w:t>
            </w:r>
            <w:r>
              <w:rPr>
                <w:rFonts w:hint="eastAsia"/>
                <w:spacing w:val="-4"/>
                <w:lang w:eastAsia="zh-CN"/>
              </w:rPr>
              <w:t>）</w:t>
            </w:r>
          </w:p>
          <w:p w14:paraId="083D0F86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  <w:lang w:eastAsia="zh-CN"/>
              </w:rPr>
            </w:pPr>
            <w:r>
              <w:rPr>
                <w:rFonts w:hint="default"/>
                <w:spacing w:val="-4"/>
              </w:rPr>
              <w:t>破坏时间</w:t>
            </w:r>
            <w:r>
              <w:rPr>
                <w:rFonts w:hint="eastAsia"/>
                <w:spacing w:val="-4"/>
                <w:lang w:val="en-US" w:eastAsia="zh-CN"/>
              </w:rPr>
              <w:t xml:space="preserve"> </w:t>
            </w:r>
            <w:r>
              <w:rPr>
                <w:rFonts w:hint="eastAsia"/>
                <w:spacing w:val="-4"/>
              </w:rPr>
              <w:t>5 ~ 15秒</w:t>
            </w:r>
            <w:r>
              <w:rPr>
                <w:rFonts w:hint="eastAsia"/>
                <w:spacing w:val="-4"/>
                <w:lang w:eastAsia="zh-CN"/>
              </w:rPr>
              <w:t>（</w:t>
            </w:r>
            <w:r>
              <w:rPr>
                <w:rFonts w:hint="eastAsia"/>
                <w:spacing w:val="-4"/>
              </w:rPr>
              <w:t>从初始发光到目标坠落</w:t>
            </w:r>
            <w:r>
              <w:rPr>
                <w:rFonts w:hint="eastAsia"/>
                <w:spacing w:val="-4"/>
                <w:lang w:eastAsia="zh-CN"/>
              </w:rPr>
              <w:t>，</w:t>
            </w:r>
            <w:r>
              <w:rPr>
                <w:rFonts w:hint="eastAsia"/>
                <w:spacing w:val="-4"/>
              </w:rPr>
              <w:t>受目标距离和大气条件影响的时间</w:t>
            </w:r>
            <w:r>
              <w:rPr>
                <w:rFonts w:hint="eastAsia"/>
                <w:spacing w:val="-4"/>
                <w:lang w:eastAsia="zh-CN"/>
              </w:rPr>
              <w:t>）</w:t>
            </w:r>
          </w:p>
          <w:p w14:paraId="49B21F47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  <w:lang w:eastAsia="zh-CN"/>
              </w:rPr>
            </w:pPr>
            <w:r>
              <w:rPr>
                <w:rFonts w:hint="default"/>
                <w:spacing w:val="-4"/>
              </w:rPr>
              <w:t>距离范围</w:t>
            </w:r>
            <w:r>
              <w:rPr>
                <w:rFonts w:hint="eastAsia"/>
                <w:spacing w:val="-4"/>
              </w:rPr>
              <w:t>≥1.5公里</w:t>
            </w:r>
            <w:r>
              <w:rPr>
                <w:rFonts w:hint="eastAsia"/>
                <w:spacing w:val="-4"/>
                <w:lang w:eastAsia="zh-CN"/>
              </w:rPr>
              <w:t>（</w:t>
            </w:r>
            <w:r>
              <w:rPr>
                <w:rFonts w:hint="eastAsia"/>
                <w:spacing w:val="-4"/>
              </w:rPr>
              <w:t>以大疆“Jingling”为典型目标</w:t>
            </w:r>
            <w:r>
              <w:rPr>
                <w:rFonts w:hint="eastAsia"/>
                <w:spacing w:val="-4"/>
                <w:lang w:eastAsia="zh-CN"/>
              </w:rPr>
              <w:t>）</w:t>
            </w:r>
          </w:p>
          <w:p w14:paraId="4F85CF46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 w:hAnsi="宋体" w:cs="宋体"/>
                <w:szCs w:val="24"/>
              </w:rPr>
            </w:pPr>
            <w:r>
              <w:rPr>
                <w:rFonts w:hint="default"/>
                <w:spacing w:val="-4"/>
              </w:rPr>
              <w:t>连续发光时间</w:t>
            </w:r>
            <w:r>
              <w:rPr>
                <w:rFonts w:hint="eastAsia"/>
                <w:spacing w:val="-4"/>
              </w:rPr>
              <w:t>≥60秒</w:t>
            </w:r>
          </w:p>
          <w:p w14:paraId="2548FA21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激光束质量 M2：≤1.3</w:t>
            </w:r>
          </w:p>
          <w:p w14:paraId="437EE803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发射孔径：≥120毫米</w:t>
            </w:r>
          </w:p>
          <w:p w14:paraId="399F62F3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 w:hAnsi="宋体" w:cs="宋体"/>
                <w:szCs w:val="24"/>
              </w:rPr>
            </w:pPr>
            <w:r>
              <w:rPr>
                <w:rFonts w:hint="eastAsia"/>
                <w:spacing w:val="-4"/>
              </w:rPr>
              <w:t>激光铠装电缆长度：4米</w:t>
            </w:r>
          </w:p>
        </w:tc>
      </w:tr>
      <w:tr w14:paraId="3D371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8" w:hRule="atLeast"/>
        </w:trPr>
        <w:tc>
          <w:tcPr>
            <w:tcW w:w="1769" w:type="dxa"/>
            <w:vAlign w:val="center"/>
          </w:tcPr>
          <w:p w14:paraId="7D47662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伺服跟踪</w:t>
            </w:r>
          </w:p>
        </w:tc>
        <w:tc>
          <w:tcPr>
            <w:tcW w:w="6767" w:type="dxa"/>
            <w:vAlign w:val="center"/>
          </w:tcPr>
          <w:p w14:paraId="7CBF346E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目标智能识别</w:t>
            </w:r>
            <w:r>
              <w:rPr>
                <w:rFonts w:hint="eastAsia"/>
                <w:spacing w:val="-4"/>
                <w:lang w:val="en-US" w:eastAsia="zh-CN"/>
              </w:rPr>
              <w:t>精度</w:t>
            </w:r>
            <w:r>
              <w:rPr>
                <w:rFonts w:hint="default"/>
                <w:spacing w:val="-4"/>
              </w:rPr>
              <w:t>：≥95%</w:t>
            </w:r>
          </w:p>
          <w:p w14:paraId="27B4D06A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目标跟踪精度：≤20 urad (RMS)</w:t>
            </w:r>
          </w:p>
          <w:p w14:paraId="672B9784">
            <w:pPr>
              <w:pStyle w:val="9"/>
              <w:numPr>
                <w:ilvl w:val="0"/>
                <w:numId w:val="0"/>
              </w:numPr>
              <w:spacing w:before="33" w:line="222" w:lineRule="auto"/>
              <w:ind w:left="220" w:left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（复杂背景下无人机目标的智能识别与跟踪）</w:t>
            </w:r>
          </w:p>
          <w:p w14:paraId="4F276A01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有效跟踪距离：≥1200米（基于大疆幻影无人机在大气弱湍流中的案例研究）</w:t>
            </w:r>
          </w:p>
          <w:p w14:paraId="24B892C4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水平工作范围：-165° ～ +165°</w:t>
            </w:r>
          </w:p>
          <w:p w14:paraId="1DFDCD7C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俯仰工作范围：-10° ～ +60°</w:t>
            </w:r>
          </w:p>
          <w:p w14:paraId="6EED44F7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最大航速跟踪：60°/秒</w:t>
            </w:r>
          </w:p>
          <w:p w14:paraId="14B1FA85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最大加速度跟踪：60°/s²</w:t>
            </w:r>
          </w:p>
          <w:p w14:paraId="5CD6701E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精准跟踪速度：≥20°/秒</w:t>
            </w:r>
          </w:p>
          <w:p w14:paraId="33C65D09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精确跟踪加速度：≥20°/s²</w:t>
            </w:r>
          </w:p>
        </w:tc>
      </w:tr>
      <w:tr w14:paraId="4F28C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769" w:type="dxa"/>
            <w:vAlign w:val="center"/>
          </w:tcPr>
          <w:p w14:paraId="6727462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环境适应性</w:t>
            </w:r>
          </w:p>
        </w:tc>
        <w:tc>
          <w:tcPr>
            <w:tcW w:w="6767" w:type="dxa"/>
            <w:vAlign w:val="center"/>
          </w:tcPr>
          <w:p w14:paraId="32D8A72E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工作温度：-20℃ ～ +50℃（使用临时舱室进行温度控制）</w:t>
            </w:r>
          </w:p>
          <w:p w14:paraId="11EBA9A6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储存温度：-30℃ ～ +60℃（储存时，必须将水冷机组内的冷却剂排干）</w:t>
            </w:r>
          </w:p>
        </w:tc>
      </w:tr>
      <w:tr w14:paraId="649AC9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7" w:hRule="atLeast"/>
        </w:trPr>
        <w:tc>
          <w:tcPr>
            <w:tcW w:w="1769" w:type="dxa"/>
            <w:vAlign w:val="center"/>
          </w:tcPr>
          <w:p w14:paraId="6AC5483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尺寸和重量</w:t>
            </w:r>
          </w:p>
        </w:tc>
        <w:tc>
          <w:tcPr>
            <w:tcW w:w="6767" w:type="dxa"/>
            <w:vAlign w:val="center"/>
          </w:tcPr>
          <w:p w14:paraId="7B13E7C2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 xml:space="preserve">瞄准转台：尺寸 895mm × 960mm × 710mm | 重量 235 kg </w:t>
            </w:r>
          </w:p>
          <w:p w14:paraId="52BD3532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 xml:space="preserve">激光器：尺寸 574mm × 130mm × 450mm | 重量 30.5 kg </w:t>
            </w:r>
          </w:p>
          <w:p w14:paraId="1D850024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 xml:space="preserve">水冷机组：尺寸 862mm × 1186mm × 656mm | 重量 136 kg </w:t>
            </w:r>
          </w:p>
          <w:p w14:paraId="33AE0C41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 xml:space="preserve">电池：尺寸 483mm × 224mm × 766mm | 重量 ≤60 kg </w:t>
            </w:r>
          </w:p>
          <w:p w14:paraId="744C052E">
            <w:pPr>
              <w:pStyle w:val="9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 xml:space="preserve">智能控制计算机：尺寸 430mm × 180mm × 460mm | 重量 14 kg </w:t>
            </w:r>
          </w:p>
        </w:tc>
      </w:tr>
    </w:tbl>
    <w:p w14:paraId="35573FB6">
      <w:pPr>
        <w:rPr>
          <w:rFonts w:ascii="Arial"/>
          <w:sz w:val="21"/>
        </w:rPr>
      </w:pPr>
    </w:p>
    <w:sectPr>
      <w:headerReference r:id="rId7" w:type="default"/>
      <w:footerReference r:id="rId8" w:type="default"/>
      <w:pgSz w:w="11910" w:h="16840"/>
      <w:pgMar w:top="1606" w:right="1684" w:bottom="1172" w:left="1684" w:header="852" w:footer="95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05BC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AE3E9E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AE3E9E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C6D6F">
    <w:pPr>
      <w:pStyle w:val="2"/>
      <w:spacing w:line="209" w:lineRule="auto"/>
      <w:ind w:left="4210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CE7597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CE7597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14583">
    <w:pPr>
      <w:spacing w:line="607" w:lineRule="exact"/>
      <w:ind w:firstLine="7290"/>
    </w:pPr>
    <w:r>
      <w:pict>
        <v:shape id="_x0000_s4097" o:spid="_x0000_s4097" style="position:absolute;left:0pt;margin-left:89.85pt;margin-top:79.6pt;height:0.75pt;width:415.8pt;mso-position-horizontal-relative:page;mso-position-vertical-relative:page;z-index:251659264;mso-width-relative:page;mso-height-relative:page;" fillcolor="#000000" filled="t" stroked="f" coordsize="8315,15" o:allowincell="f" path="m0,0l8315,0,8315,14,0,14,0,0xe">
          <v:path/>
          <v:fill on="t" focussize="0,0"/>
          <v:stroke on="f"/>
          <v:imagedata o:title=""/>
          <o:lock v:ext="edit"/>
        </v:shape>
      </w:pict>
    </w:r>
    <w:r>
      <w:rPr>
        <w:position w:val="-12"/>
      </w:rPr>
      <w:drawing>
        <wp:inline distT="0" distB="0" distL="0" distR="0">
          <wp:extent cx="642620" cy="38544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127" cy="385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BD3F">
    <w:pPr>
      <w:spacing w:line="607" w:lineRule="exact"/>
      <w:ind w:firstLine="7392"/>
    </w:pPr>
    <w:r>
      <w:pict>
        <v:shape id="_x0000_s4098" o:spid="_x0000_s4098" style="position:absolute;left:0pt;margin-left:89.85pt;margin-top:79.6pt;height:0.75pt;width:415.8pt;mso-position-horizontal-relative:page;mso-position-vertical-relative:page;z-index:251660288;mso-width-relative:page;mso-height-relative:page;" fillcolor="#000000" filled="t" stroked="f" coordsize="8315,15" o:allowincell="f" path="m0,0l8315,0,8315,14,0,14,0,0xe">
          <v:path/>
          <v:fill on="t" focussize="0,0"/>
          <v:stroke on="f"/>
          <v:imagedata o:title=""/>
          <o:lock v:ext="edit"/>
        </v:shape>
      </w:pict>
    </w:r>
    <w:r>
      <w:rPr>
        <w:position w:val="-12"/>
      </w:rPr>
      <w:drawing>
        <wp:inline distT="0" distB="0" distL="0" distR="0">
          <wp:extent cx="642620" cy="38544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127" cy="385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91109B"/>
    <w:multiLevelType w:val="singleLevel"/>
    <w:tmpl w:val="FC9110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C27BE62"/>
    <w:multiLevelType w:val="singleLevel"/>
    <w:tmpl w:val="6C27BE62"/>
    <w:lvl w:ilvl="0" w:tentative="0">
      <w:start w:val="1"/>
      <w:numFmt w:val="bullet"/>
      <w:lvlText w:val="◦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0B4D35"/>
    <w:rsid w:val="16AE4DF2"/>
    <w:rsid w:val="1CE70364"/>
    <w:rsid w:val="24CE44CA"/>
    <w:rsid w:val="2AD47716"/>
    <w:rsid w:val="2B1A30FC"/>
    <w:rsid w:val="40D842EF"/>
    <w:rsid w:val="443B1A49"/>
    <w:rsid w:val="4FAA42E2"/>
    <w:rsid w:val="51296C43"/>
    <w:rsid w:val="63381889"/>
    <w:rsid w:val="67696FA8"/>
    <w:rsid w:val="6ED24CBD"/>
    <w:rsid w:val="70337893"/>
    <w:rsid w:val="75FF3B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10">
    <w:name w:val="List Paragraph"/>
    <w:basedOn w:val="1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1206</Words>
  <Characters>1343</Characters>
  <TotalTime>2</TotalTime>
  <ScaleCrop>false</ScaleCrop>
  <LinksUpToDate>false</LinksUpToDate>
  <CharactersWithSpaces>1418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2026-05-29T10:37:00Z</dcterms:created>
  <dc:creator>Stealth2019</dc:creator>
  <cp:lastModifiedBy>Morning</cp:lastModifiedBy>
  <dcterms:modified xsi:type="dcterms:W3CDTF">2026-07-09T01:42:41Z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2026-07-08T15:02:06Z</vt:filetime>
  </property>
  <property fmtid="{D5CDD505-2E9C-101B-9397-08002B2CF9AE}" pid="4" name="KSOTemplateDocerSaveRecord">
    <vt:lpwstr>eyJoZGlkIjoiYWEyMWJlZTMxYTIwMzZjZGQwOTFjYWMwMDg4NjEyYjUiLCJ1c2VySWQiOiIzNTA5MzAyNjYifQ==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79691C0DC4184E8CA518BAEF45652617_12</vt:lpwstr>
  </property>
</Properties>
</file>