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BF86C">
      <w:pPr>
        <w:rPr>
          <w:rFonts w:ascii="Arial"/>
          <w:sz w:val="21"/>
        </w:rPr>
      </w:pPr>
    </w:p>
    <w:p w14:paraId="40CFD1EA">
      <w:pPr>
        <w:spacing w:line="241" w:lineRule="auto"/>
        <w:rPr>
          <w:rFonts w:ascii="Arial"/>
          <w:sz w:val="21"/>
        </w:rPr>
      </w:pPr>
    </w:p>
    <w:p w14:paraId="0A9474BE">
      <w:pPr>
        <w:pStyle w:val="2"/>
        <w:bidi w:val="0"/>
      </w:pPr>
      <w:r>
        <w:t>产品简介</w:t>
      </w:r>
    </w:p>
    <w:p w14:paraId="284CA045">
      <w:pPr>
        <w:pStyle w:val="6"/>
        <w:spacing w:before="1" w:line="360" w:lineRule="auto"/>
        <w:ind w:left="20" w:right="55" w:firstLine="565"/>
        <w:jc w:val="both"/>
        <w:rPr>
          <w:spacing w:val="-2"/>
          <w:lang w:val="en-US" w:eastAsia="en-US"/>
        </w:rPr>
      </w:pPr>
      <w:r>
        <w:rPr>
          <w:spacing w:val="-2"/>
          <w:lang w:val="en-US" w:eastAsia="en-US"/>
        </w:rPr>
        <w:t>5KW定向高能激光防御系统，</w:t>
      </w:r>
      <w:r>
        <w:rPr>
          <w:rFonts w:hint="eastAsia"/>
          <w:spacing w:val="-2"/>
          <w:lang w:val="en-US" w:eastAsia="zh-CN"/>
        </w:rPr>
        <w:t>是一款先进激光武器系统，主</w:t>
      </w:r>
      <w:r>
        <w:rPr>
          <w:spacing w:val="-2"/>
          <w:lang w:val="en-US" w:eastAsia="en-US"/>
        </w:rPr>
        <w:t>综合利用高能激光、电子信息、图像处理等技术，实现对远场UAV目标、气球、鸟类、风筝等小型目标的智能识别和高精度跟踪。瞄准、激光毁伤，实现对目标的快速处置。</w:t>
      </w:r>
    </w:p>
    <w:p w14:paraId="0059FA70">
      <w:pPr>
        <w:pStyle w:val="6"/>
        <w:spacing w:before="1" w:line="360" w:lineRule="auto"/>
        <w:ind w:left="20" w:right="55" w:firstLine="565"/>
        <w:jc w:val="both"/>
        <w:rPr>
          <w:spacing w:val="-1"/>
        </w:rPr>
      </w:pPr>
      <w:r>
        <w:rPr>
          <w:spacing w:val="-2"/>
        </w:rPr>
        <w:t>系统可广泛应用于军事设施、办公大楼、交通枢纽、能源基</w:t>
      </w:r>
      <w:r>
        <w:rPr>
          <w:spacing w:val="-3"/>
        </w:rPr>
        <w:t>地、</w:t>
      </w:r>
      <w:r>
        <w:rPr>
          <w:spacing w:val="-2"/>
        </w:rPr>
        <w:t>边海防沿线等重要目标和区域的低空立体防御。除车载部署方式外，</w:t>
      </w:r>
      <w:r>
        <w:rPr>
          <w:spacing w:val="-3"/>
        </w:rPr>
        <w:t>还可用于固定阵地部署，实现区域拒止防护，也可安装在</w:t>
      </w:r>
      <w:r>
        <w:rPr>
          <w:spacing w:val="-4"/>
        </w:rPr>
        <w:t>舰船等移动</w:t>
      </w:r>
      <w:r>
        <w:rPr>
          <w:spacing w:val="-1"/>
        </w:rPr>
        <w:t>平台上，满足不同用户的作战任务需求。</w:t>
      </w:r>
    </w:p>
    <w:p w14:paraId="118C94D2">
      <w:pPr>
        <w:pStyle w:val="6"/>
        <w:spacing w:before="1" w:line="360" w:lineRule="auto"/>
        <w:ind w:left="20" w:right="55" w:firstLine="565"/>
        <w:jc w:val="center"/>
        <w:rPr>
          <w:spacing w:val="-1"/>
        </w:rPr>
      </w:pPr>
      <w:r>
        <w:rPr>
          <w:position w:val="-113"/>
        </w:rPr>
        <w:drawing>
          <wp:inline distT="0" distB="0" distL="0" distR="0">
            <wp:extent cx="4013835" cy="3591560"/>
            <wp:effectExtent l="0" t="0" r="5715" b="889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3957" cy="359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2AE2">
      <w:pPr>
        <w:spacing w:before="169" w:line="232" w:lineRule="auto"/>
        <w:ind w:left="3362"/>
        <w:rPr>
          <w:rFonts w:ascii="仿宋" w:hAnsi="仿宋" w:eastAsia="仿宋" w:cs="仿宋"/>
          <w:sz w:val="20"/>
          <w:szCs w:val="20"/>
        </w:rPr>
      </w:pPr>
      <w:r>
        <w:rPr>
          <w:rFonts w:ascii="仿宋" w:hAnsi="仿宋" w:eastAsia="仿宋" w:cs="仿宋"/>
          <w:spacing w:val="-1"/>
          <w:sz w:val="20"/>
          <w:szCs w:val="20"/>
        </w:rPr>
        <w:t>图</w:t>
      </w:r>
      <w:r>
        <w:rPr>
          <w:rFonts w:ascii="仿宋" w:hAnsi="仿宋" w:eastAsia="仿宋" w:cs="仿宋"/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</w:t>
      </w:r>
      <w:r>
        <w:rPr>
          <w:rFonts w:hint="eastAsia" w:ascii="Times New Roman" w:hAnsi="Times New Roman" w:eastAsia="宋体" w:cs="Times New Roman"/>
          <w:spacing w:val="21"/>
          <w:sz w:val="20"/>
          <w:szCs w:val="20"/>
          <w:lang w:val="en-US" w:eastAsia="zh-CN"/>
        </w:rPr>
        <w:t>5KW</w:t>
      </w:r>
      <w:r>
        <w:rPr>
          <w:rFonts w:ascii="仿宋" w:hAnsi="仿宋" w:eastAsia="仿宋" w:cs="仿宋"/>
          <w:spacing w:val="-1"/>
          <w:sz w:val="20"/>
          <w:szCs w:val="20"/>
        </w:rPr>
        <w:t>激光打击系统</w:t>
      </w:r>
    </w:p>
    <w:p w14:paraId="2DAB1052">
      <w:pPr>
        <w:spacing w:line="232" w:lineRule="auto"/>
        <w:rPr>
          <w:rFonts w:ascii="仿宋" w:hAnsi="仿宋" w:eastAsia="仿宋" w:cs="仿宋"/>
          <w:sz w:val="20"/>
          <w:szCs w:val="20"/>
        </w:rPr>
        <w:sectPr>
          <w:headerReference r:id="rId5" w:type="default"/>
          <w:footerReference r:id="rId6" w:type="default"/>
          <w:pgSz w:w="11910" w:h="16840"/>
          <w:pgMar w:top="1606" w:right="1698" w:bottom="1172" w:left="1786" w:header="852" w:footer="958" w:gutter="0"/>
          <w:pgNumType w:fmt="decimal"/>
          <w:cols w:space="720" w:num="1"/>
        </w:sectPr>
      </w:pPr>
    </w:p>
    <w:p w14:paraId="71887AED">
      <w:pPr>
        <w:spacing w:line="242" w:lineRule="auto"/>
        <w:rPr>
          <w:rFonts w:ascii="Arial"/>
          <w:sz w:val="21"/>
        </w:rPr>
      </w:pPr>
    </w:p>
    <w:p w14:paraId="58694887">
      <w:pPr>
        <w:pStyle w:val="2"/>
        <w:bidi w:val="0"/>
        <w:rPr>
          <w:rFonts w:ascii="Arial" w:hAnsi="Arial" w:eastAsia="Arial"/>
        </w:rPr>
      </w:pPr>
      <w:r>
        <w:rPr>
          <w:rFonts w:ascii="Arial" w:hAnsi="Arial" w:eastAsia="Arial"/>
        </w:rPr>
        <w:t>产品特点</w:t>
      </w:r>
    </w:p>
    <w:p w14:paraId="0B1FF6D9">
      <w:pPr>
        <w:pStyle w:val="6"/>
        <w:spacing w:before="200"/>
        <w:ind w:left="2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-56"/>
        </w:rPr>
        <w:t xml:space="preserve"> </w:t>
      </w:r>
      <w:r>
        <w:rPr>
          <w:spacing w:val="-6"/>
        </w:rPr>
        <w:t>察打一体化</w:t>
      </w:r>
    </w:p>
    <w:p w14:paraId="60A12663">
      <w:pPr>
        <w:pStyle w:val="6"/>
        <w:spacing w:before="192" w:line="356" w:lineRule="auto"/>
        <w:ind w:left="12" w:firstLine="558"/>
        <w:jc w:val="both"/>
      </w:pPr>
      <w:r>
        <w:rPr>
          <w:spacing w:val="7"/>
        </w:rPr>
        <w:t>整机集成可见光、红外多光谱侦察跟踪单元及高能激光毁伤单</w:t>
      </w:r>
      <w:r>
        <w:rPr>
          <w:spacing w:val="-3"/>
        </w:rPr>
        <w:t xml:space="preserve">元，搭载 </w:t>
      </w:r>
      <w:r>
        <w:rPr>
          <w:rFonts w:ascii="Times New Roman" w:hAnsi="Times New Roman" w:eastAsia="Times New Roman" w:cs="Times New Roman"/>
          <w:spacing w:val="-3"/>
        </w:rPr>
        <w:t xml:space="preserve">AI  </w:t>
      </w:r>
      <w:r>
        <w:rPr>
          <w:spacing w:val="-3"/>
        </w:rPr>
        <w:t>多源信息融合算法完成目标威胁等级评估，实现对入侵</w:t>
      </w:r>
      <w:r>
        <w:rPr>
          <w:spacing w:val="-1"/>
        </w:rPr>
        <w:t>无人机目标高效拦截处置。</w:t>
      </w:r>
    </w:p>
    <w:p w14:paraId="55500DA2">
      <w:pPr>
        <w:pStyle w:val="6"/>
        <w:ind w:left="22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-50"/>
        </w:rPr>
        <w:t xml:space="preserve"> </w:t>
      </w:r>
      <w:r>
        <w:rPr>
          <w:spacing w:val="-7"/>
        </w:rPr>
        <w:t>毁伤速度快</w:t>
      </w:r>
    </w:p>
    <w:p w14:paraId="0B49C08E">
      <w:pPr>
        <w:pStyle w:val="6"/>
        <w:spacing w:before="193" w:line="355" w:lineRule="auto"/>
        <w:ind w:left="8" w:firstLine="592"/>
      </w:pPr>
      <w:r>
        <w:rPr>
          <w:spacing w:val="-4"/>
        </w:rPr>
        <w:t>以高能激光束直击低空入侵飞行器要害，可在短时间内对目标实</w:t>
      </w:r>
      <w:r>
        <w:rPr>
          <w:spacing w:val="-1"/>
        </w:rPr>
        <w:t>施物理毁伤性拦截，有效对抗低空突防威胁。</w:t>
      </w:r>
    </w:p>
    <w:p w14:paraId="5B0503AB">
      <w:pPr>
        <w:pStyle w:val="6"/>
        <w:spacing w:before="1" w:line="239" w:lineRule="auto"/>
        <w:ind w:left="22"/>
      </w:pPr>
      <w:r>
        <w:rPr>
          <w:rFonts w:ascii="Wingdings" w:hAnsi="Wingdings" w:eastAsia="Wingdings" w:cs="Wingdings"/>
          <w:spacing w:val="15"/>
        </w:rPr>
        <w:t>l</w:t>
      </w:r>
      <w:r>
        <w:rPr>
          <w:rFonts w:ascii="Wingdings" w:hAnsi="Wingdings" w:eastAsia="Wingdings" w:cs="Wingdings"/>
          <w:spacing w:val="-55"/>
        </w:rPr>
        <w:t xml:space="preserve"> </w:t>
      </w:r>
      <w:r>
        <w:rPr>
          <w:spacing w:val="15"/>
        </w:rPr>
        <w:t>打击精度高</w:t>
      </w:r>
    </w:p>
    <w:p w14:paraId="61D182B8">
      <w:pPr>
        <w:pStyle w:val="6"/>
        <w:spacing w:before="194" w:line="356" w:lineRule="auto"/>
        <w:ind w:left="33" w:firstLine="536"/>
      </w:pPr>
      <w:r>
        <w:rPr>
          <w:spacing w:val="-3"/>
        </w:rPr>
        <w:t>基于高精度、高帧频连续跟踪瞄准技术，可实现对低空入侵目标</w:t>
      </w:r>
      <w:r>
        <w:rPr>
          <w:spacing w:val="-2"/>
        </w:rPr>
        <w:t>的精准打击，能有效拦截高速、高机动入侵目标。</w:t>
      </w:r>
    </w:p>
    <w:p w14:paraId="71DE74D7">
      <w:pPr>
        <w:pStyle w:val="6"/>
        <w:spacing w:line="239" w:lineRule="auto"/>
        <w:ind w:left="22"/>
      </w:pPr>
      <w:r>
        <w:rPr>
          <w:rFonts w:ascii="Wingdings" w:hAnsi="Wingdings" w:eastAsia="Wingdings" w:cs="Wingdings"/>
          <w:spacing w:val="15"/>
        </w:rPr>
        <w:t>l</w:t>
      </w:r>
      <w:r>
        <w:rPr>
          <w:rFonts w:ascii="Wingdings" w:hAnsi="Wingdings" w:eastAsia="Wingdings" w:cs="Wingdings"/>
          <w:spacing w:val="-55"/>
        </w:rPr>
        <w:t xml:space="preserve"> </w:t>
      </w:r>
      <w:r>
        <w:rPr>
          <w:spacing w:val="15"/>
        </w:rPr>
        <w:t>作战成本低</w:t>
      </w:r>
    </w:p>
    <w:p w14:paraId="305C8ADB">
      <w:pPr>
        <w:pStyle w:val="6"/>
        <w:spacing w:before="190" w:line="361" w:lineRule="auto"/>
        <w:ind w:left="13" w:firstLine="576"/>
        <w:rPr>
          <w:spacing w:val="-1"/>
        </w:rPr>
      </w:pPr>
      <w:r>
        <w:rPr>
          <w:spacing w:val="-3"/>
        </w:rPr>
        <w:t>区别于传统动能拦截手段，激光依靠光束实施</w:t>
      </w:r>
      <w:r>
        <w:rPr>
          <w:spacing w:val="-4"/>
        </w:rPr>
        <w:t>毁伤，单次拦截几</w:t>
      </w:r>
      <w:r>
        <w:rPr>
          <w:spacing w:val="-1"/>
        </w:rPr>
        <w:t>乎无耗材消耗，具备极高效费比。</w:t>
      </w:r>
    </w:p>
    <w:p w14:paraId="30BE6EB5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60" w:lineRule="auto"/>
        <w:ind w:left="0" w:firstLine="0"/>
        <w:textAlignment w:val="baseline"/>
      </w:pPr>
      <w:r>
        <w:rPr>
          <w:rFonts w:ascii="Wingdings" w:hAnsi="Wingdings" w:eastAsia="Wingdings" w:cs="Wingdings"/>
          <w:spacing w:val="15"/>
        </w:rPr>
        <w:t>l</w:t>
      </w:r>
      <w:r>
        <w:rPr>
          <w:rFonts w:ascii="Wingdings" w:hAnsi="Wingdings" w:eastAsia="Wingdings" w:cs="Wingdings"/>
          <w:spacing w:val="-55"/>
        </w:rPr>
        <w:t xml:space="preserve"> </w:t>
      </w:r>
      <w:r>
        <w:rPr>
          <w:spacing w:val="15"/>
        </w:rPr>
        <w:t>持续能力强</w:t>
      </w:r>
    </w:p>
    <w:p w14:paraId="4C9D2246">
      <w:pPr>
        <w:pStyle w:val="6"/>
        <w:spacing w:before="190" w:line="361" w:lineRule="auto"/>
        <w:ind w:left="13" w:firstLine="576"/>
        <w:rPr>
          <w:spacing w:val="-3"/>
        </w:rPr>
      </w:pPr>
      <w:r>
        <w:rPr>
          <w:spacing w:val="-3"/>
        </w:rPr>
        <w:t>在具备稳定供电与冷却条件下，具有接近无限的“弹夹深度 ”，可长时间连续作战，适合持久性防御任务，也是应对无人机蜂群饱和攻击的有效手段。</w:t>
      </w:r>
    </w:p>
    <w:p w14:paraId="1747E373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60" w:lineRule="auto"/>
        <w:ind w:left="0" w:firstLine="0"/>
        <w:textAlignment w:val="baseline"/>
        <w:rPr>
          <w:rFonts w:ascii="Wingdings" w:hAnsi="Wingdings" w:eastAsia="Wingdings" w:cs="Wingdings"/>
          <w:spacing w:val="15"/>
        </w:rPr>
      </w:pPr>
      <w:r>
        <w:rPr>
          <w:rFonts w:ascii="Wingdings" w:hAnsi="Wingdings" w:eastAsia="Wingdings" w:cs="Wingdings"/>
          <w:spacing w:val="15"/>
        </w:rPr>
        <w:t>l 附带损害小</w:t>
      </w:r>
    </w:p>
    <w:p w14:paraId="55EC740B">
      <w:pPr>
        <w:pStyle w:val="6"/>
        <w:spacing w:before="190" w:line="361" w:lineRule="auto"/>
        <w:ind w:left="13" w:firstLine="576"/>
        <w:rPr>
          <w:spacing w:val="-3"/>
        </w:rPr>
      </w:pPr>
      <w:r>
        <w:rPr>
          <w:spacing w:val="-3"/>
        </w:rPr>
        <w:t>打击过程中无爆炸、无碎片，不会对周边人员和环境产生附加损害，适合城市或重要设施防护。</w:t>
      </w:r>
    </w:p>
    <w:p w14:paraId="0621852B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0" w:line="360" w:lineRule="auto"/>
        <w:ind w:left="0" w:firstLine="0"/>
        <w:textAlignment w:val="baseline"/>
        <w:rPr>
          <w:rFonts w:ascii="Wingdings" w:hAnsi="Wingdings" w:eastAsia="Wingdings" w:cs="Wingdings"/>
          <w:spacing w:val="15"/>
        </w:rPr>
      </w:pPr>
      <w:r>
        <w:rPr>
          <w:rFonts w:ascii="Wingdings" w:hAnsi="Wingdings" w:eastAsia="Wingdings" w:cs="Wingdings"/>
          <w:spacing w:val="15"/>
        </w:rPr>
        <w:t>l 隐蔽性好</w:t>
      </w:r>
    </w:p>
    <w:p w14:paraId="39E96AF1">
      <w:pPr>
        <w:pStyle w:val="6"/>
        <w:spacing w:before="190" w:line="361" w:lineRule="auto"/>
        <w:ind w:left="13" w:firstLine="576"/>
        <w:rPr>
          <w:spacing w:val="-3"/>
        </w:rPr>
      </w:pPr>
      <w:r>
        <w:rPr>
          <w:spacing w:val="-3"/>
        </w:rPr>
        <w:t>激光打击过程无形无声，定向性好，不易被发现和反制，适合在复杂电磁环境中使用，生存能力增强。</w:t>
      </w:r>
    </w:p>
    <w:p w14:paraId="6B323269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/>
        <w:textAlignment w:val="baseline"/>
        <w:rPr>
          <w:rFonts w:hint="eastAsia" w:ascii="Arial" w:hAnsi="Arial" w:eastAsia="Arial"/>
          <w:lang w:val="en-US" w:eastAsia="zh-CN"/>
        </w:rPr>
      </w:pPr>
      <w:r>
        <w:rPr>
          <w:rFonts w:hint="eastAsia" w:ascii="Arial" w:hAnsi="Arial" w:eastAsia="Arial"/>
          <w:lang w:val="en-US" w:eastAsia="zh-CN"/>
        </w:rPr>
        <w:t>产品指标</w:t>
      </w:r>
    </w:p>
    <w:p w14:paraId="6F197338">
      <w:pPr>
        <w:spacing w:before="174"/>
      </w:pPr>
    </w:p>
    <w:tbl>
      <w:tblPr>
        <w:tblStyle w:val="13"/>
        <w:tblW w:w="853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9"/>
        <w:gridCol w:w="6767"/>
      </w:tblGrid>
      <w:tr w14:paraId="163D77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536" w:type="dxa"/>
            <w:gridSpan w:val="2"/>
            <w:vAlign w:val="top"/>
          </w:tcPr>
          <w:p w14:paraId="0EFAAA02">
            <w:pPr>
              <w:pStyle w:val="14"/>
              <w:spacing w:before="41" w:line="222" w:lineRule="auto"/>
              <w:ind w:left="3804"/>
              <w:rPr>
                <w:sz w:val="28"/>
                <w:szCs w:val="28"/>
              </w:rPr>
            </w:pPr>
            <w:r>
              <w:rPr>
                <w:b/>
                <w:bCs/>
                <w:spacing w:val="-7"/>
                <w:sz w:val="28"/>
                <w:szCs w:val="28"/>
              </w:rPr>
              <w:t>参数指标</w:t>
            </w:r>
          </w:p>
        </w:tc>
      </w:tr>
      <w:tr w14:paraId="0DDCDA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1" w:hRule="atLeast"/>
        </w:trPr>
        <w:tc>
          <w:tcPr>
            <w:tcW w:w="1769" w:type="dxa"/>
            <w:vAlign w:val="center"/>
          </w:tcPr>
          <w:p w14:paraId="36D17CE5">
            <w:pPr>
              <w:bidi w:val="0"/>
              <w:jc w:val="center"/>
              <w:rPr>
                <w:rFonts w:hint="default" w:eastAsia="仿宋"/>
                <w:spacing w:val="-5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激光打击效能</w:t>
            </w:r>
          </w:p>
        </w:tc>
        <w:tc>
          <w:tcPr>
            <w:tcW w:w="6767" w:type="dxa"/>
            <w:vAlign w:val="center"/>
          </w:tcPr>
          <w:p w14:paraId="54779A91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/>
                <w:spacing w:val="-4"/>
              </w:rPr>
            </w:pPr>
            <w:r>
              <w:rPr>
                <w:rFonts w:hint="eastAsia"/>
                <w:spacing w:val="-4"/>
              </w:rPr>
              <w:t>激光功率：≥5千瓦</w:t>
            </w:r>
          </w:p>
          <w:p w14:paraId="68F3B5E0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/>
                <w:spacing w:val="-4"/>
              </w:rPr>
            </w:pPr>
            <w:r>
              <w:rPr>
                <w:rFonts w:hint="eastAsia"/>
                <w:spacing w:val="-4"/>
              </w:rPr>
              <w:t>工作距离：≥1200米（以大疆无人机为靶标，可捕获跟踪）</w:t>
            </w:r>
          </w:p>
          <w:p w14:paraId="760CA391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/>
                <w:spacing w:val="-4"/>
              </w:rPr>
            </w:pPr>
            <w:r>
              <w:rPr>
                <w:rFonts w:hint="eastAsia"/>
                <w:spacing w:val="-4"/>
              </w:rPr>
              <w:t>有效摧毁距离：900米（在此距离内可实现物理摧毁）</w:t>
            </w:r>
          </w:p>
          <w:p w14:paraId="661D548F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/>
                <w:spacing w:val="-4"/>
              </w:rPr>
            </w:pPr>
            <w:r>
              <w:rPr>
                <w:rFonts w:hint="eastAsia"/>
                <w:spacing w:val="-4"/>
              </w:rPr>
              <w:t>毁伤时间：≤15秒（从激光开启至目标坠落）</w:t>
            </w:r>
          </w:p>
          <w:p w14:paraId="14E80CC0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 w:hAnsi="宋体" w:cs="宋体"/>
                <w:szCs w:val="24"/>
              </w:rPr>
            </w:pPr>
            <w:r>
              <w:rPr>
                <w:rFonts w:hint="eastAsia"/>
                <w:spacing w:val="-4"/>
              </w:rPr>
              <w:t>波长：1080 nm</w:t>
            </w:r>
          </w:p>
          <w:p w14:paraId="6692E1B9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 w:hAnsi="宋体" w:cs="宋体"/>
                <w:szCs w:val="24"/>
              </w:rPr>
            </w:pPr>
            <w:r>
              <w:rPr>
                <w:rFonts w:hint="eastAsia"/>
                <w:spacing w:val="-4"/>
                <w:lang w:val="en-US" w:eastAsia="zh-CN"/>
              </w:rPr>
              <w:t>夜视距离：</w:t>
            </w:r>
            <w:r>
              <w:rPr>
                <w:rFonts w:hint="eastAsia" w:hAnsi="宋体" w:eastAsia="宋体" w:cs="宋体"/>
                <w:sz w:val="21"/>
                <w:szCs w:val="21"/>
              </w:rPr>
              <w:t>1500米</w:t>
            </w:r>
          </w:p>
          <w:p w14:paraId="0DC529DE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eastAsia" w:hAnsi="宋体" w:cs="宋体"/>
                <w:szCs w:val="24"/>
              </w:rPr>
            </w:pPr>
            <w:r>
              <w:rPr>
                <w:rFonts w:hint="eastAsia" w:hAnsi="宋体" w:cs="宋体"/>
                <w:szCs w:val="24"/>
                <w:lang w:val="en-US" w:eastAsia="zh-CN"/>
              </w:rPr>
              <w:t>连续光照时间：</w:t>
            </w:r>
            <w:r>
              <w:rPr>
                <w:rFonts w:hAnsi="宋体" w:eastAsia="宋体" w:cs="宋体"/>
                <w:sz w:val="21"/>
                <w:szCs w:val="21"/>
              </w:rPr>
              <w:t>≥120</w:t>
            </w:r>
            <w:r>
              <w:rPr>
                <w:rFonts w:hint="eastAsia" w:hAnsi="宋体" w:cs="宋体"/>
                <w:sz w:val="21"/>
                <w:szCs w:val="21"/>
                <w:lang w:val="en-US" w:eastAsia="zh-CN"/>
              </w:rPr>
              <w:t>秒</w:t>
            </w:r>
          </w:p>
        </w:tc>
      </w:tr>
      <w:tr w14:paraId="3D371B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1" w:hRule="atLeast"/>
        </w:trPr>
        <w:tc>
          <w:tcPr>
            <w:tcW w:w="1769" w:type="dxa"/>
            <w:vAlign w:val="center"/>
          </w:tcPr>
          <w:p w14:paraId="7D47662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伺服跟踪</w:t>
            </w:r>
          </w:p>
        </w:tc>
        <w:tc>
          <w:tcPr>
            <w:tcW w:w="6767" w:type="dxa"/>
            <w:vAlign w:val="center"/>
          </w:tcPr>
          <w:p w14:paraId="708BC9F9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跟踪精度</w:t>
            </w:r>
            <w:r>
              <w:rPr>
                <w:rFonts w:hint="eastAsia"/>
                <w:spacing w:val="-4"/>
              </w:rPr>
              <w:t>：≤15 μrad (RMS)</w:t>
            </w:r>
          </w:p>
          <w:p w14:paraId="1E8DDB91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eastAsia"/>
                <w:spacing w:val="-4"/>
              </w:rPr>
              <w:t>伺服转速：120°/秒（最大）</w:t>
            </w:r>
          </w:p>
          <w:p w14:paraId="4B82FE5B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eastAsia"/>
                <w:spacing w:val="-4"/>
              </w:rPr>
              <w:t>伺服加速度：60°/秒²（最大）</w:t>
            </w:r>
          </w:p>
          <w:p w14:paraId="6D16B203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eastAsia"/>
                <w:spacing w:val="-4"/>
              </w:rPr>
              <w:t>闭环延迟：≤10毫秒</w:t>
            </w:r>
          </w:p>
        </w:tc>
      </w:tr>
      <w:tr w14:paraId="4F28C9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1769" w:type="dxa"/>
            <w:vAlign w:val="center"/>
          </w:tcPr>
          <w:p w14:paraId="67274620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环境适应性</w:t>
            </w:r>
          </w:p>
        </w:tc>
        <w:tc>
          <w:tcPr>
            <w:tcW w:w="6767" w:type="dxa"/>
            <w:vAlign w:val="center"/>
          </w:tcPr>
          <w:p w14:paraId="4C5F31E4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工作温度</w:t>
            </w:r>
            <w:r>
              <w:rPr>
                <w:rFonts w:hint="eastAsia"/>
                <w:spacing w:val="-4"/>
              </w:rPr>
              <w:t>：-20℃ ～ +55℃</w:t>
            </w:r>
          </w:p>
          <w:p w14:paraId="46AC16F2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eastAsia"/>
                <w:spacing w:val="-4"/>
              </w:rPr>
              <w:t>存储温度：-40℃ ～ +70℃。</w:t>
            </w:r>
          </w:p>
          <w:p w14:paraId="55EDBDDC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eastAsia"/>
                <w:spacing w:val="-4"/>
              </w:rPr>
              <w:t>防护等级：IP65</w:t>
            </w:r>
          </w:p>
          <w:p w14:paraId="11EBA9A6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eastAsia"/>
                <w:spacing w:val="-4"/>
              </w:rPr>
              <w:t>抗风能力：6级（工作时），8级（存储时）。</w:t>
            </w:r>
          </w:p>
          <w:p w14:paraId="6215ADBE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平均故障间隔</w:t>
            </w:r>
            <w:r>
              <w:rPr>
                <w:rFonts w:hint="eastAsia"/>
                <w:spacing w:val="-4"/>
                <w:lang w:eastAsia="zh-CN"/>
              </w:rPr>
              <w:t>：</w:t>
            </w:r>
            <w:r>
              <w:rPr>
                <w:rFonts w:hint="default"/>
                <w:spacing w:val="-4"/>
              </w:rPr>
              <w:t>≥720 h</w:t>
            </w:r>
          </w:p>
          <w:p w14:paraId="68518897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default"/>
                <w:spacing w:val="-4"/>
              </w:rPr>
              <w:t>MTTR</w:t>
            </w:r>
            <w:r>
              <w:rPr>
                <w:rFonts w:hint="eastAsia"/>
                <w:spacing w:val="-4"/>
                <w:lang w:eastAsia="zh-CN"/>
              </w:rPr>
              <w:t>：</w:t>
            </w:r>
            <w:r>
              <w:rPr>
                <w:rFonts w:hint="default"/>
                <w:spacing w:val="-4"/>
              </w:rPr>
              <w:t>≤30分钟</w:t>
            </w:r>
          </w:p>
          <w:p w14:paraId="0CA66751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eastAsia"/>
                <w:spacing w:val="-4"/>
              </w:rPr>
              <w:t>电力消耗</w:t>
            </w:r>
            <w:r>
              <w:rPr>
                <w:rFonts w:hint="eastAsia"/>
                <w:spacing w:val="-4"/>
                <w:lang w:eastAsia="zh-CN"/>
              </w:rPr>
              <w:t>：</w:t>
            </w:r>
            <w:r>
              <w:rPr>
                <w:rFonts w:hint="default"/>
                <w:spacing w:val="-4"/>
              </w:rPr>
              <w:t>≤25千瓦</w:t>
            </w:r>
          </w:p>
          <w:p w14:paraId="6D677B4A">
            <w:pPr>
              <w:pStyle w:val="14"/>
              <w:numPr>
                <w:ilvl w:val="0"/>
                <w:numId w:val="2"/>
              </w:numPr>
              <w:spacing w:before="33" w:line="222" w:lineRule="auto"/>
              <w:ind w:left="220" w:leftChars="0" w:firstLine="0" w:firstLineChars="0"/>
              <w:jc w:val="both"/>
              <w:rPr>
                <w:rFonts w:hint="default"/>
                <w:spacing w:val="-4"/>
              </w:rPr>
            </w:pPr>
            <w:r>
              <w:rPr>
                <w:rFonts w:hint="eastAsia"/>
                <w:spacing w:val="-4"/>
              </w:rPr>
              <w:t>电力供应</w:t>
            </w:r>
            <w:r>
              <w:rPr>
                <w:rFonts w:hint="eastAsia"/>
                <w:spacing w:val="-4"/>
                <w:lang w:eastAsia="zh-CN"/>
              </w:rPr>
              <w:t>：</w:t>
            </w:r>
            <w:r>
              <w:rPr>
                <w:rFonts w:hint="default"/>
                <w:spacing w:val="-4"/>
              </w:rPr>
              <w:t>交流380 v / 50 hz</w:t>
            </w:r>
          </w:p>
        </w:tc>
      </w:tr>
    </w:tbl>
    <w:p w14:paraId="0FCA6546">
      <w:pPr>
        <w:pStyle w:val="14"/>
        <w:numPr>
          <w:ilvl w:val="0"/>
          <w:numId w:val="0"/>
        </w:numPr>
        <w:spacing w:before="33" w:line="222" w:lineRule="auto"/>
        <w:ind w:left="220" w:leftChars="0"/>
        <w:jc w:val="both"/>
        <w:rPr>
          <w:rFonts w:hint="eastAsia"/>
          <w:spacing w:val="-4"/>
          <w:sz w:val="28"/>
          <w:szCs w:val="28"/>
          <w:lang w:val="en-US" w:eastAsia="zh-CN"/>
        </w:rPr>
      </w:pPr>
      <w:bookmarkStart w:id="0" w:name="_GoBack"/>
      <w:bookmarkEnd w:id="0"/>
    </w:p>
    <w:sectPr>
      <w:headerReference r:id="rId7" w:type="default"/>
      <w:footerReference r:id="rId8" w:type="default"/>
      <w:pgSz w:w="11910" w:h="16840"/>
      <w:pgMar w:top="1606" w:right="1684" w:bottom="1172" w:left="1684" w:header="852" w:footer="958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05BC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AE3E9E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AE3E9E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C6D6F">
    <w:pPr>
      <w:pStyle w:val="6"/>
      <w:spacing w:line="209" w:lineRule="auto"/>
      <w:ind w:left="4210"/>
      <w:rPr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CE7597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CE7597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14583">
    <w:pPr>
      <w:spacing w:line="607" w:lineRule="exact"/>
      <w:ind w:firstLine="7290"/>
    </w:pPr>
    <w:r>
      <w:pict>
        <v:shape id="_x0000_s4097" o:spid="_x0000_s4097" style="position:absolute;left:0pt;margin-left:89.85pt;margin-top:79.6pt;height:0.75pt;width:415.8pt;mso-position-horizontal-relative:page;mso-position-vertical-relative:page;z-index:251659264;mso-width-relative:page;mso-height-relative:page;" fillcolor="#000000" filled="t" stroked="f" coordsize="8315,15" o:allowincell="f" path="m0,0l8315,0,8315,14,0,14,0,0xe">
          <v:path/>
          <v:fill on="t" focussize="0,0"/>
          <v:stroke on="f"/>
          <v:imagedata o:title=""/>
          <o:lock v:ext="edit"/>
        </v:shape>
      </w:pict>
    </w:r>
    <w:r>
      <w:rPr>
        <w:position w:val="-12"/>
      </w:rPr>
      <w:drawing>
        <wp:inline distT="0" distB="0" distL="0" distR="0">
          <wp:extent cx="642620" cy="385445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3127" cy="3855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EBD3F">
    <w:pPr>
      <w:spacing w:line="607" w:lineRule="exact"/>
      <w:ind w:firstLine="7392"/>
    </w:pPr>
    <w:r>
      <w:pict>
        <v:shape id="_x0000_s4098" o:spid="_x0000_s4098" style="position:absolute;left:0pt;margin-left:89.85pt;margin-top:79.6pt;height:0.75pt;width:415.8pt;mso-position-horizontal-relative:page;mso-position-vertical-relative:page;z-index:251660288;mso-width-relative:page;mso-height-relative:page;" fillcolor="#000000" filled="t" stroked="f" coordsize="8315,15" o:allowincell="f" path="m0,0l8315,0,8315,14,0,14,0,0xe">
          <v:path/>
          <v:fill on="t" focussize="0,0"/>
          <v:stroke on="f"/>
          <v:imagedata o:title=""/>
          <o:lock v:ext="edit"/>
        </v:shape>
      </w:pict>
    </w:r>
    <w:r>
      <w:rPr>
        <w:position w:val="-12"/>
      </w:rPr>
      <w:drawing>
        <wp:inline distT="0" distB="0" distL="0" distR="0">
          <wp:extent cx="642620" cy="385445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3127" cy="3855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4F191A"/>
    <w:multiLevelType w:val="multilevel"/>
    <w:tmpl w:val="274F191A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6C27BE62"/>
    <w:multiLevelType w:val="multilevel"/>
    <w:tmpl w:val="6C27BE62"/>
    <w:lvl w:ilvl="0" w:tentative="0">
      <w:start w:val="1"/>
      <w:numFmt w:val="bullet"/>
      <w:lvlText w:val="◦"/>
      <w:lvlJc w:val="left"/>
      <w:pPr>
        <w:ind w:left="420" w:leftChars="0" w:hanging="420" w:firstLineChars="0"/>
      </w:pPr>
      <w:rPr>
        <w:rFonts w:hint="default" w:ascii="Arial" w:hAnsi="Arial" w:cs="Aria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BA539A7"/>
    <w:rsid w:val="0D0B4D35"/>
    <w:rsid w:val="126A7156"/>
    <w:rsid w:val="16AE4DF2"/>
    <w:rsid w:val="19AF0571"/>
    <w:rsid w:val="1CE70364"/>
    <w:rsid w:val="24CE44CA"/>
    <w:rsid w:val="29BA669B"/>
    <w:rsid w:val="2AD47716"/>
    <w:rsid w:val="2B1A30FC"/>
    <w:rsid w:val="40D842EF"/>
    <w:rsid w:val="443B1A49"/>
    <w:rsid w:val="490C69B9"/>
    <w:rsid w:val="4FAA42E2"/>
    <w:rsid w:val="51296C43"/>
    <w:rsid w:val="54A05D16"/>
    <w:rsid w:val="561A3800"/>
    <w:rsid w:val="5C1E7E07"/>
    <w:rsid w:val="5FCF4A74"/>
    <w:rsid w:val="63381889"/>
    <w:rsid w:val="67696FA8"/>
    <w:rsid w:val="69AE2F1D"/>
    <w:rsid w:val="6ED24CBD"/>
    <w:rsid w:val="70337893"/>
    <w:rsid w:val="747A4951"/>
    <w:rsid w:val="75FF3BCF"/>
    <w:rsid w:val="7E9D72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/>
      <w:ind w:left="425" w:hanging="425"/>
      <w:outlineLvl w:val="0"/>
    </w:pPr>
    <w:rPr>
      <w:rFonts w:ascii="Arial" w:hAnsi="Arial" w:eastAsia="Arial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0"/>
    <w:rPr>
      <w:b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paragraph" w:styleId="15">
    <w:name w:val="List Paragraph"/>
    <w:basedOn w:val="1"/>
    <w:autoRedefine/>
    <w:qFormat/>
    <w:uiPriority w:val="99"/>
  </w:style>
  <w:style w:type="paragraph" w:customStyle="1" w:styleId="16">
    <w:name w:val="word题注"/>
    <w:basedOn w:val="17"/>
    <w:qFormat/>
    <w:uiPriority w:val="0"/>
    <w:rPr>
      <w:sz w:val="21"/>
    </w:rPr>
  </w:style>
  <w:style w:type="paragraph" w:customStyle="1" w:styleId="17">
    <w:name w:val="word图片"/>
    <w:basedOn w:val="1"/>
    <w:qFormat/>
    <w:uiPriority w:val="0"/>
    <w:pPr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2087</Words>
  <Characters>2368</Characters>
  <TotalTime>1</TotalTime>
  <ScaleCrop>false</ScaleCrop>
  <LinksUpToDate>false</LinksUpToDate>
  <CharactersWithSpaces>2444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2026-05-29T10:37:00Z</dcterms:created>
  <dc:creator>Stealth2019</dc:creator>
  <cp:lastModifiedBy>Morning</cp:lastModifiedBy>
  <dcterms:modified xsi:type="dcterms:W3CDTF">2026-07-14T06:16:01Z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2026-07-08T15:02:06Z</vt:filetime>
  </property>
  <property fmtid="{D5CDD505-2E9C-101B-9397-08002B2CF9AE}" pid="4" name="KSOTemplateDocerSaveRecord">
    <vt:lpwstr>eyJoZGlkIjoiYWEyMWJlZTMxYTIwMzZjZGQwOTFjYWMwMDg4NjEyYjUiLCJ1c2VySWQiOiIzNTA5MzAyNjYifQ==</vt:lpwstr>
  </property>
  <property fmtid="{D5CDD505-2E9C-101B-9397-08002B2CF9AE}" pid="5" name="KSOProductBuildVer">
    <vt:lpwstr>2052-12.1.0.26895</vt:lpwstr>
  </property>
  <property fmtid="{D5CDD505-2E9C-101B-9397-08002B2CF9AE}" pid="6" name="ICV">
    <vt:lpwstr>E93BB7FBBBE745BA856F71ACA2144DA5_13</vt:lpwstr>
  </property>
</Properties>
</file>