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BF86C">
      <w:pPr>
        <w:rPr>
          <w:rFonts w:ascii="Arial"/>
          <w:sz w:val="21"/>
        </w:rPr>
      </w:pPr>
    </w:p>
    <w:p w14:paraId="40CFD1EA">
      <w:pPr>
        <w:spacing w:line="241" w:lineRule="auto"/>
        <w:rPr>
          <w:rFonts w:ascii="Arial"/>
          <w:sz w:val="21"/>
        </w:rPr>
      </w:pPr>
    </w:p>
    <w:p w14:paraId="0A9474BE">
      <w:pPr>
        <w:pStyle w:val="2"/>
        <w:bidi w:val="0"/>
      </w:pPr>
      <w:r>
        <w:t>产品简介</w:t>
      </w:r>
    </w:p>
    <w:p w14:paraId="358B0C40">
      <w:pPr>
        <w:pStyle w:val="6"/>
        <w:spacing w:before="1" w:line="360" w:lineRule="auto"/>
        <w:ind w:left="20" w:right="55" w:firstLine="565"/>
        <w:jc w:val="both"/>
        <w:rPr>
          <w:rFonts w:hint="eastAsia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反无人机网捕器采用先进的电子非储压式驱动技术，是拦截非法入侵无人机的硬核手段，也能精准捕捉地面目标（如机器狗、无人车）。设备具有超高出网速度与有效拦截距离，能瞬间覆盖目标，让高速飞行的无人机无处遁形,黄金交战距离，覆盖了单兵便携式防空武器的最佳射击窗口，既能保证操作手的安全，又能确保在无人机造成破坏前将其击落或捕获。设备采用高强度防切割尼龙网，提供3.3米至5米可选的覆盖面积，确保一旦目标接触即牢固缠绕，迫使目标迫降。</w:t>
      </w:r>
    </w:p>
    <w:p w14:paraId="0AAA6011">
      <w:pPr>
        <w:pStyle w:val="6"/>
        <w:spacing w:before="1" w:line="360" w:lineRule="auto"/>
        <w:ind w:left="20" w:right="55" w:firstLine="565"/>
        <w:jc w:val="both"/>
        <w:rPr>
          <w:rFonts w:hint="eastAsia"/>
          <w:spacing w:val="-2"/>
          <w:lang w:val="en-US" w:eastAsia="zh-CN"/>
        </w:rPr>
      </w:pPr>
      <w:bookmarkStart w:id="0" w:name="_GoBack"/>
      <w:r>
        <w:rPr>
          <w:rFonts w:hint="eastAsia"/>
          <w:spacing w:val="-2"/>
          <w:lang w:val="en-US" w:eastAsia="zh-CN"/>
        </w:rPr>
        <w:t>设备</w:t>
      </w:r>
      <w:bookmarkEnd w:id="0"/>
      <w:r>
        <w:rPr>
          <w:rFonts w:hint="eastAsia"/>
          <w:spacing w:val="-2"/>
          <w:lang w:val="en-US" w:eastAsia="zh-CN"/>
        </w:rPr>
        <w:t>支持单兵手持、车载船载机动巡逻及固定点位部署，可独立使用或接入系统，灵活构建低空防御网。整机轻便易携简单既用，兼具战术灵活性与高性价比，是应对“低慢小”目标入侵的理想单兵装备。</w:t>
      </w:r>
    </w:p>
    <w:p w14:paraId="0059FA70">
      <w:pPr>
        <w:pStyle w:val="6"/>
        <w:spacing w:before="1" w:line="360" w:lineRule="auto"/>
        <w:ind w:left="20" w:right="55" w:firstLine="565"/>
        <w:jc w:val="both"/>
        <w:rPr>
          <w:rFonts w:hint="default"/>
          <w:spacing w:val="-2"/>
          <w:lang w:val="en-US" w:eastAsia="zh-CN"/>
        </w:rPr>
      </w:pPr>
    </w:p>
    <w:p w14:paraId="103F4254">
      <w:pPr>
        <w:pStyle w:val="6"/>
        <w:spacing w:before="1" w:line="360" w:lineRule="auto"/>
        <w:ind w:left="20" w:right="55" w:firstLine="565"/>
        <w:jc w:val="both"/>
        <w:rPr>
          <w:rFonts w:hint="eastAsia"/>
          <w:spacing w:val="-2"/>
          <w:lang w:val="en-US" w:eastAsia="zh-CN"/>
        </w:rPr>
      </w:pPr>
    </w:p>
    <w:p w14:paraId="041DA02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auto"/>
        <w:ind w:left="0" w:right="57" w:firstLine="0"/>
        <w:jc w:val="center"/>
        <w:textAlignment w:val="baseline"/>
      </w:pPr>
      <w:r>
        <w:drawing>
          <wp:inline distT="0" distB="0" distL="114300" distR="114300">
            <wp:extent cx="2061210" cy="180975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t="3324" b="1680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342B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33" w:lineRule="auto"/>
        <w:ind w:left="0"/>
        <w:jc w:val="center"/>
        <w:textAlignment w:val="baseline"/>
        <w:rPr>
          <w:rFonts w:hint="default" w:ascii="仿宋" w:hAnsi="仿宋" w:eastAsia="宋体" w:cs="仿宋"/>
          <w:sz w:val="20"/>
          <w:szCs w:val="20"/>
          <w:lang w:val="en-US" w:eastAsia="zh-CN"/>
        </w:rPr>
      </w:pPr>
      <w:r>
        <w:rPr>
          <w:rFonts w:ascii="仿宋" w:hAnsi="仿宋" w:eastAsia="仿宋" w:cs="仿宋"/>
          <w:spacing w:val="-1"/>
          <w:sz w:val="20"/>
          <w:szCs w:val="20"/>
        </w:rPr>
        <w:t>图</w:t>
      </w:r>
      <w:r>
        <w:rPr>
          <w:rFonts w:ascii="仿宋" w:hAnsi="仿宋" w:eastAsia="仿宋" w:cs="仿宋"/>
          <w:spacing w:val="-21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val="en-US" w:eastAsia="zh-CN"/>
        </w:rPr>
        <w:t>1</w:t>
      </w:r>
      <w:r>
        <w:rPr>
          <w:rFonts w:ascii="仿宋" w:hAnsi="仿宋" w:eastAsia="仿宋" w:cs="仿宋"/>
          <w:spacing w:val="-1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spacing w:val="-1"/>
          <w:sz w:val="20"/>
          <w:szCs w:val="20"/>
          <w:lang w:val="en-US" w:eastAsia="zh-CN"/>
        </w:rPr>
        <w:t>网捕器</w:t>
      </w:r>
      <w:r>
        <w:rPr>
          <w:rFonts w:hint="eastAsia" w:ascii="Times New Roman" w:hAnsi="Times New Roman" w:eastAsia="宋体" w:cs="Times New Roman"/>
          <w:spacing w:val="21"/>
          <w:sz w:val="20"/>
          <w:szCs w:val="20"/>
          <w:lang w:val="en-US" w:eastAsia="zh-CN"/>
        </w:rPr>
        <w:t xml:space="preserve"> </w:t>
      </w:r>
    </w:p>
    <w:p w14:paraId="118C94D2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auto"/>
        <w:ind w:left="0" w:right="57" w:firstLine="0"/>
        <w:jc w:val="center"/>
        <w:textAlignment w:val="baseline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519805" cy="2082165"/>
            <wp:effectExtent l="0" t="0" r="4445" b="13335"/>
            <wp:docPr id="15" name="图片 15" descr="fc8880d7b4dc4b97b3e708e21b07c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fc8880d7b4dc4b97b3e708e21b07c990"/>
                    <pic:cNvPicPr>
                      <a:picLocks noChangeAspect="1"/>
                    </pic:cNvPicPr>
                  </pic:nvPicPr>
                  <pic:blipFill>
                    <a:blip r:embed="rId9"/>
                    <a:srcRect l="3821" t="23066" r="5602" b="13342"/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2AE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33" w:lineRule="auto"/>
        <w:ind w:left="0"/>
        <w:jc w:val="center"/>
        <w:textAlignment w:val="baseline"/>
        <w:rPr>
          <w:rFonts w:hint="default" w:ascii="仿宋" w:hAnsi="仿宋" w:eastAsia="仿宋" w:cs="仿宋"/>
          <w:spacing w:val="-1"/>
          <w:sz w:val="20"/>
          <w:szCs w:val="20"/>
          <w:lang w:val="en-US" w:eastAsia="zh-CN"/>
        </w:rPr>
      </w:pPr>
      <w:r>
        <w:rPr>
          <w:rFonts w:ascii="仿宋" w:hAnsi="仿宋" w:eastAsia="仿宋" w:cs="仿宋"/>
          <w:spacing w:val="-1"/>
          <w:sz w:val="20"/>
          <w:szCs w:val="20"/>
        </w:rPr>
        <w:t xml:space="preserve">图 </w:t>
      </w:r>
      <w:r>
        <w:rPr>
          <w:rFonts w:hint="eastAsia" w:ascii="仿宋" w:hAnsi="仿宋" w:eastAsia="仿宋" w:cs="仿宋"/>
          <w:spacing w:val="-1"/>
          <w:sz w:val="20"/>
          <w:szCs w:val="20"/>
          <w:lang w:val="en-US" w:eastAsia="zh-CN"/>
        </w:rPr>
        <w:t>2</w:t>
      </w:r>
      <w:r>
        <w:rPr>
          <w:rFonts w:ascii="仿宋" w:hAnsi="仿宋" w:eastAsia="仿宋" w:cs="仿宋"/>
          <w:spacing w:val="-1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spacing w:val="-1"/>
          <w:sz w:val="20"/>
          <w:szCs w:val="20"/>
          <w:lang w:val="en-US" w:eastAsia="zh-CN"/>
        </w:rPr>
        <w:t>手持式发射器（已安装网捕器）</w:t>
      </w:r>
    </w:p>
    <w:p w14:paraId="71887AED">
      <w:pPr>
        <w:spacing w:line="232" w:lineRule="auto"/>
        <w:rPr>
          <w:rFonts w:ascii="Arial"/>
          <w:sz w:val="21"/>
        </w:rPr>
      </w:pPr>
    </w:p>
    <w:p w14:paraId="58694887">
      <w:pPr>
        <w:pStyle w:val="2"/>
        <w:bidi w:val="0"/>
        <w:rPr>
          <w:rFonts w:ascii="Arial" w:hAnsi="Arial" w:eastAsia="Arial"/>
        </w:rPr>
      </w:pPr>
      <w:r>
        <w:rPr>
          <w:rFonts w:ascii="Arial" w:hAnsi="Arial" w:eastAsia="Arial"/>
        </w:rPr>
        <w:t>产品特点</w:t>
      </w:r>
    </w:p>
    <w:p w14:paraId="16705243">
      <w:pPr>
        <w:pStyle w:val="6"/>
        <w:numPr>
          <w:ilvl w:val="0"/>
          <w:numId w:val="2"/>
        </w:numPr>
        <w:ind w:left="420" w:leftChars="0" w:hanging="420" w:firstLineChars="0"/>
        <w:rPr>
          <w:rFonts w:ascii="Wingdings" w:hAnsi="Wingdings" w:eastAsia="Wingdings" w:cs="Wingdings"/>
          <w:spacing w:val="-7"/>
        </w:rPr>
      </w:pPr>
      <w:r>
        <w:rPr>
          <w:rFonts w:hint="eastAsia" w:ascii="Wingdings" w:hAnsi="Wingdings" w:eastAsia="Wingdings" w:cs="Wingdings"/>
          <w:spacing w:val="-7"/>
        </w:rPr>
        <w:t>极速拦截，高效捕获</w:t>
      </w:r>
    </w:p>
    <w:p w14:paraId="3A2BD84D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超高出网速度：具备 50m/s 的初速，能瞬间展开捕捉网，大幅压缩高速无人机的反应与逃逸时间。</w:t>
      </w:r>
    </w:p>
    <w:p w14:paraId="31411158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黄金交战距离：有效拦截距离为 10-20米，既能保证操作手的安全，又能确保在目标造成破坏前完成捕获。</w:t>
      </w:r>
    </w:p>
    <w:p w14:paraId="67FDCA4C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双重用途：不仅能拦截低空飞行的无人机，也能精准捕捉地面目标（如机器狗、无人车）。</w:t>
      </w:r>
    </w:p>
    <w:p w14:paraId="204AF674">
      <w:pPr>
        <w:pStyle w:val="6"/>
        <w:numPr>
          <w:ilvl w:val="0"/>
          <w:numId w:val="2"/>
        </w:numPr>
        <w:ind w:left="420" w:leftChars="0" w:hanging="420" w:firstLineChars="0"/>
        <w:rPr>
          <w:rFonts w:hint="eastAsia" w:ascii="Wingdings" w:hAnsi="Wingdings" w:eastAsia="Wingdings" w:cs="Wingdings"/>
          <w:spacing w:val="-7"/>
        </w:rPr>
      </w:pPr>
      <w:r>
        <w:rPr>
          <w:rFonts w:hint="eastAsia" w:ascii="Wingdings" w:hAnsi="Wingdings" w:eastAsia="Wingdings" w:cs="Wingdings"/>
          <w:spacing w:val="-7"/>
        </w:rPr>
        <w:t>高强度网体，专克旋翼</w:t>
      </w:r>
    </w:p>
    <w:p w14:paraId="5915F43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防切割材质：采用特制高强度尼龙网绳，能有效防止被无人机高速旋转的螺旋桨切断，确保持久缠绕。</w:t>
      </w:r>
    </w:p>
    <w:p w14:paraId="4FDFF571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防缠绕设计：优化的网体结构一旦接触目标，能迅速包裹机身与旋翼，使其失去升力并迫降。</w:t>
      </w:r>
    </w:p>
    <w:p w14:paraId="792AC061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灵活覆盖面积：提供 3.3×3.3m 至 5×5m 两种规格可选，可应对从小型消费级到大型行业级不同尺寸的无人机。</w:t>
      </w:r>
    </w:p>
    <w:p w14:paraId="0EBCDF9C">
      <w:pPr>
        <w:pStyle w:val="6"/>
        <w:numPr>
          <w:ilvl w:val="0"/>
          <w:numId w:val="2"/>
        </w:numPr>
        <w:ind w:left="420" w:leftChars="0" w:hanging="420" w:firstLineChars="0"/>
        <w:rPr>
          <w:rFonts w:hint="eastAsia" w:ascii="Wingdings" w:hAnsi="Wingdings" w:eastAsia="Wingdings" w:cs="Wingdings"/>
          <w:spacing w:val="-7"/>
        </w:rPr>
      </w:pPr>
      <w:r>
        <w:rPr>
          <w:rFonts w:hint="eastAsia" w:ascii="Wingdings" w:hAnsi="Wingdings" w:eastAsia="Wingdings" w:cs="Wingdings"/>
          <w:spacing w:val="-7"/>
        </w:rPr>
        <w:t>智能兼容，体系作战</w:t>
      </w:r>
    </w:p>
    <w:p w14:paraId="2A7E4E55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AI云台集成：可直接集成到带有视觉追踪功能的AI云台上，实现对目标的自动锁定与发射，提高命中率。</w:t>
      </w:r>
    </w:p>
    <w:p w14:paraId="4ED80B69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多级并联组网：支持多设备联动，可形成密集拦截火网，有效应对无人机蜂群攻击或提升单次拦截成功率。</w:t>
      </w:r>
    </w:p>
    <w:p w14:paraId="3989E11C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PWM信号控制：可完美对接各类雷达、光电探测系统及反无人机指挥平台，实现“侦测-跟踪-打击”一体化。</w:t>
      </w:r>
    </w:p>
    <w:p w14:paraId="3E3C2050">
      <w:pPr>
        <w:pStyle w:val="6"/>
        <w:numPr>
          <w:ilvl w:val="0"/>
          <w:numId w:val="2"/>
        </w:numPr>
        <w:ind w:left="420" w:leftChars="0" w:hanging="420" w:firstLineChars="0"/>
        <w:rPr>
          <w:rFonts w:hint="eastAsia" w:ascii="Wingdings" w:hAnsi="Wingdings" w:eastAsia="Wingdings" w:cs="Wingdings"/>
          <w:spacing w:val="-7"/>
        </w:rPr>
      </w:pPr>
      <w:r>
        <w:rPr>
          <w:rFonts w:hint="eastAsia" w:ascii="Wingdings" w:hAnsi="Wingdings" w:eastAsia="Wingdings" w:cs="Wingdings"/>
          <w:spacing w:val="-7"/>
        </w:rPr>
        <w:t>先进驱动，轻便可靠</w:t>
      </w:r>
    </w:p>
    <w:p w14:paraId="57C247EA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电子非储压式驱动：采用先进的电子非储压式驱动技术，性能稳定可靠。</w:t>
      </w:r>
    </w:p>
    <w:p w14:paraId="31BF7927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轻便易携：整机重量仅370g，尺寸小巧（129×75×75mm），便于单兵携带和部署。</w:t>
      </w:r>
    </w:p>
    <w:p w14:paraId="4CDBCF59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56" w:lineRule="auto"/>
        <w:ind w:left="0" w:leftChars="0" w:firstLine="420" w:firstLineChars="0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  <w:lang w:val="en-US" w:eastAsia="zh-CN"/>
        </w:rPr>
        <w:t>简单即用：无需任何安装调试，无需单独叠网，一次性使用，方便快捷，</w:t>
      </w:r>
      <w:r>
        <w:rPr>
          <w:rFonts w:hint="eastAsia"/>
          <w:spacing w:val="-4"/>
        </w:rPr>
        <w:t>兼具战术灵活性与高性价比。</w:t>
      </w:r>
    </w:p>
    <w:p w14:paraId="4A9A5474"/>
    <w:p w14:paraId="6B323269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/>
        <w:textAlignment w:val="baseline"/>
        <w:rPr>
          <w:rFonts w:hint="eastAsia" w:ascii="Arial" w:hAnsi="Arial" w:eastAsia="Arial"/>
          <w:lang w:val="en-US" w:eastAsia="zh-CN"/>
        </w:rPr>
      </w:pPr>
      <w:r>
        <w:rPr>
          <w:rFonts w:hint="eastAsia" w:ascii="Arial" w:hAnsi="Arial" w:eastAsia="Arial"/>
          <w:lang w:val="en-US" w:eastAsia="zh-CN"/>
        </w:rPr>
        <w:t>产品指标</w:t>
      </w:r>
    </w:p>
    <w:p w14:paraId="6F197338">
      <w:pPr>
        <w:spacing w:before="174"/>
      </w:pPr>
    </w:p>
    <w:tbl>
      <w:tblPr>
        <w:tblStyle w:val="13"/>
        <w:tblW w:w="853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9"/>
        <w:gridCol w:w="6767"/>
      </w:tblGrid>
      <w:tr w14:paraId="163D7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536" w:type="dxa"/>
            <w:gridSpan w:val="2"/>
            <w:vAlign w:val="top"/>
          </w:tcPr>
          <w:p w14:paraId="0EFAAA02">
            <w:pPr>
              <w:pStyle w:val="14"/>
              <w:spacing w:before="41" w:line="222" w:lineRule="auto"/>
              <w:ind w:left="3804"/>
              <w:rPr>
                <w:sz w:val="28"/>
                <w:szCs w:val="28"/>
              </w:rPr>
            </w:pPr>
            <w:r>
              <w:rPr>
                <w:b/>
                <w:bCs/>
                <w:spacing w:val="-7"/>
                <w:sz w:val="28"/>
                <w:szCs w:val="28"/>
              </w:rPr>
              <w:t>参数指标</w:t>
            </w:r>
          </w:p>
        </w:tc>
      </w:tr>
      <w:tr w14:paraId="0DDCDA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69" w:type="dxa"/>
            <w:vAlign w:val="center"/>
          </w:tcPr>
          <w:p w14:paraId="36D17CE5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24" w:lineRule="auto"/>
              <w:ind w:left="0" w:leftChars="0"/>
              <w:jc w:val="center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尺寸</w:t>
            </w:r>
          </w:p>
        </w:tc>
        <w:tc>
          <w:tcPr>
            <w:tcW w:w="6767" w:type="dxa"/>
            <w:vAlign w:val="center"/>
          </w:tcPr>
          <w:p w14:paraId="0DC529DE">
            <w:pPr>
              <w:pStyle w:val="14"/>
              <w:numPr>
                <w:ilvl w:val="0"/>
                <w:numId w:val="0"/>
              </w:numPr>
              <w:spacing w:before="33" w:line="222" w:lineRule="auto"/>
              <w:ind w:left="220" w:leftChars="0"/>
              <w:jc w:val="center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129×75×75mm</w:t>
            </w:r>
          </w:p>
        </w:tc>
      </w:tr>
      <w:tr w14:paraId="3D371B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69" w:type="dxa"/>
            <w:vAlign w:val="center"/>
          </w:tcPr>
          <w:p w14:paraId="7D476628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24" w:lineRule="auto"/>
              <w:ind w:left="0" w:leftChars="0"/>
              <w:jc w:val="center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重量</w:t>
            </w:r>
          </w:p>
        </w:tc>
        <w:tc>
          <w:tcPr>
            <w:tcW w:w="6767" w:type="dxa"/>
            <w:vAlign w:val="center"/>
          </w:tcPr>
          <w:p w14:paraId="6D16B203">
            <w:pPr>
              <w:pStyle w:val="14"/>
              <w:numPr>
                <w:ilvl w:val="0"/>
                <w:numId w:val="0"/>
              </w:numPr>
              <w:spacing w:before="33" w:line="222" w:lineRule="auto"/>
              <w:ind w:left="220" w:leftChars="0"/>
              <w:jc w:val="center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370g</w:t>
            </w:r>
          </w:p>
        </w:tc>
      </w:tr>
      <w:tr w14:paraId="4F28C9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69" w:type="dxa"/>
            <w:vAlign w:val="center"/>
          </w:tcPr>
          <w:p w14:paraId="67274620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24" w:lineRule="auto"/>
              <w:ind w:left="0" w:leftChars="0"/>
              <w:jc w:val="center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出网速度</w:t>
            </w:r>
          </w:p>
        </w:tc>
        <w:tc>
          <w:tcPr>
            <w:tcW w:w="6767" w:type="dxa"/>
            <w:vAlign w:val="center"/>
          </w:tcPr>
          <w:p w14:paraId="6D677B4A">
            <w:pPr>
              <w:pStyle w:val="14"/>
              <w:numPr>
                <w:ilvl w:val="0"/>
                <w:numId w:val="0"/>
              </w:numPr>
              <w:spacing w:before="33" w:line="222" w:lineRule="auto"/>
              <w:ind w:left="220" w:leftChars="0"/>
              <w:jc w:val="center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50m/s</w:t>
            </w:r>
          </w:p>
        </w:tc>
      </w:tr>
      <w:tr w14:paraId="09767B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69" w:type="dxa"/>
            <w:vAlign w:val="center"/>
          </w:tcPr>
          <w:p w14:paraId="18CEC6C6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24" w:lineRule="auto"/>
              <w:ind w:left="0" w:leftChars="0"/>
              <w:jc w:val="center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有效抓捕距离</w:t>
            </w:r>
          </w:p>
        </w:tc>
        <w:tc>
          <w:tcPr>
            <w:tcW w:w="6767" w:type="dxa"/>
            <w:vAlign w:val="center"/>
          </w:tcPr>
          <w:p w14:paraId="345A3598">
            <w:pPr>
              <w:pStyle w:val="14"/>
              <w:numPr>
                <w:ilvl w:val="0"/>
                <w:numId w:val="0"/>
              </w:numPr>
              <w:spacing w:before="33" w:line="222" w:lineRule="auto"/>
              <w:ind w:left="220" w:leftChars="0"/>
              <w:jc w:val="center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10-20m</w:t>
            </w:r>
          </w:p>
        </w:tc>
      </w:tr>
      <w:tr w14:paraId="157C9F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69" w:type="dxa"/>
            <w:vAlign w:val="center"/>
          </w:tcPr>
          <w:p w14:paraId="077608EF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24" w:lineRule="auto"/>
              <w:ind w:left="0" w:leftChars="0"/>
              <w:jc w:val="center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网孔大小</w:t>
            </w:r>
          </w:p>
        </w:tc>
        <w:tc>
          <w:tcPr>
            <w:tcW w:w="6767" w:type="dxa"/>
            <w:vAlign w:val="center"/>
          </w:tcPr>
          <w:p w14:paraId="3A395E7B">
            <w:pPr>
              <w:pStyle w:val="14"/>
              <w:numPr>
                <w:ilvl w:val="0"/>
                <w:numId w:val="0"/>
              </w:numPr>
              <w:spacing w:before="33" w:line="222" w:lineRule="auto"/>
              <w:ind w:left="220" w:leftChars="0"/>
              <w:jc w:val="center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20cm</w:t>
            </w:r>
          </w:p>
        </w:tc>
      </w:tr>
      <w:tr w14:paraId="16C553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69" w:type="dxa"/>
            <w:vAlign w:val="center"/>
          </w:tcPr>
          <w:p w14:paraId="37D7F55F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24" w:lineRule="auto"/>
              <w:ind w:left="0" w:leftChars="0"/>
              <w:jc w:val="center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整网面积</w:t>
            </w:r>
          </w:p>
        </w:tc>
        <w:tc>
          <w:tcPr>
            <w:tcW w:w="6767" w:type="dxa"/>
            <w:vAlign w:val="center"/>
          </w:tcPr>
          <w:p w14:paraId="3FA7FDAE">
            <w:pPr>
              <w:pStyle w:val="14"/>
              <w:numPr>
                <w:ilvl w:val="0"/>
                <w:numId w:val="0"/>
              </w:numPr>
              <w:spacing w:before="33" w:line="222" w:lineRule="auto"/>
              <w:ind w:left="220" w:leftChars="0"/>
              <w:jc w:val="center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3.3m×3.3m / 5m×5m(尺寸可选）</w:t>
            </w:r>
          </w:p>
        </w:tc>
      </w:tr>
      <w:tr w14:paraId="09FDC6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69" w:type="dxa"/>
            <w:vAlign w:val="center"/>
          </w:tcPr>
          <w:p w14:paraId="68780AE3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24" w:lineRule="auto"/>
              <w:ind w:left="0" w:leftChars="0"/>
              <w:jc w:val="center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网绳材质</w:t>
            </w:r>
          </w:p>
        </w:tc>
        <w:tc>
          <w:tcPr>
            <w:tcW w:w="6767" w:type="dxa"/>
            <w:vAlign w:val="center"/>
          </w:tcPr>
          <w:p w14:paraId="71F89347">
            <w:pPr>
              <w:pStyle w:val="14"/>
              <w:numPr>
                <w:ilvl w:val="0"/>
                <w:numId w:val="0"/>
              </w:numPr>
              <w:spacing w:before="33" w:line="222" w:lineRule="auto"/>
              <w:ind w:left="220" w:leftChars="0"/>
              <w:jc w:val="center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高强度尼龙（开模尼龙绳、防切割、防缠绕）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666666"/>
                <w:spacing w:val="0"/>
                <w:sz w:val="24"/>
                <w:szCs w:val="24"/>
                <w:shd w:val="clear" w:fill="FFFFFF"/>
              </w:rPr>
              <w:t>RA6+尼龙注塑</w:t>
            </w:r>
          </w:p>
        </w:tc>
      </w:tr>
      <w:tr w14:paraId="021AD4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69" w:type="dxa"/>
            <w:vAlign w:val="center"/>
          </w:tcPr>
          <w:p w14:paraId="78E2D646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24" w:lineRule="auto"/>
              <w:ind w:left="0" w:leftChars="0"/>
              <w:jc w:val="center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驱动方式</w:t>
            </w:r>
          </w:p>
        </w:tc>
        <w:tc>
          <w:tcPr>
            <w:tcW w:w="6767" w:type="dxa"/>
            <w:vAlign w:val="center"/>
          </w:tcPr>
          <w:p w14:paraId="1D3E475E">
            <w:pPr>
              <w:pStyle w:val="14"/>
              <w:numPr>
                <w:ilvl w:val="0"/>
                <w:numId w:val="0"/>
              </w:numPr>
              <w:spacing w:before="33" w:line="222" w:lineRule="auto"/>
              <w:ind w:left="220" w:leftChars="0"/>
              <w:jc w:val="center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电子非储压式</w:t>
            </w:r>
          </w:p>
        </w:tc>
      </w:tr>
      <w:tr w14:paraId="3B78D3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69" w:type="dxa"/>
            <w:vAlign w:val="center"/>
          </w:tcPr>
          <w:p w14:paraId="72D3E1A0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24" w:lineRule="auto"/>
              <w:ind w:left="0" w:leftChars="0"/>
              <w:jc w:val="center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控制方式</w:t>
            </w:r>
          </w:p>
        </w:tc>
        <w:tc>
          <w:tcPr>
            <w:tcW w:w="6767" w:type="dxa"/>
            <w:vAlign w:val="center"/>
          </w:tcPr>
          <w:p w14:paraId="3B7AB737">
            <w:pPr>
              <w:pStyle w:val="14"/>
              <w:numPr>
                <w:ilvl w:val="0"/>
                <w:numId w:val="0"/>
              </w:numPr>
              <w:spacing w:before="33" w:line="222" w:lineRule="auto"/>
              <w:ind w:left="220" w:leftChars="0"/>
              <w:jc w:val="center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PWM 位-高位预留安全时间</w:t>
            </w:r>
          </w:p>
        </w:tc>
      </w:tr>
      <w:tr w14:paraId="637C1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69" w:type="dxa"/>
            <w:vAlign w:val="center"/>
          </w:tcPr>
          <w:p w14:paraId="1135BB1C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24" w:lineRule="auto"/>
              <w:ind w:left="0" w:leftChars="0"/>
              <w:jc w:val="center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运输安全</w:t>
            </w:r>
          </w:p>
        </w:tc>
        <w:tc>
          <w:tcPr>
            <w:tcW w:w="6767" w:type="dxa"/>
            <w:vAlign w:val="center"/>
          </w:tcPr>
          <w:p w14:paraId="258CD2C3">
            <w:pPr>
              <w:pStyle w:val="14"/>
              <w:numPr>
                <w:ilvl w:val="0"/>
                <w:numId w:val="0"/>
              </w:numPr>
              <w:spacing w:before="33" w:line="222" w:lineRule="auto"/>
              <w:ind w:left="220" w:leftChars="0"/>
              <w:jc w:val="center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车规级安全认证，支持航空运输</w:t>
            </w:r>
          </w:p>
        </w:tc>
      </w:tr>
    </w:tbl>
    <w:p w14:paraId="27A12222">
      <w:pPr>
        <w:pStyle w:val="14"/>
        <w:numPr>
          <w:ilvl w:val="0"/>
          <w:numId w:val="0"/>
        </w:numPr>
        <w:spacing w:before="33" w:line="222" w:lineRule="auto"/>
        <w:ind w:left="220" w:leftChars="0"/>
        <w:jc w:val="both"/>
        <w:rPr>
          <w:rFonts w:hint="eastAsia"/>
          <w:spacing w:val="-4"/>
          <w:sz w:val="28"/>
          <w:szCs w:val="28"/>
          <w:lang w:val="en-US" w:eastAsia="zh-CN"/>
        </w:rPr>
      </w:pPr>
    </w:p>
    <w:sectPr>
      <w:headerReference r:id="rId5" w:type="default"/>
      <w:footerReference r:id="rId6" w:type="default"/>
      <w:pgSz w:w="11910" w:h="16840"/>
      <w:pgMar w:top="1606" w:right="1684" w:bottom="1172" w:left="1684" w:header="852" w:footer="958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C6D6F">
    <w:pPr>
      <w:pStyle w:val="6"/>
      <w:spacing w:line="209" w:lineRule="auto"/>
      <w:ind w:left="4210"/>
      <w:rPr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CE7597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CE7597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EBD3F">
    <w:pPr>
      <w:spacing w:line="607" w:lineRule="exact"/>
      <w:ind w:firstLine="7392"/>
    </w:pPr>
    <w:r>
      <w:pict>
        <v:shape id="_x0000_s4098" o:spid="_x0000_s4098" style="position:absolute;left:0pt;margin-left:89.85pt;margin-top:79.6pt;height:0.75pt;width:415.8pt;mso-position-horizontal-relative:page;mso-position-vertical-relative:page;z-index:251659264;mso-width-relative:page;mso-height-relative:page;" fillcolor="#000000" filled="t" stroked="f" coordsize="8315,15" o:allowincell="f" path="m0,0l8315,0,8315,14,0,14,0,0xe">
          <v:path/>
          <v:fill on="t" focussize="0,0"/>
          <v:stroke on="f"/>
          <v:imagedata o:title=""/>
          <o:lock v:ext="edit"/>
        </v:shape>
      </w:pict>
    </w:r>
    <w:r>
      <w:rPr>
        <w:position w:val="-12"/>
      </w:rPr>
      <w:drawing>
        <wp:inline distT="0" distB="0" distL="0" distR="0">
          <wp:extent cx="642620" cy="385445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3127" cy="3855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48A6F"/>
    <w:multiLevelType w:val="singleLevel"/>
    <w:tmpl w:val="81F48A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74F191A"/>
    <w:multiLevelType w:val="multilevel"/>
    <w:tmpl w:val="274F191A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7AF2E8B5"/>
    <w:multiLevelType w:val="singleLevel"/>
    <w:tmpl w:val="7AF2E8B5"/>
    <w:lvl w:ilvl="0" w:tentative="0">
      <w:start w:val="1"/>
      <w:numFmt w:val="bullet"/>
      <w:suff w:val="space"/>
      <w:lvlText w:val="◦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2F60822"/>
    <w:rsid w:val="0BA539A7"/>
    <w:rsid w:val="0D0B4D35"/>
    <w:rsid w:val="126A7156"/>
    <w:rsid w:val="130C2651"/>
    <w:rsid w:val="16AE4DF2"/>
    <w:rsid w:val="176D1131"/>
    <w:rsid w:val="19AF0571"/>
    <w:rsid w:val="1CE70364"/>
    <w:rsid w:val="24CE44CA"/>
    <w:rsid w:val="28154A32"/>
    <w:rsid w:val="29BA669B"/>
    <w:rsid w:val="2AD47716"/>
    <w:rsid w:val="2B1A30FC"/>
    <w:rsid w:val="40D842EF"/>
    <w:rsid w:val="443B1A49"/>
    <w:rsid w:val="490C69B9"/>
    <w:rsid w:val="4FAA42E2"/>
    <w:rsid w:val="51296C43"/>
    <w:rsid w:val="54A05D16"/>
    <w:rsid w:val="561A3800"/>
    <w:rsid w:val="5C1E7E07"/>
    <w:rsid w:val="5CEB6921"/>
    <w:rsid w:val="5EAA7669"/>
    <w:rsid w:val="5F5C6C04"/>
    <w:rsid w:val="5FCF4A74"/>
    <w:rsid w:val="63381889"/>
    <w:rsid w:val="67696FA8"/>
    <w:rsid w:val="69AE2F1D"/>
    <w:rsid w:val="6ED24CBD"/>
    <w:rsid w:val="70337893"/>
    <w:rsid w:val="747A4951"/>
    <w:rsid w:val="75FF3BCF"/>
    <w:rsid w:val="7E9D72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/>
      <w:ind w:left="425" w:hanging="425"/>
      <w:outlineLvl w:val="0"/>
    </w:pPr>
    <w:rPr>
      <w:rFonts w:ascii="Arial" w:hAnsi="Arial" w:eastAsia="Arial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paragraph" w:styleId="15">
    <w:name w:val="List Paragraph"/>
    <w:basedOn w:val="1"/>
    <w:autoRedefine/>
    <w:qFormat/>
    <w:uiPriority w:val="99"/>
  </w:style>
  <w:style w:type="paragraph" w:customStyle="1" w:styleId="16">
    <w:name w:val="word题注"/>
    <w:basedOn w:val="17"/>
    <w:qFormat/>
    <w:uiPriority w:val="0"/>
    <w:rPr>
      <w:sz w:val="21"/>
    </w:rPr>
  </w:style>
  <w:style w:type="paragraph" w:customStyle="1" w:styleId="17">
    <w:name w:val="word图片"/>
    <w:basedOn w:val="1"/>
    <w:qFormat/>
    <w:uiPriority w:val="0"/>
    <w:pPr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904</Words>
  <Characters>963</Characters>
  <TotalTime>2</TotalTime>
  <ScaleCrop>false</ScaleCrop>
  <LinksUpToDate>false</LinksUpToDate>
  <CharactersWithSpaces>978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2026-05-29T10:37:00Z</dcterms:created>
  <dc:creator>Stealth2019</dc:creator>
  <cp:lastModifiedBy>Morning</cp:lastModifiedBy>
  <dcterms:modified xsi:type="dcterms:W3CDTF">2026-07-14T09:55:16Z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2026-07-08T15:02:06Z</vt:filetime>
  </property>
  <property fmtid="{D5CDD505-2E9C-101B-9397-08002B2CF9AE}" pid="4" name="KSOTemplateDocerSaveRecord">
    <vt:lpwstr>eyJoZGlkIjoiYWEyMWJlZTMxYTIwMzZjZGQwOTFjYWMwMDg4NjEyYjUiLCJ1c2VySWQiOiIzNTA5MzAyNjYifQ==</vt:lpwstr>
  </property>
  <property fmtid="{D5CDD505-2E9C-101B-9397-08002B2CF9AE}" pid="5" name="KSOProductBuildVer">
    <vt:lpwstr>2052-12.1.0.26895</vt:lpwstr>
  </property>
  <property fmtid="{D5CDD505-2E9C-101B-9397-08002B2CF9AE}" pid="6" name="ICV">
    <vt:lpwstr>8D7AD73649F34908B933E4C13FEB5DDD_13</vt:lpwstr>
  </property>
</Properties>
</file>